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Registration No. 333-167690</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333-190508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333-211617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333-238908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333-280044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June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ind w:left="1440"/>
        <w:spacing w:after="0" w:line="207" w:lineRule="exact"/>
        <w:rPr>
          <w:sz w:val="20"/>
          <w:szCs w:val="20"/>
          <w:color w:val="auto"/>
        </w:rPr>
      </w:pPr>
      <w:r>
        <w:rPr>
          <w:rFonts w:ascii="Times New Roman" w:cs="Times New Roman" w:eastAsia="Times New Roman" w:hAnsi="Times New Roman"/>
          <w:sz w:val="18"/>
          <w:szCs w:val="18"/>
          <w:b w:val="1"/>
          <w:bCs w:val="1"/>
          <w:color w:val="auto"/>
        </w:rPr>
        <w:t>POST-EFFECTIVE AMENDMENT NO. 1 TO FORM 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8 REGISTRATION STATEMENT NO. 333-167690</w:t>
      </w:r>
    </w:p>
    <w:p>
      <w:pPr>
        <w:spacing w:after="0" w:line="63" w:lineRule="exact"/>
        <w:rPr>
          <w:sz w:val="24"/>
          <w:szCs w:val="24"/>
          <w:color w:val="auto"/>
        </w:rPr>
      </w:pPr>
    </w:p>
    <w:p>
      <w:pPr>
        <w:ind w:left="1440"/>
        <w:spacing w:after="0" w:line="207" w:lineRule="exact"/>
        <w:rPr>
          <w:sz w:val="20"/>
          <w:szCs w:val="20"/>
          <w:color w:val="auto"/>
        </w:rPr>
      </w:pPr>
      <w:r>
        <w:rPr>
          <w:rFonts w:ascii="Times New Roman" w:cs="Times New Roman" w:eastAsia="Times New Roman" w:hAnsi="Times New Roman"/>
          <w:sz w:val="18"/>
          <w:szCs w:val="18"/>
          <w:b w:val="1"/>
          <w:bCs w:val="1"/>
          <w:color w:val="auto"/>
        </w:rPr>
        <w:t>POST-EFFECTIVE AMENDMENT NO. 1 TO FORM 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8 REGISTRATION STATEMENT NO. 333-190508</w:t>
      </w:r>
    </w:p>
    <w:p>
      <w:pPr>
        <w:spacing w:after="0" w:line="9" w:lineRule="exact"/>
        <w:rPr>
          <w:sz w:val="24"/>
          <w:szCs w:val="24"/>
          <w:color w:val="auto"/>
        </w:rPr>
      </w:pPr>
    </w:p>
    <w:p>
      <w:pPr>
        <w:ind w:left="1460"/>
        <w:spacing w:after="0" w:line="207" w:lineRule="exact"/>
        <w:rPr>
          <w:sz w:val="20"/>
          <w:szCs w:val="20"/>
          <w:color w:val="auto"/>
        </w:rPr>
      </w:pPr>
      <w:r>
        <w:rPr>
          <w:rFonts w:ascii="Times New Roman" w:cs="Times New Roman" w:eastAsia="Times New Roman" w:hAnsi="Times New Roman"/>
          <w:sz w:val="18"/>
          <w:szCs w:val="18"/>
          <w:b w:val="1"/>
          <w:bCs w:val="1"/>
          <w:color w:val="auto"/>
        </w:rPr>
        <w:t>POST-EFFECTIVE AMENDMENT NO. 1 TO FORM 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8 REGISTRATION STATEMENT NO. 333-211617</w:t>
      </w:r>
    </w:p>
    <w:p>
      <w:pPr>
        <w:spacing w:after="0" w:line="9" w:lineRule="exact"/>
        <w:rPr>
          <w:sz w:val="24"/>
          <w:szCs w:val="24"/>
          <w:color w:val="auto"/>
        </w:rPr>
      </w:pPr>
    </w:p>
    <w:p>
      <w:pPr>
        <w:ind w:left="1440"/>
        <w:spacing w:after="0" w:line="207" w:lineRule="exact"/>
        <w:rPr>
          <w:sz w:val="20"/>
          <w:szCs w:val="20"/>
          <w:color w:val="auto"/>
        </w:rPr>
      </w:pPr>
      <w:r>
        <w:rPr>
          <w:rFonts w:ascii="Times New Roman" w:cs="Times New Roman" w:eastAsia="Times New Roman" w:hAnsi="Times New Roman"/>
          <w:sz w:val="18"/>
          <w:szCs w:val="18"/>
          <w:b w:val="1"/>
          <w:bCs w:val="1"/>
          <w:color w:val="auto"/>
        </w:rPr>
        <w:t>POST-EFFECTIVE AMENDMENT NO. 1 TO FORM 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8 REGISTRATION STATEMENT NO. 333-238908</w:t>
      </w:r>
    </w:p>
    <w:p>
      <w:pPr>
        <w:spacing w:after="0" w:line="9" w:lineRule="exact"/>
        <w:rPr>
          <w:sz w:val="24"/>
          <w:szCs w:val="24"/>
          <w:color w:val="auto"/>
        </w:rPr>
      </w:pPr>
    </w:p>
    <w:p>
      <w:pPr>
        <w:ind w:left="1440"/>
        <w:spacing w:after="0" w:line="207" w:lineRule="exact"/>
        <w:rPr>
          <w:sz w:val="20"/>
          <w:szCs w:val="20"/>
          <w:color w:val="auto"/>
        </w:rPr>
      </w:pPr>
      <w:r>
        <w:rPr>
          <w:rFonts w:ascii="Times New Roman" w:cs="Times New Roman" w:eastAsia="Times New Roman" w:hAnsi="Times New Roman"/>
          <w:sz w:val="18"/>
          <w:szCs w:val="18"/>
          <w:b w:val="1"/>
          <w:bCs w:val="1"/>
          <w:color w:val="auto"/>
        </w:rPr>
        <w:t>POST-EFFECTIVE AMENDMENT NO. 1 TO FORM 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8 REGISTRATION STATEMENT NO. 333-280044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194310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NU SKIN ENTERPRISES, INC.</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9" w:right="339" w:bottom="0" w:gutter="0" w:footer="0" w:header="0"/>
        </w:sectPr>
      </w:pPr>
    </w:p>
    <w:p>
      <w:pPr>
        <w:spacing w:after="0" w:line="22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87-0565309</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229" w:right="339" w:bottom="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 West Center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Provo, Utah 84601</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210185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229"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left="660" w:right="194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Nu Skin Enterprises, Inc. 2010 Omnibus Incentive Plan Amended and Restated Nu Skin Enterprises, Inc. 2010 Omnibus Incentive Plan Second Amended and Restated Nu Skin Enterprises, Inc. 2010 Omnibus Incentive Plan Third Amended and Restated Nu Skin Enterprises, Inc. 2010 Omnibus Incentive Plan Nu Skin Enterprises, Inc. 2024 Omnibus Incentive Plan </w:t>
      </w:r>
      <w:r>
        <w:rPr>
          <w:rFonts w:ascii="Times New Roman" w:cs="Times New Roman" w:eastAsia="Times New Roman" w:hAnsi="Times New Roman"/>
          <w:sz w:val="18"/>
          <w:szCs w:val="18"/>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327660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80" w:type="dxa"/>
            <w:vAlign w:val="bottom"/>
            <w:gridSpan w:val="2"/>
          </w:tcPr>
          <w:p>
            <w:pPr>
              <w:jc w:val="center"/>
              <w:ind w:right="3450"/>
              <w:spacing w:after="0"/>
              <w:rPr>
                <w:sz w:val="20"/>
                <w:szCs w:val="20"/>
                <w:color w:val="auto"/>
              </w:rPr>
            </w:pPr>
            <w:r>
              <w:rPr>
                <w:rFonts w:ascii="Times New Roman" w:cs="Times New Roman" w:eastAsia="Times New Roman" w:hAnsi="Times New Roman"/>
                <w:sz w:val="18"/>
                <w:szCs w:val="18"/>
                <w:b w:val="1"/>
                <w:bCs w:val="1"/>
                <w:color w:val="auto"/>
              </w:rPr>
              <w:t>Ryan S. Napierski</w:t>
            </w:r>
          </w:p>
        </w:tc>
      </w:tr>
      <w:tr>
        <w:trPr>
          <w:trHeight w:val="216"/>
        </w:trPr>
        <w:tc>
          <w:tcPr>
            <w:tcW w:w="2120" w:type="dxa"/>
            <w:vAlign w:val="bottom"/>
          </w:tcPr>
          <w:p>
            <w:pPr>
              <w:spacing w:after="0"/>
              <w:rPr>
                <w:sz w:val="18"/>
                <w:szCs w:val="18"/>
                <w:color w:val="auto"/>
              </w:rPr>
            </w:pPr>
          </w:p>
        </w:tc>
        <w:tc>
          <w:tcPr>
            <w:tcW w:w="6340" w:type="dxa"/>
            <w:vAlign w:val="bottom"/>
            <w:gridSpan w:val="3"/>
          </w:tcPr>
          <w:p>
            <w:pPr>
              <w:jc w:val="center"/>
              <w:ind w:right="2890"/>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16"/>
        </w:trPr>
        <w:tc>
          <w:tcPr>
            <w:tcW w:w="2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80" w:type="dxa"/>
            <w:vAlign w:val="bottom"/>
            <w:gridSpan w:val="2"/>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w w:val="99"/>
              </w:rPr>
              <w:t>Nu Skin Enterprises, Inc.</w:t>
            </w:r>
          </w:p>
        </w:tc>
      </w:tr>
      <w:tr>
        <w:trPr>
          <w:trHeight w:val="216"/>
        </w:trPr>
        <w:tc>
          <w:tcPr>
            <w:tcW w:w="2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80" w:type="dxa"/>
            <w:vAlign w:val="bottom"/>
            <w:gridSpan w:val="2"/>
          </w:tcPr>
          <w:p>
            <w:pPr>
              <w:jc w:val="center"/>
              <w:ind w:right="3450"/>
              <w:spacing w:after="0"/>
              <w:rPr>
                <w:sz w:val="20"/>
                <w:szCs w:val="20"/>
                <w:color w:val="auto"/>
              </w:rPr>
            </w:pPr>
            <w:r>
              <w:rPr>
                <w:rFonts w:ascii="Times New Roman" w:cs="Times New Roman" w:eastAsia="Times New Roman" w:hAnsi="Times New Roman"/>
                <w:sz w:val="18"/>
                <w:szCs w:val="18"/>
                <w:b w:val="1"/>
                <w:bCs w:val="1"/>
                <w:color w:val="auto"/>
                <w:w w:val="99"/>
              </w:rPr>
              <w:t>75 West Center Street</w:t>
            </w:r>
          </w:p>
        </w:tc>
      </w:tr>
      <w:tr>
        <w:trPr>
          <w:trHeight w:val="216"/>
        </w:trPr>
        <w:tc>
          <w:tcPr>
            <w:tcW w:w="2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80" w:type="dxa"/>
            <w:vAlign w:val="bottom"/>
            <w:gridSpan w:val="2"/>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w w:val="99"/>
              </w:rPr>
              <w:t>Provo, Utah 84601</w:t>
            </w:r>
          </w:p>
        </w:tc>
      </w:tr>
      <w:tr>
        <w:trPr>
          <w:trHeight w:val="238"/>
        </w:trPr>
        <w:tc>
          <w:tcPr>
            <w:tcW w:w="2120" w:type="dxa"/>
            <w:vAlign w:val="bottom"/>
          </w:tcPr>
          <w:p>
            <w:pPr>
              <w:spacing w:after="0"/>
              <w:rPr>
                <w:sz w:val="20"/>
                <w:szCs w:val="20"/>
                <w:color w:val="auto"/>
              </w:rPr>
            </w:pPr>
          </w:p>
        </w:tc>
        <w:tc>
          <w:tcPr>
            <w:tcW w:w="280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(801) 345-1000</w:t>
            </w:r>
          </w:p>
        </w:tc>
        <w:tc>
          <w:tcPr>
            <w:tcW w:w="3540" w:type="dxa"/>
            <w:vAlign w:val="bottom"/>
          </w:tcPr>
          <w:p>
            <w:pPr>
              <w:spacing w:after="0"/>
              <w:rPr>
                <w:sz w:val="20"/>
                <w:szCs w:val="20"/>
                <w:color w:val="auto"/>
              </w:rPr>
            </w:pPr>
          </w:p>
        </w:tc>
      </w:tr>
      <w:tr>
        <w:trPr>
          <w:trHeight w:val="414"/>
        </w:trPr>
        <w:tc>
          <w:tcPr>
            <w:tcW w:w="2120" w:type="dxa"/>
            <w:vAlign w:val="bottom"/>
          </w:tcPr>
          <w:p>
            <w:pPr>
              <w:spacing w:after="0"/>
              <w:rPr>
                <w:sz w:val="24"/>
                <w:szCs w:val="24"/>
                <w:color w:val="auto"/>
              </w:rPr>
            </w:pPr>
          </w:p>
        </w:tc>
        <w:tc>
          <w:tcPr>
            <w:tcW w:w="6340" w:type="dxa"/>
            <w:vAlign w:val="bottom"/>
            <w:gridSpan w:val="3"/>
          </w:tcPr>
          <w:p>
            <w:pPr>
              <w:jc w:val="center"/>
              <w:ind w:right="2890"/>
              <w:spacing w:after="0"/>
              <w:rPr>
                <w:sz w:val="20"/>
                <w:szCs w:val="20"/>
                <w:color w:val="auto"/>
              </w:rPr>
            </w:pPr>
            <w:r>
              <w:rPr>
                <w:rFonts w:ascii="Times New Roman" w:cs="Times New Roman" w:eastAsia="Times New Roman" w:hAnsi="Times New Roman"/>
                <w:sz w:val="18"/>
                <w:szCs w:val="18"/>
                <w:color w:val="auto"/>
                <w:w w:val="99"/>
              </w:rPr>
              <w:t>(Name, address and telephone number,</w:t>
            </w:r>
          </w:p>
        </w:tc>
      </w:tr>
      <w:tr>
        <w:trPr>
          <w:trHeight w:val="234"/>
        </w:trPr>
        <w:tc>
          <w:tcPr>
            <w:tcW w:w="2120" w:type="dxa"/>
            <w:vAlign w:val="bottom"/>
          </w:tcPr>
          <w:p>
            <w:pPr>
              <w:spacing w:after="0"/>
              <w:rPr>
                <w:sz w:val="20"/>
                <w:szCs w:val="20"/>
                <w:color w:val="auto"/>
              </w:rPr>
            </w:pPr>
          </w:p>
        </w:tc>
        <w:tc>
          <w:tcPr>
            <w:tcW w:w="6340" w:type="dxa"/>
            <w:vAlign w:val="bottom"/>
            <w:gridSpan w:val="3"/>
          </w:tcPr>
          <w:p>
            <w:pPr>
              <w:jc w:val="center"/>
              <w:ind w:right="2830"/>
              <w:spacing w:after="0"/>
              <w:rPr>
                <w:sz w:val="20"/>
                <w:szCs w:val="20"/>
                <w:color w:val="auto"/>
              </w:rPr>
            </w:pPr>
            <w:r>
              <w:rPr>
                <w:rFonts w:ascii="Times New Roman" w:cs="Times New Roman" w:eastAsia="Times New Roman" w:hAnsi="Times New Roman"/>
                <w:sz w:val="18"/>
                <w:szCs w:val="18"/>
                <w:color w:val="auto"/>
                <w:w w:val="99"/>
              </w:rPr>
              <w:t>including area code, of agent for service)</w:t>
            </w:r>
          </w:p>
        </w:tc>
      </w:tr>
      <w:tr>
        <w:trPr>
          <w:trHeight w:val="304"/>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540" w:type="dxa"/>
            <w:vAlign w:val="bottom"/>
          </w:tcPr>
          <w:p>
            <w:pPr>
              <w:spacing w:after="0"/>
              <w:rPr>
                <w:sz w:val="24"/>
                <w:szCs w:val="24"/>
                <w:color w:val="auto"/>
              </w:rPr>
            </w:pPr>
          </w:p>
        </w:tc>
      </w:tr>
      <w:tr>
        <w:trPr>
          <w:trHeight w:val="504"/>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80" w:type="dxa"/>
            <w:vAlign w:val="bottom"/>
            <w:gridSpan w:val="2"/>
          </w:tcPr>
          <w:p>
            <w:pPr>
              <w:jc w:val="center"/>
              <w:ind w:right="3430"/>
              <w:spacing w:after="0"/>
              <w:rPr>
                <w:sz w:val="20"/>
                <w:szCs w:val="20"/>
                <w:color w:val="auto"/>
              </w:rPr>
            </w:pPr>
            <w:r>
              <w:rPr>
                <w:rFonts w:ascii="Times New Roman" w:cs="Times New Roman" w:eastAsia="Times New Roman" w:hAnsi="Times New Roman"/>
                <w:sz w:val="18"/>
                <w:szCs w:val="18"/>
                <w:color w:val="auto"/>
              </w:rPr>
              <w:t>Copies to:</w:t>
            </w:r>
          </w:p>
        </w:tc>
      </w:tr>
      <w:tr>
        <w:trPr>
          <w:trHeight w:val="216"/>
        </w:trPr>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Roger Bivans</w:t>
            </w:r>
          </w:p>
        </w:tc>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Chayce D. Clark</w:t>
            </w:r>
          </w:p>
        </w:tc>
      </w:tr>
      <w:tr>
        <w:trPr>
          <w:trHeight w:val="216"/>
        </w:trPr>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Baker &amp; McKenzie LLP</w:t>
            </w:r>
          </w:p>
        </w:tc>
        <w:tc>
          <w:tcPr>
            <w:tcW w:w="560" w:type="dxa"/>
            <w:vAlign w:val="bottom"/>
          </w:tcPr>
          <w:p>
            <w:pPr>
              <w:spacing w:after="0"/>
              <w:rPr>
                <w:sz w:val="18"/>
                <w:szCs w:val="18"/>
                <w:color w:val="auto"/>
              </w:rPr>
            </w:pPr>
          </w:p>
        </w:tc>
        <w:tc>
          <w:tcPr>
            <w:tcW w:w="5780" w:type="dxa"/>
            <w:vAlign w:val="bottom"/>
            <w:gridSpan w:val="2"/>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Executive Vice President and General Counsel</w:t>
            </w:r>
          </w:p>
        </w:tc>
      </w:tr>
      <w:tr>
        <w:trPr>
          <w:trHeight w:val="216"/>
        </w:trPr>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1900 North Pearl</w:t>
            </w:r>
          </w:p>
        </w:tc>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 Skin Enterprises, Inc.</w:t>
            </w:r>
          </w:p>
        </w:tc>
      </w:tr>
      <w:tr>
        <w:trPr>
          <w:trHeight w:val="216"/>
        </w:trPr>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Suite 1500</w:t>
            </w:r>
          </w:p>
        </w:tc>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75 West Center Street</w:t>
            </w:r>
          </w:p>
        </w:tc>
      </w:tr>
      <w:tr>
        <w:trPr>
          <w:trHeight w:val="216"/>
        </w:trPr>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Dallas, TX 75201</w:t>
            </w:r>
          </w:p>
        </w:tc>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Provo, Utah 84601</w:t>
            </w:r>
          </w:p>
        </w:tc>
      </w:tr>
      <w:tr>
        <w:trPr>
          <w:trHeight w:val="238"/>
        </w:trPr>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(214) 978-3095</w:t>
            </w:r>
          </w:p>
        </w:tc>
        <w:tc>
          <w:tcPr>
            <w:tcW w:w="6340" w:type="dxa"/>
            <w:vAlign w:val="bottom"/>
            <w:gridSpan w:val="3"/>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(801) 345-1000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196850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ectPr>
          <w:pgSz w:w="11900" w:h="16838" w:orient="portrait"/>
          <w:cols w:equalWidth="0" w:num="1">
            <w:col w:w="11240"/>
          </w:cols>
          <w:pgMar w:left="320" w:top="229"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ectPr>
          <w:pgSz w:w="11900" w:h="16838" w:orient="portrait"/>
          <w:cols w:equalWidth="0" w:num="1">
            <w:col w:w="11080"/>
          </w:cols>
          <w:pgMar w:left="320" w:top="121" w:right="499" w:bottom="1440" w:gutter="0" w:footer="0" w:header="0"/>
        </w:sectPr>
      </w:pP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0"/>
          <w:szCs w:val="20"/>
          <w:color w:val="auto"/>
        </w:rPr>
      </w:pPr>
    </w:p>
    <w:p>
      <w:pPr>
        <w:sectPr>
          <w:pgSz w:w="11900" w:h="16838" w:orient="portrait"/>
          <w:cols w:equalWidth="0" w:num="3">
            <w:col w:w="5980" w:space="720"/>
            <w:col w:w="1980" w:space="80"/>
            <w:col w:w="2320"/>
          </w:cols>
          <w:pgMar w:left="320" w:top="121" w:right="499" w:bottom="1440" w:gutter="0" w:footer="0" w:header="0"/>
          <w:type w:val="continuous"/>
        </w:sectPr>
      </w:pPr>
    </w:p>
    <w:p>
      <w:pPr>
        <w:spacing w:after="0" w:line="7"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179705</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Nu Skin Enterprises, Inc. (the “Registrant”), previously filed with the Securities and Exchange Commission (the “SEC”) the following registration statements on Form S-8 (collectively, the “Prior Registration Statements”) on the dates set forth below to register shares of the Registrant’s Class A Common Stock, $0.001 par value per share (the “Common Stock”):</w:t>
      </w:r>
    </w:p>
    <w:p>
      <w:pPr>
        <w:spacing w:after="0" w:line="176" w:lineRule="exact"/>
        <w:rPr>
          <w:sz w:val="20"/>
          <w:szCs w:val="20"/>
          <w:color w:val="auto"/>
        </w:rPr>
      </w:pPr>
    </w:p>
    <w:p>
      <w:pPr>
        <w:ind w:left="1300" w:right="400" w:hanging="320"/>
        <w:spacing w:after="0" w:line="261"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333-167690 on June 23, 2010 to register 7,000,000 shares of Common Stock under the Registrant’s 2010 Omnibus Incentive Plan and its amendments (collectively, the “Prior Plan”)</w:t>
      </w: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333-190508 on August 9, 2013 to register 3,247,616 shares of Common Stock under the Prior Plan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333-211617 on May 25, 2016 to register 3,752,694 shares of Common Stock under the Prior Plan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333-238908 on June 3, 2020 to register 5,896,993 shares of Common Stock under the Prior Plan</w:t>
      </w:r>
    </w:p>
    <w:p>
      <w:pPr>
        <w:spacing w:after="0" w:line="9" w:lineRule="exact"/>
        <w:rPr>
          <w:rFonts w:ascii="Times New Roman" w:cs="Times New Roman" w:eastAsia="Times New Roman" w:hAnsi="Times New Roman"/>
          <w:sz w:val="18"/>
          <w:szCs w:val="18"/>
          <w:color w:val="auto"/>
        </w:rPr>
      </w:pPr>
    </w:p>
    <w:p>
      <w:pPr>
        <w:ind w:left="1300" w:right="60" w:hanging="320"/>
        <w:spacing w:after="0" w:line="260"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333-280044 on June 7, 2024 to register 1,219,919 shares of Common Stock under the Registrant’s Nu Skin Enterprises, Inc. 2024 Omnibus Incentive Plan (the “2024 Plan”)</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Registrant’s stockholders approved the 2024 Plan at the Registrant’s 2024 Annual Meeting of Stockholders on June 5, 2024 (the “Effective Date”), and accordingly, no further awards may be granted under the Prior Plan. Pursuant to the terms of the 2024 Plan, the number of shares of Common Stock reserved and available for grant and issuance pursuant to the 2024 Plan is equal to the sum of (i) 1,219,919 shares of Common Stock (the “Newly Authorized Shares”), plus (ii) the number of shares of Common Stock which as of the Effective Date are available for issuance under the Prior Plan (the “Rollover Shares”), plus (iii) the number of shares of Common Stock subject to outstanding awards granted under the Prior Plan that are therefore issuable under the 2024 Plan (the “Recycled Shares” and together with the “Rollover Shares,” the “Transferred Shares”).</w:t>
      </w:r>
    </w:p>
    <w:p>
      <w:pPr>
        <w:spacing w:after="0" w:line="18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Registrant is filing this Post-Effective Amendment No. 1 to the Prior Registration Statements (the “Post-Effective Amendment”) pursuant to Regulation S-K Item 512(a)(1)(iii) and SEC Compliance and Disclosure Interpretation 126.43 to amend each of the Prior Registration Statements to register the offer of the Transferred Shares under the 2024 Plan.</w:t>
      </w:r>
    </w:p>
    <w:p>
      <w:pPr>
        <w:spacing w:after="0" w:line="135" w:lineRule="exact"/>
        <w:rPr>
          <w:sz w:val="20"/>
          <w:szCs w:val="20"/>
          <w:color w:val="auto"/>
        </w:rPr>
      </w:pPr>
    </w:p>
    <w:p>
      <w:pPr>
        <w:ind w:right="100"/>
        <w:spacing w:after="0" w:line="228" w:lineRule="exact"/>
        <w:rPr>
          <w:sz w:val="20"/>
          <w:szCs w:val="20"/>
          <w:color w:val="auto"/>
        </w:rPr>
      </w:pPr>
      <w:r>
        <w:rPr>
          <w:rFonts w:ascii="Times New Roman" w:cs="Times New Roman" w:eastAsia="Times New Roman" w:hAnsi="Times New Roman"/>
          <w:sz w:val="18"/>
          <w:szCs w:val="18"/>
          <w:color w:val="auto"/>
        </w:rPr>
        <w:t>In accordance with SEC Compliance and Disclosure Interpretation 126.43, no new filing fee is due upon the filing of this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Amendment. For the avoidance of doubt, the Registrant is not hereby registering any additional shares of Common Stock on this Post-Effective Amendment that were not previously registered on the Prior Registration Statement or that were not previously approved by the Registrant’s stockholders as of the Effective Date. Contemporaneously with the filing of this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Amendment, the Company is filing a Registration Statement on Form S-8 to register the Newly Authorized Shares under the Plan.</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documents containing the information specified in Item 1 and Item 2 of Part I of Form S-8 will be sent or given to participants as specified by Rule 428(b)(1) under the Securities Act of 1933, as amended (the “Securities Act”). In accordance with the rules and regulations of the U.S. Securities and Exchange Commission (the “Commission”) and the instructions to Form S-8, such documents are not being filed with the Commission either as part of this Post-Effective Amendment or as prospectuses or prospectus supplements pursuant to Rule 424 under the Securities Act.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following documents, which have been filed with the Securities and Exchange Commission (the “Commission”) by Nu Skin Enterprises, Inc. (the “Company”), are incorporated by reference in this Post-Effective Amendment, except to the extent that information therein is deemed furnished and not filed pursuant to securities laws and regulations:</w:t>
      </w:r>
    </w:p>
    <w:p>
      <w:pPr>
        <w:spacing w:after="0" w:line="135" w:lineRule="exact"/>
        <w:rPr>
          <w:sz w:val="20"/>
          <w:szCs w:val="20"/>
          <w:color w:val="auto"/>
        </w:rPr>
      </w:pPr>
    </w:p>
    <w:p>
      <w:pPr>
        <w:ind w:left="1300" w:hanging="320"/>
        <w:spacing w:after="0" w:line="207" w:lineRule="exact"/>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20">
        <w:r>
          <w:rPr>
            <w:rFonts w:ascii="Times New Roman" w:cs="Times New Roman" w:eastAsia="Times New Roman" w:hAnsi="Times New Roman"/>
            <w:sz w:val="18"/>
            <w:szCs w:val="18"/>
            <w:u w:val="single" w:color="auto"/>
            <w:color w:val="0000EE"/>
          </w:rPr>
          <w:t>Form 10</w:t>
        </w:r>
        <w:r>
          <w:rPr>
            <w:rFonts w:ascii="MS PGothic" w:cs="MS PGothic" w:eastAsia="MS PGothic" w:hAnsi="MS PGothic"/>
            <w:sz w:val="18"/>
            <w:szCs w:val="18"/>
            <w:u w:val="single" w:color="auto"/>
            <w:color w:val="0000EE"/>
          </w:rPr>
          <w:t>‑</w:t>
        </w:r>
        <w:r>
          <w:rPr>
            <w:rFonts w:ascii="Times New Roman" w:cs="Times New Roman" w:eastAsia="Times New Roman" w:hAnsi="Times New Roman"/>
            <w:sz w:val="18"/>
            <w:szCs w:val="18"/>
            <w:u w:val="single" w:color="auto"/>
            <w:color w:val="0000EE"/>
          </w:rPr>
          <w:t>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 on </w:t>
      </w:r>
      <w:hyperlink r:id="rId21">
        <w:r>
          <w:rPr>
            <w:rFonts w:ascii="Times New Roman" w:cs="Times New Roman" w:eastAsia="Times New Roman" w:hAnsi="Times New Roman"/>
            <w:sz w:val="18"/>
            <w:szCs w:val="18"/>
            <w:u w:val="single" w:color="auto"/>
            <w:color w:val="0000EE"/>
          </w:rPr>
          <w:t>Form 10</w:t>
        </w:r>
        <w:r>
          <w:rPr>
            <w:rFonts w:ascii="MS PGothic" w:cs="MS PGothic" w:eastAsia="MS PGothic" w:hAnsi="MS PGothic"/>
            <w:sz w:val="18"/>
            <w:szCs w:val="18"/>
            <w:u w:val="single" w:color="auto"/>
            <w:color w:val="0000EE"/>
          </w:rPr>
          <w:t>‑</w:t>
        </w:r>
        <w:r>
          <w:rPr>
            <w:rFonts w:ascii="Times New Roman" w:cs="Times New Roman" w:eastAsia="Times New Roman" w:hAnsi="Times New Roman"/>
            <w:sz w:val="18"/>
            <w:szCs w:val="18"/>
            <w:u w:val="single" w:color="auto"/>
            <w:color w:val="0000EE"/>
          </w:rPr>
          <w:t>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2024;</w:t>
      </w:r>
    </w:p>
    <w:p>
      <w:pPr>
        <w:spacing w:after="0" w:line="26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Reports on Form 8-K filed on </w:t>
      </w:r>
      <w:hyperlink r:id="rId22">
        <w:r>
          <w:rPr>
            <w:rFonts w:ascii="Times New Roman" w:cs="Times New Roman" w:eastAsia="Times New Roman" w:hAnsi="Times New Roman"/>
            <w:sz w:val="18"/>
            <w:szCs w:val="18"/>
            <w:u w:val="single" w:color="auto"/>
            <w:color w:val="0000EE"/>
          </w:rPr>
          <w:t>February 6, 2024</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March 18,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5">
        <w:r>
          <w:rPr>
            <w:rFonts w:ascii="Times New Roman" w:cs="Times New Roman" w:eastAsia="Times New Roman" w:hAnsi="Times New Roman"/>
            <w:sz w:val="18"/>
            <w:szCs w:val="18"/>
            <w:u w:val="single" w:color="auto"/>
            <w:color w:val="0000EE"/>
          </w:rPr>
          <w:t>June 6, 2024</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Class A Common Stock, par value $0.001 per share, filed as </w:t>
      </w:r>
      <w:hyperlink r:id="rId26">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Company’s Annual Report on Form 10-K for the fiscal year ended December 31, 2023, filed on February 15, 2024, together with any amendment or report filed with the Commission for the purpose of updating such description.</w:t>
      </w:r>
    </w:p>
    <w:p>
      <w:pPr>
        <w:spacing w:after="0" w:line="176" w:lineRule="exact"/>
        <w:rPr>
          <w:rFonts w:ascii="Times New Roman" w:cs="Times New Roman" w:eastAsia="Times New Roman" w:hAnsi="Times New Roman"/>
          <w:sz w:val="18"/>
          <w:szCs w:val="18"/>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documents filed by the Company pursuant to Sections 13(a), 13(c), 14 and 15(d) of the Securities Exchange Act of 1934, as amended (the “Exchange Act”), subsequent to the date hereof and prior to the filing of a post-effective amendment which indicates that all securities offered hereby have been sold or which deregisters all securities remaining unsold shall be deemed to be incorporated by reference herein and to be a part hereof from the respective dates of filing of such documents.</w:t>
      </w:r>
    </w:p>
    <w:p>
      <w:pPr>
        <w:spacing w:after="0" w:line="180" w:lineRule="exact"/>
        <w:rPr>
          <w:rFonts w:ascii="Times New Roman" w:cs="Times New Roman" w:eastAsia="Times New Roman" w:hAnsi="Times New Roman"/>
          <w:sz w:val="18"/>
          <w:szCs w:val="18"/>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Post-Effective Amendment to the extent that a statement contained herein or in any other subsequently filed document that also is, or is deemed to be, incorporated by reference herein modifies or supersedes such statement. Any statement so modified or superseded shall not be deemed, except as so modified or superseded, to constitute a part of this Post-Effective Amendment.</w:t>
      </w:r>
    </w:p>
    <w:p>
      <w:pPr>
        <w:spacing w:after="0" w:line="176" w:lineRule="exact"/>
        <w:rPr>
          <w:rFonts w:ascii="Times New Roman" w:cs="Times New Roman" w:eastAsia="Times New Roman" w:hAnsi="Times New Roman"/>
          <w:sz w:val="18"/>
          <w:szCs w:val="18"/>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2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rFonts w:ascii="Times New Roman" w:cs="Times New Roman" w:eastAsia="Times New Roman" w:hAnsi="Times New Roman"/>
          <w:sz w:val="18"/>
          <w:szCs w:val="18"/>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registrant is incorporated under the laws of the State of Delaware. Section 145 of the Delaware General Corporation Law (the “DGCL”) provides that a Delaware corporation may indemnify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the person reasonably believed to be in or not opposed to the corporation’s best interests and, with respect to any criminal action or proceeding, had no reasonable cause to believe that his or her conduct was unlawful. The registrant’s certificate of incorporation and bylaws provide for the indemnification of the registrant’s officers and directors to the fullest extent permitted by the DGCL. The registrant believes that such indemnification is necessary to attract and retain qualified persons as directors and officers. The registrant has also entered into separate indemnification agreements with each of its directors and executive officers.</w:t>
      </w:r>
    </w:p>
    <w:p>
      <w:pPr>
        <w:sectPr>
          <w:pgSz w:w="11900" w:h="16838" w:orient="portrait"/>
          <w:cols w:equalWidth="0" w:num="1">
            <w:col w:w="11240"/>
          </w:cols>
          <w:pgMar w:left="320" w:top="117" w:right="339" w:bottom="1440" w:gutter="0" w:footer="0" w:header="0"/>
        </w:sectPr>
      </w:pPr>
    </w:p>
    <w:p>
      <w:pPr>
        <w:spacing w:after="0" w:line="36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Insurance</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Section 145 of the DGCL also permits a Delaware corporation to purchase and maintain insurance on behalf of its directors and officers. The registrant’s certificate of incorporation and bylaws permit the registrant to purchase such insurance on behalf of its directors and officers. The registrant believes that such insurance is necessary to attract and retain qualified persons as directors and officers. The registrant has purchased such insurance on behalf of its directors and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Section 102(b)(7) of the DGCL provides that the certificate of incorporation of a corporation may contain a provision eliminating or limiting the personal liability of a director or officer to the corporation or its stockholders for monetary damages for breach of fiduciary duty as a director or officer, provided that such provision shall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and (v) an officer in any action by or in the right of the corporation. The registrant’s certificate of incorporation provides for, to the fullest extent permitted by the DGCL, elimination or limitation of liability of its directors to the registrant or its stockholders for breach of fiduciary duty as a director.</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noted, the SEC file number for exhibits incorporated by reference is 001-12421.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320" w:type="dxa"/>
            <w:vAlign w:val="bottom"/>
          </w:tcPr>
          <w:p>
            <w:pPr>
              <w:spacing w:after="0"/>
              <w:rPr>
                <w:sz w:val="17"/>
                <w:szCs w:val="17"/>
                <w:color w:val="auto"/>
              </w:rPr>
            </w:pPr>
          </w:p>
        </w:tc>
        <w:tc>
          <w:tcPr>
            <w:tcW w:w="1060" w:type="dxa"/>
            <w:vAlign w:val="bottom"/>
            <w:gridSpan w:val="2"/>
          </w:tcPr>
          <w:p>
            <w:pPr>
              <w:jc w:val="center"/>
              <w:ind w:right="4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860" w:type="dxa"/>
            <w:vAlign w:val="bottom"/>
            <w:gridSpan w:val="2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60" w:type="dxa"/>
            <w:vAlign w:val="bottom"/>
            <w:tcBorders>
              <w:bottom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420" w:type="dxa"/>
            <w:vAlign w:val="bottom"/>
            <w:tcBorders>
              <w:bottom w:val="single" w:sz="8" w:color="CCEEFF"/>
            </w:tcBorders>
            <w:shd w:val="clear" w:color="auto" w:fill="CCEEFF"/>
          </w:tcPr>
          <w:p>
            <w:pPr>
              <w:spacing w:after="0"/>
              <w:rPr>
                <w:sz w:val="15"/>
                <w:szCs w:val="15"/>
                <w:color w:val="auto"/>
              </w:rPr>
            </w:pPr>
          </w:p>
        </w:tc>
        <w:tc>
          <w:tcPr>
            <w:tcW w:w="920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Amended and Restated Certificate of Incorporation of the Company (incorporated by reference to Exhibit 3.1 to the Company’s</w:t>
              </w:r>
            </w:hyperlink>
          </w:p>
        </w:tc>
        <w:tc>
          <w:tcPr>
            <w:tcW w:w="660" w:type="dxa"/>
            <w:vAlign w:val="bottom"/>
            <w:tcBorders>
              <w:bottom w:val="single" w:sz="8" w:color="CCEEFF"/>
            </w:tcBorders>
            <w:gridSpan w:val="9"/>
            <w:shd w:val="clear" w:color="auto" w:fill="CCEEFF"/>
          </w:tcPr>
          <w:p>
            <w:pPr>
              <w:spacing w:after="0"/>
              <w:rPr>
                <w:sz w:val="15"/>
                <w:szCs w:val="15"/>
                <w:color w:val="auto"/>
              </w:rPr>
            </w:pPr>
          </w:p>
        </w:tc>
      </w:tr>
      <w:tr>
        <w:trPr>
          <w:trHeight w:val="217"/>
        </w:trPr>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608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Registration Statement on Form S-1 filed September 16, 1996, File No. 333-12073).</w:t>
              </w:r>
            </w:hyperlink>
          </w:p>
        </w:tc>
        <w:tc>
          <w:tcPr>
            <w:tcW w:w="3780" w:type="dxa"/>
            <w:vAlign w:val="bottom"/>
            <w:tcBorders>
              <w:bottom w:val="single" w:sz="8" w:color="CCEEFF"/>
            </w:tcBorders>
            <w:gridSpan w:val="15"/>
            <w:shd w:val="clear" w:color="auto" w:fill="CCEEFF"/>
          </w:tcPr>
          <w:p>
            <w:pPr>
              <w:spacing w:after="0"/>
              <w:rPr>
                <w:sz w:val="18"/>
                <w:szCs w:val="18"/>
                <w:color w:val="auto"/>
              </w:rPr>
            </w:pPr>
          </w:p>
        </w:tc>
      </w:tr>
      <w:tr>
        <w:trPr>
          <w:trHeight w:val="175"/>
        </w:trPr>
        <w:tc>
          <w:tcPr>
            <w:tcW w:w="96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420" w:type="dxa"/>
            <w:vAlign w:val="bottom"/>
          </w:tcPr>
          <w:p>
            <w:pPr>
              <w:spacing w:after="0"/>
              <w:rPr>
                <w:sz w:val="15"/>
                <w:szCs w:val="15"/>
                <w:color w:val="auto"/>
              </w:rPr>
            </w:pPr>
          </w:p>
        </w:tc>
        <w:tc>
          <w:tcPr>
            <w:tcW w:w="95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Certificate of Amendment to the Amended and Restated Certificate of Incorporation (incorporated by reference to Exhibit 3.2 to the</w:t>
              </w:r>
            </w:hyperlink>
          </w:p>
        </w:tc>
        <w:tc>
          <w:tcPr>
            <w:tcW w:w="340" w:type="dxa"/>
            <w:vAlign w:val="bottom"/>
            <w:gridSpan w:val="6"/>
          </w:tcPr>
          <w:p>
            <w:pPr>
              <w:spacing w:after="0"/>
              <w:rPr>
                <w:sz w:val="15"/>
                <w:szCs w:val="15"/>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gridSpan w:val="23"/>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Company’s Annual Report on Form 10-K for the year ended December 31, 2009, filed March 1, 2010).</w:t>
              </w:r>
            </w:hyperlink>
          </w:p>
        </w:tc>
      </w:tr>
      <w:tr>
        <w:trPr>
          <w:trHeight w:val="21"/>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60" w:type="dxa"/>
            <w:vAlign w:val="bottom"/>
            <w:tcBorders>
              <w:bottom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w w:val="97"/>
              </w:rPr>
              <w:t>4.3</w:t>
            </w:r>
          </w:p>
        </w:tc>
        <w:tc>
          <w:tcPr>
            <w:tcW w:w="420" w:type="dxa"/>
            <w:vAlign w:val="bottom"/>
            <w:tcBorders>
              <w:bottom w:val="single" w:sz="8" w:color="CCEEFF"/>
            </w:tcBorders>
            <w:shd w:val="clear" w:color="auto" w:fill="CCEEFF"/>
          </w:tcPr>
          <w:p>
            <w:pPr>
              <w:spacing w:after="0"/>
              <w:rPr>
                <w:sz w:val="15"/>
                <w:szCs w:val="15"/>
                <w:color w:val="auto"/>
              </w:rPr>
            </w:pPr>
          </w:p>
        </w:tc>
        <w:tc>
          <w:tcPr>
            <w:tcW w:w="896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Certificate of Designation, Preferences and Relative Participating, Optional and Other Special Rights of Preferred Stock and</w:t>
              </w:r>
            </w:hyperlink>
          </w:p>
        </w:tc>
        <w:tc>
          <w:tcPr>
            <w:tcW w:w="900" w:type="dxa"/>
            <w:vAlign w:val="bottom"/>
            <w:tcBorders>
              <w:bottom w:val="single" w:sz="8" w:color="CCEEFF"/>
            </w:tcBorders>
            <w:gridSpan w:val="10"/>
            <w:shd w:val="clear" w:color="auto" w:fill="CCEEFF"/>
          </w:tcPr>
          <w:p>
            <w:pPr>
              <w:spacing w:after="0"/>
              <w:rPr>
                <w:sz w:val="15"/>
                <w:szCs w:val="15"/>
                <w:color w:val="auto"/>
              </w:rPr>
            </w:pPr>
          </w:p>
        </w:tc>
      </w:tr>
      <w:tr>
        <w:trPr>
          <w:trHeight w:val="196"/>
        </w:trPr>
        <w:tc>
          <w:tcPr>
            <w:tcW w:w="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840" w:type="dxa"/>
            <w:vAlign w:val="bottom"/>
            <w:tcBorders>
              <w:bottom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Qualifications, Limitations and Restrictions Thereof (incorporated by reference to Exhibit 3.3 to the Company’s Annual Report on Form</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90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10-K for the year ended December 31, 2004, filed March 15, 2005).</w:t>
              </w:r>
            </w:hyperlink>
          </w:p>
        </w:tc>
        <w:tc>
          <w:tcPr>
            <w:tcW w:w="4960" w:type="dxa"/>
            <w:vAlign w:val="bottom"/>
            <w:tcBorders>
              <w:bottom w:val="single" w:sz="8" w:color="CCEEFF"/>
            </w:tcBorders>
            <w:gridSpan w:val="16"/>
            <w:shd w:val="clear" w:color="auto" w:fill="CCEEFF"/>
          </w:tcPr>
          <w:p>
            <w:pPr>
              <w:spacing w:after="0"/>
              <w:rPr>
                <w:sz w:val="18"/>
                <w:szCs w:val="18"/>
                <w:color w:val="auto"/>
              </w:rPr>
            </w:pPr>
          </w:p>
        </w:tc>
      </w:tr>
      <w:tr>
        <w:trPr>
          <w:trHeight w:val="176"/>
        </w:trPr>
        <w:tc>
          <w:tcPr>
            <w:tcW w:w="96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w w:val="97"/>
              </w:rPr>
              <w:t>4.4</w:t>
            </w:r>
          </w:p>
        </w:tc>
        <w:tc>
          <w:tcPr>
            <w:tcW w:w="420" w:type="dxa"/>
            <w:vAlign w:val="bottom"/>
          </w:tcPr>
          <w:p>
            <w:pPr>
              <w:spacing w:after="0"/>
              <w:rPr>
                <w:sz w:val="15"/>
                <w:szCs w:val="15"/>
                <w:color w:val="auto"/>
              </w:rPr>
            </w:pPr>
          </w:p>
        </w:tc>
        <w:tc>
          <w:tcPr>
            <w:tcW w:w="96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Fifth Amended and Restated Bylaws of Nu Skin Enterprises, Inc. (incorporated by reference to Exhibit 3.1 to the Company’s Current</w:t>
              </w:r>
            </w:hyperlink>
          </w:p>
        </w:tc>
        <w:tc>
          <w:tcPr>
            <w:tcW w:w="260" w:type="dxa"/>
            <w:vAlign w:val="bottom"/>
            <w:gridSpan w:val="5"/>
          </w:tcPr>
          <w:p>
            <w:pPr>
              <w:spacing w:after="0"/>
              <w:rPr>
                <w:sz w:val="15"/>
                <w:szCs w:val="15"/>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gridSpan w:val="23"/>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Report on Form 8-K filed February 6, 2024).</w:t>
              </w:r>
            </w:hyperlink>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w w:val="97"/>
              </w:rPr>
              <w:t>4.5</w:t>
            </w:r>
          </w:p>
        </w:tc>
        <w:tc>
          <w:tcPr>
            <w:tcW w:w="420" w:type="dxa"/>
            <w:vAlign w:val="bottom"/>
            <w:shd w:val="clear" w:color="auto" w:fill="CCEEFF"/>
          </w:tcPr>
          <w:p>
            <w:pPr>
              <w:spacing w:after="0"/>
              <w:rPr>
                <w:sz w:val="15"/>
                <w:szCs w:val="15"/>
                <w:color w:val="auto"/>
              </w:rPr>
            </w:pPr>
          </w:p>
        </w:tc>
        <w:tc>
          <w:tcPr>
            <w:tcW w:w="986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Specimen Form of Stock Certificate for Class A Common Stock (incorporated by reference to Exhibit 4.1 to the Company’s Annual</w:t>
              </w:r>
            </w:hyperlink>
          </w:p>
        </w:tc>
      </w:tr>
      <w:tr>
        <w:trPr>
          <w:trHeight w:val="217"/>
        </w:trPr>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6280" w:type="dxa"/>
            <w:vAlign w:val="bottom"/>
            <w:tcBorders>
              <w:top w:val="single" w:sz="8" w:color="0000EE"/>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Report on Form 10-K for the year ended December 31, 2022, filed February 16, 2023).</w:t>
              </w:r>
            </w:hyperlink>
          </w:p>
        </w:tc>
        <w:tc>
          <w:tcPr>
            <w:tcW w:w="322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360" w:type="dxa"/>
            <w:vAlign w:val="bottom"/>
            <w:tcBorders>
              <w:top w:val="single" w:sz="8" w:color="CCEEFF"/>
              <w:bottom w:val="single" w:sz="8" w:color="CCEEFF"/>
            </w:tcBorders>
            <w:gridSpan w:val="7"/>
            <w:shd w:val="clear" w:color="auto" w:fill="CCEEFF"/>
          </w:tcPr>
          <w:p>
            <w:pPr>
              <w:spacing w:after="0"/>
              <w:rPr>
                <w:sz w:val="18"/>
                <w:szCs w:val="18"/>
                <w:color w:val="auto"/>
              </w:rPr>
            </w:pPr>
          </w:p>
        </w:tc>
      </w:tr>
      <w:tr>
        <w:trPr>
          <w:trHeight w:val="175"/>
        </w:trPr>
        <w:tc>
          <w:tcPr>
            <w:tcW w:w="960" w:type="dxa"/>
            <w:vAlign w:val="bottom"/>
            <w:gridSpan w:val="2"/>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w w:val="98"/>
              </w:rPr>
              <w:t>23.1*</w:t>
            </w:r>
          </w:p>
        </w:tc>
        <w:tc>
          <w:tcPr>
            <w:tcW w:w="420" w:type="dxa"/>
            <w:vAlign w:val="bottom"/>
          </w:tcPr>
          <w:p>
            <w:pPr>
              <w:spacing w:after="0"/>
              <w:rPr>
                <w:sz w:val="15"/>
                <w:szCs w:val="15"/>
                <w:color w:val="auto"/>
              </w:rPr>
            </w:pPr>
          </w:p>
        </w:tc>
        <w:tc>
          <w:tcPr>
            <w:tcW w:w="98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Consent of PricewaterhouseCoopers LLP, independent registered public accounting firm.</w:t>
            </w:r>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Borders>
              <w:bottom w:val="single" w:sz="8" w:color="CCEEFF"/>
            </w:tcBorders>
            <w:gridSpan w:val="2"/>
            <w:shd w:val="clear" w:color="auto" w:fill="CCEEFF"/>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w w:val="98"/>
              </w:rPr>
              <w:t>24.1*</w:t>
            </w:r>
          </w:p>
        </w:tc>
        <w:tc>
          <w:tcPr>
            <w:tcW w:w="420" w:type="dxa"/>
            <w:vAlign w:val="bottom"/>
            <w:tcBorders>
              <w:bottom w:val="single" w:sz="8" w:color="CCEEFF"/>
            </w:tcBorders>
            <w:shd w:val="clear" w:color="auto" w:fill="CCEEFF"/>
          </w:tcPr>
          <w:p>
            <w:pPr>
              <w:spacing w:after="0"/>
              <w:rPr>
                <w:sz w:val="17"/>
                <w:szCs w:val="17"/>
                <w:color w:val="auto"/>
              </w:rPr>
            </w:pPr>
          </w:p>
        </w:tc>
        <w:tc>
          <w:tcPr>
            <w:tcW w:w="62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Power of Attorney (included on the signature page of this Post-Effective Amendment).</w:t>
            </w:r>
          </w:p>
        </w:tc>
        <w:tc>
          <w:tcPr>
            <w:tcW w:w="3600" w:type="dxa"/>
            <w:vAlign w:val="bottom"/>
            <w:tcBorders>
              <w:bottom w:val="single" w:sz="8" w:color="CCEEFF"/>
            </w:tcBorders>
            <w:gridSpan w:val="14"/>
            <w:shd w:val="clear" w:color="auto" w:fill="CCEEFF"/>
          </w:tcPr>
          <w:p>
            <w:pPr>
              <w:spacing w:after="0"/>
              <w:rPr>
                <w:sz w:val="17"/>
                <w:szCs w:val="17"/>
                <w:color w:val="auto"/>
              </w:rPr>
            </w:pPr>
          </w:p>
        </w:tc>
      </w:tr>
      <w:tr>
        <w:trPr>
          <w:trHeight w:val="175"/>
        </w:trPr>
        <w:tc>
          <w:tcPr>
            <w:tcW w:w="960" w:type="dxa"/>
            <w:vAlign w:val="bottom"/>
            <w:gridSpan w:val="2"/>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15"/>
                <w:szCs w:val="15"/>
                <w:color w:val="auto"/>
              </w:rPr>
            </w:pPr>
          </w:p>
        </w:tc>
        <w:tc>
          <w:tcPr>
            <w:tcW w:w="9860" w:type="dxa"/>
            <w:vAlign w:val="bottom"/>
            <w:gridSpan w:val="23"/>
          </w:tcPr>
          <w:p>
            <w:pPr>
              <w:spacing w:after="0" w:line="17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Nu Skin Enterprises, Inc. 2010 Omnibus Incentive Plan (incorporated by reference to Exhibit 10.1 to the Company’s Current Report on</w:t>
              </w:r>
            </w:hyperlink>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Form 8-K filed on June 2, 2010).</w:t>
              </w:r>
            </w:hyperlink>
          </w:p>
        </w:tc>
        <w:tc>
          <w:tcPr>
            <w:tcW w:w="120" w:type="dxa"/>
            <w:vAlign w:val="bottom"/>
            <w:gridSpan w:val="3"/>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420" w:type="dxa"/>
            <w:vAlign w:val="bottom"/>
            <w:shd w:val="clear" w:color="auto" w:fill="CCEEFF"/>
          </w:tcPr>
          <w:p>
            <w:pPr>
              <w:spacing w:after="0"/>
              <w:rPr>
                <w:sz w:val="15"/>
                <w:szCs w:val="15"/>
                <w:color w:val="auto"/>
              </w:rPr>
            </w:pPr>
          </w:p>
        </w:tc>
        <w:tc>
          <w:tcPr>
            <w:tcW w:w="986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Amended and Restated Nu Skin Enterprises, Inc. 2010 Omnibus Incentive Plan (incorporated by reference to Exhibit 10.1 to the</w:t>
              </w:r>
            </w:hyperlink>
          </w:p>
        </w:tc>
      </w:tr>
      <w:tr>
        <w:trPr>
          <w:trHeight w:val="196"/>
        </w:trPr>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924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Company’s Current Report on Form 8-K filed on June 7, 2013).</w:t>
              </w:r>
            </w:hyperlink>
          </w:p>
        </w:tc>
        <w:tc>
          <w:tcPr>
            <w:tcW w:w="620" w:type="dxa"/>
            <w:vAlign w:val="bottom"/>
            <w:tcBorders>
              <w:top w:val="single" w:sz="8" w:color="CCEEFF"/>
            </w:tcBorders>
            <w:gridSpan w:val="8"/>
            <w:shd w:val="clear" w:color="auto" w:fill="CCEEFF"/>
          </w:tcPr>
          <w:p>
            <w:pPr>
              <w:spacing w:after="0"/>
              <w:rPr>
                <w:sz w:val="17"/>
                <w:szCs w:val="17"/>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2"/>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420" w:type="dxa"/>
            <w:vAlign w:val="bottom"/>
          </w:tcPr>
          <w:p>
            <w:pPr>
              <w:spacing w:after="0"/>
              <w:rPr>
                <w:sz w:val="15"/>
                <w:szCs w:val="15"/>
                <w:color w:val="auto"/>
              </w:rPr>
            </w:pPr>
          </w:p>
        </w:tc>
        <w:tc>
          <w:tcPr>
            <w:tcW w:w="982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Second Amended and Restated Nu Skin Enterprises, Inc. 2010 Omnibus Incentive Plan (incorporated by reference to Exhibit 10.1 to the</w:t>
              </w:r>
            </w:hyperlink>
          </w:p>
        </w:tc>
        <w:tc>
          <w:tcPr>
            <w:tcW w:w="40" w:type="dxa"/>
            <w:vAlign w:val="bottom"/>
            <w:gridSpan w:val="2"/>
          </w:tcPr>
          <w:p>
            <w:pPr>
              <w:spacing w:after="0"/>
              <w:rPr>
                <w:sz w:val="15"/>
                <w:szCs w:val="15"/>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gridSpan w:val="23"/>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Company’s Current Report on Form 8-K filed May 24, 2016).</w:t>
              </w:r>
            </w:hyperlink>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60" w:type="dxa"/>
            <w:vAlign w:val="bottom"/>
            <w:tcBorders>
              <w:bottom w:val="single" w:sz="8" w:color="CCEEFF"/>
            </w:tcBorders>
            <w:gridSpan w:val="2"/>
            <w:shd w:val="clear" w:color="auto" w:fill="CCEEFF"/>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420" w:type="dxa"/>
            <w:vAlign w:val="bottom"/>
            <w:tcBorders>
              <w:bottom w:val="single" w:sz="8" w:color="CCEEFF"/>
            </w:tcBorders>
            <w:shd w:val="clear" w:color="auto" w:fill="CCEEFF"/>
          </w:tcPr>
          <w:p>
            <w:pPr>
              <w:spacing w:after="0"/>
              <w:rPr>
                <w:sz w:val="15"/>
                <w:szCs w:val="15"/>
                <w:color w:val="auto"/>
              </w:rPr>
            </w:pPr>
          </w:p>
        </w:tc>
        <w:tc>
          <w:tcPr>
            <w:tcW w:w="962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Third Amended and Restated 2010 Omnibus Incentive Plan (incorporated by reference to Exhibit 99.1 to the Company’s Registration</w:t>
              </w:r>
            </w:hyperlink>
          </w:p>
        </w:tc>
        <w:tc>
          <w:tcPr>
            <w:tcW w:w="240" w:type="dxa"/>
            <w:vAlign w:val="bottom"/>
            <w:tcBorders>
              <w:bottom w:val="single" w:sz="8" w:color="CCEEFF"/>
            </w:tcBorders>
            <w:gridSpan w:val="4"/>
            <w:shd w:val="clear" w:color="auto" w:fill="CCEEFF"/>
          </w:tcPr>
          <w:p>
            <w:pPr>
              <w:spacing w:after="0"/>
              <w:rPr>
                <w:sz w:val="15"/>
                <w:szCs w:val="15"/>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64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Statement on Form S-8 filed June 3, 2020, file no. 333-238908).</w:t>
              </w:r>
            </w:hyperlink>
          </w:p>
        </w:tc>
        <w:tc>
          <w:tcPr>
            <w:tcW w:w="5220" w:type="dxa"/>
            <w:vAlign w:val="bottom"/>
            <w:tcBorders>
              <w:bottom w:val="single" w:sz="8" w:color="CCEEFF"/>
            </w:tcBorders>
            <w:gridSpan w:val="17"/>
            <w:shd w:val="clear" w:color="auto" w:fill="CCEEFF"/>
          </w:tcPr>
          <w:p>
            <w:pPr>
              <w:spacing w:after="0"/>
              <w:rPr>
                <w:sz w:val="18"/>
                <w:szCs w:val="18"/>
                <w:color w:val="auto"/>
              </w:rPr>
            </w:pPr>
          </w:p>
        </w:tc>
      </w:tr>
      <w:tr>
        <w:trPr>
          <w:trHeight w:val="176"/>
        </w:trPr>
        <w:tc>
          <w:tcPr>
            <w:tcW w:w="960" w:type="dxa"/>
            <w:vAlign w:val="bottom"/>
            <w:gridSpan w:val="2"/>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rPr>
              <w:t>99.5</w:t>
            </w:r>
          </w:p>
        </w:tc>
        <w:tc>
          <w:tcPr>
            <w:tcW w:w="420" w:type="dxa"/>
            <w:vAlign w:val="bottom"/>
          </w:tcPr>
          <w:p>
            <w:pPr>
              <w:spacing w:after="0"/>
              <w:rPr>
                <w:sz w:val="15"/>
                <w:szCs w:val="15"/>
                <w:color w:val="auto"/>
              </w:rPr>
            </w:pPr>
          </w:p>
        </w:tc>
        <w:tc>
          <w:tcPr>
            <w:tcW w:w="9860" w:type="dxa"/>
            <w:vAlign w:val="bottom"/>
            <w:gridSpan w:val="23"/>
          </w:tcPr>
          <w:p>
            <w:pPr>
              <w:spacing w:after="0" w:line="17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Nu Skin Enterprises, Inc. 2024 Omnibus Incentive Plan (incorporated by reference to Exhibit 10.1 to the Company’s Current Report on</w:t>
              </w:r>
            </w:hyperlink>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1380"/>
        <w:spacing w:after="0"/>
        <w:rPr>
          <w:rFonts w:ascii="Times New Roman" w:cs="Times New Roman" w:eastAsia="Times New Roman" w:hAnsi="Times New Roman"/>
          <w:sz w:val="18"/>
          <w:szCs w:val="18"/>
          <w:u w:val="single" w:color="auto"/>
          <w:color w:val="0000EE"/>
        </w:rPr>
      </w:pPr>
      <w:hyperlink r:id="rId37">
        <w:r>
          <w:rPr>
            <w:rFonts w:ascii="Times New Roman" w:cs="Times New Roman" w:eastAsia="Times New Roman" w:hAnsi="Times New Roman"/>
            <w:sz w:val="18"/>
            <w:szCs w:val="18"/>
            <w:u w:val="single" w:color="auto"/>
            <w:color w:val="0000EE"/>
          </w:rPr>
          <w:t>Form 8-K filed June 6, 2024).</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22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ind w:left="1300" w:right="100" w:firstLine="652"/>
        <w:spacing w:after="0" w:line="255" w:lineRule="auto"/>
        <w:tabs>
          <w:tab w:leader="none" w:pos="261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300" w:right="100" w:firstLine="652"/>
        <w:spacing w:after="0" w:line="282" w:lineRule="auto"/>
        <w:tabs>
          <w:tab w:leader="none" w:pos="2623"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registration statement is on Form S-8, and the information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75" w:lineRule="exact"/>
        <w:rPr>
          <w:sz w:val="20"/>
          <w:szCs w:val="20"/>
          <w:color w:val="auto"/>
        </w:rPr>
      </w:pPr>
    </w:p>
    <w:p>
      <w:pPr>
        <w:ind w:left="660" w:right="20" w:firstLine="644"/>
        <w:spacing w:after="0" w:line="266" w:lineRule="auto"/>
        <w:tabs>
          <w:tab w:leader="none" w:pos="192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right="120" w:firstLine="656"/>
        <w:spacing w:after="0" w:line="258" w:lineRule="auto"/>
        <w:tabs>
          <w:tab w:leader="none" w:pos="1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firstLine="656"/>
        <w:spacing w:after="0" w:line="254" w:lineRule="auto"/>
        <w:tabs>
          <w:tab w:leader="none" w:pos="12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22" w:lineRule="exact"/>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and has duly caused this registration statement to be signed on its behalf by the undersigned, thereunto duly authorized, in the City of Provo, State of Utah, on this 7th day of June, 2024.</w:t>
      </w:r>
    </w:p>
    <w:p>
      <w:pPr>
        <w:spacing w:after="0" w:line="19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Ryan S. Napierski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Ryan S. Napierski and Chayce D. Clark, and each of them, his or her true and lawful attorneys-in-fact and agents, with full power of substitution and resubstitution, for him or her and in his or her name, place and stead, in any and all capacities, to sign any and all amendments to the registration statement (including post-effective amendments), and to file the same, with all exhibits thereto, and other documents in connection therewith, with the Securities and Exchange Commission, granting each of said attorneys-in-fact and agents full power and authority to do and perform each and every act and thing requisite and necessary to be done in and about the premises, as full to all intents and purposes as he or she might or could do in person, hereby ratifying and confirming all that said attorneys-in-fact and agents or any of them, or their substitute, may lawfully do or cause to be done by virtue hereof.</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08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40" w:type="dxa"/>
            <w:vAlign w:val="bottom"/>
          </w:tcPr>
          <w:p>
            <w:pPr>
              <w:spacing w:after="0"/>
              <w:rPr>
                <w:sz w:val="17"/>
                <w:szCs w:val="17"/>
                <w:color w:val="auto"/>
              </w:rPr>
            </w:pPr>
          </w:p>
        </w:tc>
        <w:tc>
          <w:tcPr>
            <w:tcW w:w="186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73"/>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Steven J. Lund</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Steven J. Lund</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Ryan S. Napierski</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Ryan S. Napierski</w:t>
            </w:r>
          </w:p>
        </w:tc>
        <w:tc>
          <w:tcPr>
            <w:tcW w:w="47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(Principal Executive Officer)</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James D. Thomas</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James D. Thomas</w:t>
            </w:r>
          </w:p>
        </w:tc>
        <w:tc>
          <w:tcPr>
            <w:tcW w:w="47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(Principal Financial Officer and Accounting Officer)</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Emma S. Battle</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Emma S. Battle</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Daniel W. Campbell</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Daniel W. Campbell</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Laura Nathanson</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Laura Nathanson</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Thomas R. Pisano</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Thomas R. Pisano</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Zheqing Shen</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Zheqing Shen</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Edwina D. Woodbury</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Edwina D. Woodbury</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579"/>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20" w:type="dxa"/>
            <w:vAlign w:val="bottom"/>
            <w:gridSpan w:val="2"/>
          </w:tcPr>
          <w:p>
            <w:pPr>
              <w:ind w:left="2200"/>
              <w:spacing w:after="0"/>
              <w:rPr>
                <w:sz w:val="20"/>
                <w:szCs w:val="20"/>
                <w:color w:val="auto"/>
              </w:rPr>
            </w:pPr>
            <w:r>
              <w:rPr>
                <w:rFonts w:ascii="Times New Roman" w:cs="Times New Roman" w:eastAsia="Times New Roman" w:hAnsi="Times New Roman"/>
                <w:sz w:val="14"/>
                <w:szCs w:val="14"/>
                <w:color w:val="auto"/>
              </w:rPr>
              <w:t>5</w:t>
            </w:r>
          </w:p>
        </w:tc>
        <w:tc>
          <w:tcPr>
            <w:tcW w:w="2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85"/>
        </w:trPr>
        <w:tc>
          <w:tcPr>
            <w:tcW w:w="1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Post-Effective Amendment No. 1 to the Registration Statements on Form S-8 (No. 333-167690, No. 333-190508, No. 333-211617, No. 333-238908, and No. 333-280044) of Nu Skin Enterprises, Inc. of our report dated February 14, 2024 relating to the financial statements and the effectiveness of internal control over financial reporting, which appears in Nu Skin Enterprises, Inc.’s Annual Report on Form 10-K for the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238E1F29"/>
    <w:multiLevelType w:val="hybridMultilevel"/>
    <w:lvl w:ilvl="0">
      <w:lvlJc w:val="left"/>
      <w:lvlText w:val="%1"/>
      <w:numFmt w:val="lowerLetter"/>
      <w:start w:val="1"/>
    </w:lvl>
    <w:lvl w:ilvl="1">
      <w:lvlJc w:val="left"/>
      <w:lvlText w:val="(%2)"/>
      <w:numFmt w:val="decimal"/>
      <w:start w:val="2"/>
    </w:lvl>
  </w:abstractNum>
  <w:abstractNum w:abstractNumId="4">
    <w:nsid w:val="46E87CCD"/>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7" Type="http://schemas.openxmlformats.org/officeDocument/2006/relationships/image" Target="media/image13.png"/><Relationship Id="rId38"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20" Type="http://schemas.openxmlformats.org/officeDocument/2006/relationships/hyperlink" Target="https://www.sec.gov/ix?doc=/Archives/edgar/data/1021561/000114036124008111/ef20015265_10k.htm" TargetMode="External"/><Relationship Id="rId21" Type="http://schemas.openxmlformats.org/officeDocument/2006/relationships/hyperlink" Target="https://www.sec.gov/ix?doc=/Archives/edgar/data/1021561/000114036124025012/ef20026282_10q.htm" TargetMode="External"/><Relationship Id="rId22" Type="http://schemas.openxmlformats.org/officeDocument/2006/relationships/hyperlink" Target="https://www.sec.gov/ix?doc=/Archives/edgar/data/1021561/000114036124005870/ef20020750_8k.htm" TargetMode="External"/><Relationship Id="rId23" Type="http://schemas.openxmlformats.org/officeDocument/2006/relationships/hyperlink" Target="https://www.sec.gov/ix?doc=/Archives/edgar/data/1021561/000114036124007981/ef20021676_8k.htm" TargetMode="External"/><Relationship Id="rId24" Type="http://schemas.openxmlformats.org/officeDocument/2006/relationships/hyperlink" Target="https://www.sec.gov/ix?doc=/Archives/edgar/data/1021561/000114036124013913/ef20024334_8k.htm" TargetMode="External"/><Relationship Id="rId25" Type="http://schemas.openxmlformats.org/officeDocument/2006/relationships/hyperlink" Target="https://www.sec.gov/ix?doc=/Archives/edgar/data/0001021561/000114036124029122/ef20030699_8k.htm" TargetMode="External"/><Relationship Id="rId26" Type="http://schemas.openxmlformats.org/officeDocument/2006/relationships/hyperlink" Target="https://www.sec.gov/Archives/edgar/data/1021561/000114036124008111/ef20015265_ex4-2.htm" TargetMode="External"/><Relationship Id="rId28" Type="http://schemas.openxmlformats.org/officeDocument/2006/relationships/hyperlink" Target="https://www.sec.gov/Archives/edgar/data/1021561/0000950109-96-005995.txt" TargetMode="External"/><Relationship Id="rId29" Type="http://schemas.openxmlformats.org/officeDocument/2006/relationships/hyperlink" Target="https://www.sec.gov/Archives/edgar/data/1021561/000102156110000024/ex3-2.htm" TargetMode="External"/><Relationship Id="rId30" Type="http://schemas.openxmlformats.org/officeDocument/2006/relationships/hyperlink" Target="https://www.sec.gov/Archives/edgar/data/1021561/000103393205000011/ex3-3.htm" TargetMode="External"/><Relationship Id="rId31" Type="http://schemas.openxmlformats.org/officeDocument/2006/relationships/hyperlink" Target="https://www.sec.gov/Archives/edgar/data/1021561/000114036124005870/ef20020750_ex3-1.htm" TargetMode="External"/><Relationship Id="rId32" Type="http://schemas.openxmlformats.org/officeDocument/2006/relationships/hyperlink" Target="https://www.sec.gov/Archives/edgar/data/1021561/000114036123007348/brhc10046901_ex4-1.htm" TargetMode="External"/><Relationship Id="rId33" Type="http://schemas.openxmlformats.org/officeDocument/2006/relationships/hyperlink" Target="https://www.sec.gov/Archives/edgar/data/1021561/000102156110000053/stockincentplan.htm" TargetMode="External"/><Relationship Id="rId34" Type="http://schemas.openxmlformats.org/officeDocument/2006/relationships/hyperlink" Target="https://www.sec.gov/Archives/edgar/data/1021561/000102156113000065/incentive2010plan.htm" TargetMode="External"/><Relationship Id="rId35" Type="http://schemas.openxmlformats.org/officeDocument/2006/relationships/hyperlink" Target="https://www.sec.gov/Archives/edgar/data/1021561/000102156116000134/ex10-1.htm" TargetMode="External"/><Relationship Id="rId36" Type="http://schemas.openxmlformats.org/officeDocument/2006/relationships/hyperlink" Target="https://www.sec.gov/Archives/edgar/data/1021561/000114036120012979/ex99_1.htm" TargetMode="External"/><Relationship Id="rId37" Type="http://schemas.openxmlformats.org/officeDocument/2006/relationships/hyperlink" Target="https://www.sec.gov/Archives/edgar/data/1021561/000114036124029122/ef20030699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2024-06-10T14:09:14Z</dcterms:created>
  <dcterms:modified xsi:type="dcterms:W3CDTF">2024-06-10T14:09:14Z</dcterms:modified>
</cp:coreProperties>
</file>