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500" w:hanging="492"/>
        <w:spacing w:after="0" w:line="282"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500" w:hanging="49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001-12421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30480</wp:posOffset>
            </wp:positionV>
            <wp:extent cx="57092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87-0565309</w:t>
            </w:r>
          </w:p>
        </w:tc>
      </w:tr>
      <w:tr>
        <w:trPr>
          <w:trHeight w:val="202"/>
        </w:trPr>
        <w:tc>
          <w:tcPr>
            <w:tcW w:w="32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or organization)</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1"/>
        </w:trPr>
        <w:tc>
          <w:tcPr>
            <w:tcW w:w="3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8"/>
                <w:szCs w:val="18"/>
                <w:b w:val="1"/>
                <w:bCs w:val="1"/>
                <w:color w:val="auto"/>
                <w:w w:val="90"/>
              </w:rPr>
              <w:t>Provo, Utah 84601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198"/>
        </w:trPr>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60" w:type="dxa"/>
            <w:vAlign w:val="bottom"/>
            <w:gridSpan w:val="6"/>
          </w:tcPr>
          <w:p>
            <w:pPr>
              <w:jc w:val="center"/>
              <w:ind w:right="110"/>
              <w:spacing w:after="0" w:line="198" w:lineRule="exact"/>
              <w:rPr>
                <w:sz w:val="20"/>
                <w:szCs w:val="20"/>
                <w:color w:val="auto"/>
              </w:rPr>
            </w:pPr>
            <w:r>
              <w:rPr>
                <w:rFonts w:ascii="Arial" w:cs="Arial" w:eastAsia="Arial" w:hAnsi="Arial"/>
                <w:sz w:val="18"/>
                <w:szCs w:val="18"/>
                <w:color w:val="auto"/>
                <w:w w:val="92"/>
              </w:rPr>
              <w:t>(Address of principal executive offices, including zip code)</w:t>
            </w:r>
          </w:p>
        </w:tc>
        <w:tc>
          <w:tcPr>
            <w:tcW w:w="20" w:type="dxa"/>
            <w:vAlign w:val="bottom"/>
          </w:tcPr>
          <w:p>
            <w:pPr>
              <w:spacing w:after="0"/>
              <w:rPr>
                <w:sz w:val="17"/>
                <w:szCs w:val="17"/>
                <w:color w:val="auto"/>
              </w:rPr>
            </w:pPr>
          </w:p>
        </w:tc>
        <w:tc>
          <w:tcPr>
            <w:tcW w:w="3000" w:type="dxa"/>
            <w:vAlign w:val="bottom"/>
            <w:gridSpan w:val="2"/>
          </w:tcPr>
          <w:p>
            <w:pPr>
              <w:spacing w:after="0"/>
              <w:rPr>
                <w:sz w:val="17"/>
                <w:szCs w:val="17"/>
                <w:color w:val="auto"/>
              </w:rPr>
            </w:pPr>
          </w:p>
        </w:tc>
      </w:tr>
      <w:tr>
        <w:trPr>
          <w:trHeight w:val="241"/>
        </w:trPr>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3"/>
          </w:tcPr>
          <w:p>
            <w:pPr>
              <w:jc w:val="center"/>
              <w:ind w:left="1230"/>
              <w:spacing w:after="0"/>
              <w:rPr>
                <w:sz w:val="20"/>
                <w:szCs w:val="20"/>
                <w:color w:val="auto"/>
              </w:rPr>
            </w:pPr>
            <w:r>
              <w:rPr>
                <w:rFonts w:ascii="Arial" w:cs="Arial" w:eastAsia="Arial" w:hAnsi="Arial"/>
                <w:sz w:val="18"/>
                <w:szCs w:val="18"/>
                <w:b w:val="1"/>
                <w:bCs w:val="1"/>
                <w:color w:val="auto"/>
                <w:w w:val="90"/>
              </w:rPr>
              <w:t>(801) 345-1000</w:t>
            </w: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30"/>
        </w:trPr>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70"/>
              <w:spacing w:after="0"/>
              <w:rPr>
                <w:sz w:val="20"/>
                <w:szCs w:val="20"/>
                <w:color w:val="auto"/>
              </w:rPr>
            </w:pPr>
            <w:r>
              <w:rPr>
                <w:rFonts w:ascii="Arial" w:cs="Arial" w:eastAsia="Arial" w:hAnsi="Arial"/>
                <w:sz w:val="18"/>
                <w:szCs w:val="18"/>
                <w:color w:val="auto"/>
                <w:w w:val="89"/>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8"/>
        </w:trPr>
        <w:tc>
          <w:tcPr>
            <w:tcW w:w="77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Trading Symbol(s)</w:t>
            </w:r>
          </w:p>
        </w:tc>
        <w:tc>
          <w:tcPr>
            <w:tcW w:w="3540" w:type="dxa"/>
            <w:vAlign w:val="bottom"/>
            <w:gridSpan w:val="4"/>
          </w:tcPr>
          <w:p>
            <w:pPr>
              <w:jc w:val="center"/>
              <w:ind w:righ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460" w:type="dxa"/>
            <w:vAlign w:val="bottom"/>
            <w:tcBorders>
              <w:top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0"/>
              </w:rPr>
              <w:t>Class A Common Stock, $.001 par value</w:t>
            </w:r>
          </w:p>
        </w:tc>
        <w:tc>
          <w:tcPr>
            <w:tcW w:w="20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NUS</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5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2023, 49,958,985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40" w:type="dxa"/>
            <w:vAlign w:val="bottom"/>
            <w:gridSpan w:val="8"/>
          </w:tcPr>
          <w:p>
            <w:pPr>
              <w:jc w:val="center"/>
              <w:ind w:right="3780"/>
              <w:spacing w:after="0"/>
              <w:rPr>
                <w:sz w:val="20"/>
                <w:szCs w:val="20"/>
                <w:color w:val="auto"/>
              </w:rPr>
            </w:pPr>
            <w:r>
              <w:rPr>
                <w:rFonts w:ascii="Arial" w:cs="Arial" w:eastAsia="Arial" w:hAnsi="Arial"/>
                <w:sz w:val="18"/>
                <w:szCs w:val="18"/>
                <w:b w:val="1"/>
                <w:bCs w:val="1"/>
                <w:color w:val="auto"/>
                <w:w w:val="99"/>
              </w:rPr>
              <w:t>NU SKIN ENTERPRISES, INC.</w:t>
            </w:r>
          </w:p>
        </w:tc>
        <w:tc>
          <w:tcPr>
            <w:tcW w:w="50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gridSpan w:val="14"/>
          </w:tcPr>
          <w:p>
            <w:pPr>
              <w:jc w:val="center"/>
              <w:ind w:right="2140"/>
              <w:spacing w:after="0"/>
              <w:rPr>
                <w:sz w:val="20"/>
                <w:szCs w:val="20"/>
                <w:color w:val="auto"/>
              </w:rPr>
            </w:pPr>
            <w:r>
              <w:rPr>
                <w:rFonts w:ascii="Arial" w:cs="Arial" w:eastAsia="Arial" w:hAnsi="Arial"/>
                <w:sz w:val="18"/>
                <w:szCs w:val="18"/>
                <w:b w:val="1"/>
                <w:bCs w:val="1"/>
                <w:color w:val="auto"/>
                <w:w w:val="98"/>
              </w:rPr>
              <w:t>QUARTERLY REPORT ON FORM 10-Q – SECOND QUARTER 2023</w:t>
            </w:r>
          </w:p>
        </w:tc>
        <w:tc>
          <w:tcPr>
            <w:tcW w:w="50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439"/>
        </w:trPr>
        <w:tc>
          <w:tcPr>
            <w:tcW w:w="7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25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Page</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040" w:type="dxa"/>
            <w:vAlign w:val="bottom"/>
            <w:gridSpan w:val="19"/>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Item 1.</w:t>
            </w:r>
          </w:p>
        </w:tc>
        <w:tc>
          <w:tcPr>
            <w:tcW w:w="9220" w:type="dxa"/>
            <w:vAlign w:val="bottom"/>
            <w:gridSpan w:val="17"/>
          </w:tcPr>
          <w:p>
            <w:pPr>
              <w:ind w:left="220"/>
              <w:spacing w:after="0"/>
              <w:rPr>
                <w:sz w:val="20"/>
                <w:szCs w:val="20"/>
                <w:color w:val="auto"/>
              </w:rPr>
            </w:pPr>
            <w:r>
              <w:rPr>
                <w:rFonts w:ascii="Arial" w:cs="Arial" w:eastAsia="Arial" w:hAnsi="Arial"/>
                <w:sz w:val="18"/>
                <w:szCs w:val="18"/>
                <w:color w:val="auto"/>
              </w:rPr>
              <w:t>Financial Statements (Unaudited):</w:t>
            </w:r>
          </w:p>
        </w:tc>
        <w:tc>
          <w:tcPr>
            <w:tcW w:w="500" w:type="dxa"/>
            <w:vAlign w:val="bottom"/>
          </w:tcPr>
          <w:p>
            <w:pPr>
              <w:spacing w:after="0"/>
              <w:rPr>
                <w:sz w:val="18"/>
                <w:szCs w:val="18"/>
                <w:color w:val="auto"/>
              </w:rPr>
            </w:pPr>
          </w:p>
        </w:tc>
      </w:tr>
      <w:tr>
        <w:trPr>
          <w:trHeight w:val="176"/>
        </w:trPr>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Consolidated Balance Sheets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Consolidated Statements of Income</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Consolidated Statements of Comprehensive Income</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Consolidated Statements of Stockholders’ Equity</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Consolidated Statements of Cash Flows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4.</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Controls and Procedures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0040" w:type="dxa"/>
            <w:vAlign w:val="bottom"/>
            <w:gridSpan w:val="19"/>
          </w:tcPr>
          <w:p>
            <w:pPr>
              <w:ind w:left="140"/>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tcPr>
          <w:p>
            <w:pPr>
              <w:spacing w:after="0"/>
              <w:rPr>
                <w:sz w:val="18"/>
                <w:szCs w:val="18"/>
                <w:color w:val="auto"/>
              </w:rPr>
            </w:pPr>
          </w:p>
        </w:tc>
      </w:tr>
      <w:tr>
        <w:trPr>
          <w:trHeight w:val="175"/>
        </w:trPr>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1.</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Legal Proceedings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Item 1A.</w:t>
            </w: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Risk Factors</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Defaults Upon Senior Securities</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4.</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Mine Safety Disclosures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8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Item 5.</w:t>
            </w:r>
          </w:p>
        </w:tc>
        <w:tc>
          <w:tcPr>
            <w:tcW w:w="9220" w:type="dxa"/>
            <w:vAlign w:val="bottom"/>
            <w:gridSpan w:val="17"/>
          </w:tcPr>
          <w:p>
            <w:pPr>
              <w:ind w:left="220"/>
              <w:spacing w:after="0" w:line="176" w:lineRule="exact"/>
              <w:rPr>
                <w:sz w:val="20"/>
                <w:szCs w:val="20"/>
                <w:color w:val="auto"/>
              </w:rPr>
            </w:pPr>
            <w:r>
              <w:rPr>
                <w:rFonts w:ascii="Arial" w:cs="Arial" w:eastAsia="Arial" w:hAnsi="Arial"/>
                <w:sz w:val="18"/>
                <w:szCs w:val="18"/>
                <w:color w:val="0000EE"/>
              </w:rPr>
              <w:t>Other Information</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Item 6.</w:t>
            </w:r>
          </w:p>
        </w:tc>
        <w:tc>
          <w:tcPr>
            <w:tcW w:w="9220" w:type="dxa"/>
            <w:vAlign w:val="bottom"/>
            <w:gridSpan w:val="17"/>
            <w:shd w:val="clear" w:color="auto" w:fill="CCEEFF"/>
          </w:tcPr>
          <w:p>
            <w:pPr>
              <w:ind w:left="220"/>
              <w:spacing w:after="0" w:line="176" w:lineRule="exact"/>
              <w:rPr>
                <w:sz w:val="20"/>
                <w:szCs w:val="20"/>
                <w:color w:val="auto"/>
              </w:rPr>
            </w:pPr>
            <w:r>
              <w:rPr>
                <w:rFonts w:ascii="Arial" w:cs="Arial" w:eastAsia="Arial" w:hAnsi="Arial"/>
                <w:sz w:val="18"/>
                <w:szCs w:val="18"/>
                <w:color w:val="0000EE"/>
              </w:rPr>
              <w:t>Exhibits</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r>
      <w:tr>
        <w:trPr>
          <w:trHeight w:val="176"/>
        </w:trPr>
        <w:tc>
          <w:tcPr>
            <w:tcW w:w="7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0000EE"/>
                <w:w w:val="85"/>
              </w:rPr>
              <w:t>Signature</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FINANCIAL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STATEMENTS</w:t>
            </w:r>
          </w:p>
        </w:tc>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NU SKIN ENTERPRISES,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60" w:type="dxa"/>
            <w:vAlign w:val="bottom"/>
            <w:gridSpan w:val="3"/>
          </w:tcPr>
          <w:p>
            <w:pPr>
              <w:spacing w:after="0"/>
              <w:rPr>
                <w:sz w:val="20"/>
                <w:szCs w:val="20"/>
                <w:color w:val="auto"/>
              </w:rPr>
            </w:pPr>
            <w:r>
              <w:rPr>
                <w:rFonts w:ascii="Arial" w:cs="Arial" w:eastAsia="Arial" w:hAnsi="Arial"/>
                <w:sz w:val="18"/>
                <w:szCs w:val="18"/>
                <w:color w:val="auto"/>
              </w:rPr>
              <w:t>(U.S. 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264,725</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Current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346,183</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792,575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759,868</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430,328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444,806</w:t>
            </w: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98,734</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206,432</w:t>
            </w: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66,701</w:t>
            </w:r>
          </w:p>
        </w:tc>
        <w:tc>
          <w:tcPr>
            <w:tcW w:w="100" w:type="dxa"/>
            <w:vAlign w:val="bottom"/>
            <w:shd w:val="clear" w:color="auto" w:fill="CCEEFF"/>
          </w:tcPr>
          <w:p>
            <w:pPr>
              <w:spacing w:after="0"/>
              <w:rPr>
                <w:sz w:val="18"/>
                <w:szCs w:val="18"/>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22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234,078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244,429</w:t>
            </w:r>
          </w:p>
        </w:tc>
        <w:tc>
          <w:tcPr>
            <w:tcW w:w="100" w:type="dxa"/>
            <w:vAlign w:val="bottom"/>
          </w:tcPr>
          <w:p>
            <w:pPr>
              <w:spacing w:after="0"/>
              <w:rPr>
                <w:sz w:val="19"/>
                <w:szCs w:val="19"/>
                <w:color w:val="auto"/>
              </w:rPr>
            </w:pPr>
          </w:p>
        </w:tc>
      </w:tr>
      <w:tr>
        <w:trPr>
          <w:trHeight w:val="257"/>
        </w:trPr>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1,893,776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1,820,970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280,280</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445,039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359,243</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76,540</w:t>
            </w: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377,466</w:t>
            </w:r>
          </w:p>
        </w:tc>
        <w:tc>
          <w:tcPr>
            <w:tcW w:w="100" w:type="dxa"/>
            <w:vAlign w:val="bottom"/>
            <w:shd w:val="clear" w:color="auto" w:fill="CCEEFF"/>
          </w:tcPr>
          <w:p>
            <w:pPr>
              <w:spacing w:after="0"/>
              <w:rPr>
                <w:sz w:val="18"/>
                <w:szCs w:val="18"/>
                <w:color w:val="auto"/>
              </w:rPr>
            </w:pPr>
          </w:p>
        </w:tc>
      </w:tr>
      <w:tr>
        <w:trPr>
          <w:trHeight w:val="223"/>
        </w:trPr>
        <w:tc>
          <w:tcPr>
            <w:tcW w:w="86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110,425</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998,431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923,674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(Notes 5 and 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Class A common stock – 500 million shares authorized, $0.001 par value, 90.6 million shares issued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8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613,278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Treasury stock, at cost – 40.6 million and 41.1 million shares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(1,557,777)</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(1,569,061)</w:t>
            </w:r>
          </w:p>
        </w:tc>
      </w:tr>
      <w:tr>
        <w:trPr>
          <w:trHeight w:val="216"/>
        </w:trPr>
        <w:tc>
          <w:tcPr>
            <w:tcW w:w="8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(101,446)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(86,509)</w:t>
            </w:r>
          </w:p>
        </w:tc>
      </w:tr>
      <w:tr>
        <w:trPr>
          <w:trHeight w:val="223"/>
        </w:trPr>
        <w:tc>
          <w:tcPr>
            <w:tcW w:w="866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1,938,898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1,939,497</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895,345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1,893,776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1,820,970</w:t>
            </w:r>
          </w:p>
        </w:tc>
        <w:tc>
          <w:tcPr>
            <w:tcW w:w="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r>
              <w:rPr>
                <w:rFonts w:ascii="Arial" w:cs="Arial" w:eastAsia="Arial" w:hAnsi="Arial"/>
                <w:sz w:val="18"/>
                <w:szCs w:val="18"/>
                <w:color w:val="auto"/>
              </w:rPr>
              <w:t>,</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1,165,514</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269,130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309,599</w:t>
            </w:r>
          </w:p>
        </w:tc>
        <w:tc>
          <w:tcPr>
            <w:tcW w:w="100" w:type="dxa"/>
            <w:vAlign w:val="bottom"/>
          </w:tcPr>
          <w:p>
            <w:pPr>
              <w:spacing w:after="0"/>
              <w:rPr>
                <w:sz w:val="19"/>
                <w:szCs w:val="19"/>
                <w:color w:val="auto"/>
              </w:rPr>
            </w:pP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Selling expenses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462,125</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290,118</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ind w:left="180"/>
              <w:spacing w:after="0"/>
              <w:rPr>
                <w:sz w:val="20"/>
                <w:szCs w:val="20"/>
                <w:color w:val="auto"/>
              </w:rPr>
            </w:pPr>
            <w:r>
              <w:rPr>
                <w:rFonts w:ascii="Arial" w:cs="Arial" w:eastAsia="Arial" w:hAnsi="Arial"/>
                <w:sz w:val="18"/>
                <w:szCs w:val="18"/>
                <w:color w:val="auto"/>
              </w:rPr>
              <w:t>Restructuring and impairment expenses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654,019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103,672</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Other expense, net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(6,869)</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(10,093)</w:t>
            </w:r>
          </w:p>
        </w:tc>
      </w:tr>
      <w:tr>
        <w:trPr>
          <w:trHeight w:val="216"/>
        </w:trPr>
        <w:tc>
          <w:tcPr>
            <w:tcW w:w="4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93,579</w:t>
            </w:r>
          </w:p>
        </w:tc>
        <w:tc>
          <w:tcPr>
            <w:tcW w:w="100" w:type="dxa"/>
            <w:vAlign w:val="bottom"/>
          </w:tcPr>
          <w:p>
            <w:pPr>
              <w:spacing w:after="0"/>
              <w:rPr>
                <w:sz w:val="18"/>
                <w:szCs w:val="18"/>
                <w:color w:val="auto"/>
              </w:rPr>
            </w:pP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34,237</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shd w:val="clear" w:color="auto" w:fill="CCEEFF"/>
          </w:tcPr>
          <w:p>
            <w:pPr>
              <w:spacing w:after="0"/>
              <w:rPr>
                <w:sz w:val="22"/>
                <w:szCs w:val="22"/>
                <w:color w:val="auto"/>
              </w:rPr>
            </w:pPr>
          </w:p>
        </w:tc>
      </w:tr>
      <w:tr>
        <w:trPr>
          <w:trHeight w:val="209"/>
        </w:trPr>
        <w:tc>
          <w:tcPr>
            <w:tcW w:w="49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(Note 6):</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(000s):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50,368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50,181</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140"/>
              <w:spacing w:after="0" w:line="201" w:lineRule="exact"/>
              <w:rPr>
                <w:sz w:val="20"/>
                <w:szCs w:val="20"/>
                <w:color w:val="auto"/>
              </w:rPr>
            </w:pPr>
            <w:r>
              <w:rPr>
                <w:rFonts w:ascii="Arial" w:cs="Arial" w:eastAsia="Arial" w:hAnsi="Arial"/>
                <w:sz w:val="18"/>
                <w:szCs w:val="18"/>
                <w:color w:val="auto"/>
                <w:w w:val="95"/>
              </w:rPr>
              <w:t>Foreign currency translation adjustment, net of taxes of zero and $36 for the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8"/>
                <w:szCs w:val="18"/>
                <w:color w:val="auto"/>
                <w:w w:val="91"/>
              </w:rPr>
              <w:t>three months ended June 30, 2023 and 2022, respectively, and $(68) and $29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 the six months ended June 30, 2023 and 2022, respectively</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(22,452)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(13,678)</w:t>
            </w: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(24,412)</w:t>
            </w:r>
          </w:p>
        </w:tc>
      </w:tr>
      <w:tr>
        <w:trPr>
          <w:trHeight w:val="202"/>
        </w:trPr>
        <w:tc>
          <w:tcPr>
            <w:tcW w:w="59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Net unrealized gains/(losses) on cash flow hedges, net of taxes of $(837)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$(436) for the three months ended June 30, 2023 and 2022, respectively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$(662) and $(2,179) for the six months ended June 30, 2023 and 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00" w:type="dxa"/>
            <w:vAlign w:val="bottom"/>
            <w:shd w:val="clear" w:color="auto" w:fill="CCEEFF"/>
          </w:tcPr>
          <w:p>
            <w:pPr>
              <w:spacing w:after="0"/>
              <w:rPr>
                <w:sz w:val="20"/>
                <w:szCs w:val="20"/>
                <w:color w:val="auto"/>
              </w:rPr>
            </w:pPr>
          </w:p>
        </w:tc>
      </w:tr>
      <w:tr>
        <w:trPr>
          <w:trHeight w:val="202"/>
        </w:trPr>
        <w:tc>
          <w:tcPr>
            <w:tcW w:w="5960" w:type="dxa"/>
            <w:vAlign w:val="bottom"/>
          </w:tcPr>
          <w:p>
            <w:pPr>
              <w:ind w:left="140"/>
              <w:spacing w:after="0" w:line="201" w:lineRule="exact"/>
              <w:rPr>
                <w:sz w:val="20"/>
                <w:szCs w:val="20"/>
                <w:color w:val="auto"/>
              </w:rPr>
            </w:pPr>
            <w:r>
              <w:rPr>
                <w:rFonts w:ascii="Arial" w:cs="Arial" w:eastAsia="Arial" w:hAnsi="Arial"/>
                <w:sz w:val="18"/>
                <w:szCs w:val="18"/>
                <w:color w:val="auto"/>
                <w:w w:val="95"/>
              </w:rPr>
              <w:t>Reclassification adjustment for realized losses/(gains) in current earnings 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8"/>
                <w:szCs w:val="18"/>
                <w:color w:val="auto"/>
              </w:rPr>
              <w:t>cash flow hedges, net of taxes of $533 and $65 for the three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8"/>
                <w:szCs w:val="18"/>
                <w:color w:val="auto"/>
                <w:w w:val="94"/>
              </w:rPr>
              <w:t>ended June 30, 2023 and 2022, respectively and $1,008 and $61 for the six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60" w:type="dxa"/>
            <w:vAlign w:val="bottom"/>
          </w:tcPr>
          <w:p>
            <w:pPr>
              <w:ind w:left="260"/>
              <w:spacing w:after="0"/>
              <w:rPr>
                <w:sz w:val="20"/>
                <w:szCs w:val="20"/>
                <w:color w:val="auto"/>
              </w:rPr>
            </w:pPr>
            <w:r>
              <w:rPr>
                <w:rFonts w:ascii="Arial" w:cs="Arial" w:eastAsia="Arial" w:hAnsi="Arial"/>
                <w:sz w:val="18"/>
                <w:szCs w:val="18"/>
                <w:color w:val="auto"/>
              </w:rPr>
              <w:t>months ended June 30, 2023 and 2022, respectively</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r>
      <w:tr>
        <w:trPr>
          <w:trHeight w:val="223"/>
        </w:trPr>
        <w:tc>
          <w:tcPr>
            <w:tcW w:w="5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16,451</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13,127</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23,331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56,211</w:t>
            </w:r>
          </w:p>
        </w:tc>
        <w:tc>
          <w:tcPr>
            <w:tcW w:w="10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June 30, 2023</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4"/>
              </w:rPr>
              <w:t>Class 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2023</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611,483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(1,559,080)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1,931,481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892,970</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(10,441)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(10,441)</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Exercise of employee stock options (0.1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million shares)/vesting of stock awards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(19,475)</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0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615,579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(1,557,777)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(101,446)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1,938,898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895,345</w:t>
            </w:r>
          </w:p>
        </w:tc>
        <w:tc>
          <w:tcPr>
            <w:tcW w:w="100" w:type="dxa"/>
            <w:vAlign w:val="bottom"/>
          </w:tcPr>
          <w:p>
            <w:pPr>
              <w:spacing w:after="0"/>
              <w:rPr>
                <w:sz w:val="18"/>
                <w:szCs w:val="18"/>
                <w:color w:val="auto"/>
              </w:rPr>
            </w:pPr>
          </w:p>
        </w:tc>
      </w:tr>
      <w:tr>
        <w:trPr>
          <w:trHeight w:val="21"/>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June 30, 2022</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4"/>
              </w:rPr>
              <w:t>Class 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2022</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599,258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(1,526,778)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934,200</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(21,110)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(21,110)</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(10,004)</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(10,004)</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6"/>
              </w:rPr>
              <w:t>Exercise of employee stock options (0.7</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w w:val="95"/>
              </w:rPr>
              <w:t>million shares)/vesting of stock awards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21,082</w:t>
            </w:r>
          </w:p>
        </w:tc>
        <w:tc>
          <w:tcPr>
            <w:tcW w:w="100" w:type="dxa"/>
            <w:vAlign w:val="bottom"/>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Cash dividends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(19,392)</w:t>
            </w: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(19,392)</w:t>
            </w: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8"/>
                <w:szCs w:val="18"/>
                <w:b w:val="1"/>
                <w:bCs w:val="1"/>
                <w:color w:val="auto"/>
              </w:rPr>
              <w:t>For the Six Months Ended June 30, 2023</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4"/>
              </w:rPr>
              <w:t>Class 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613,278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(1,569,061)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1,939,497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897,296</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(14,937)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(14,937)</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Exercise of employee stock options (0.5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million shares)/vesting of stock awards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(38,867)</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06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615,579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(1,557,777)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(101,446)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1,938,898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895,345</w:t>
            </w:r>
          </w:p>
        </w:tc>
        <w:tc>
          <w:tcPr>
            <w:tcW w:w="10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8"/>
                <w:szCs w:val="18"/>
                <w:b w:val="1"/>
                <w:bCs w:val="1"/>
                <w:color w:val="auto"/>
              </w:rPr>
              <w:t>For the Six Months Ended June 30, 2022</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4"/>
              </w:rPr>
              <w:t>Class 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left="116"/>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(16,742)</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(20,010)</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(20,010)</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6"/>
              </w:rPr>
              <w:t>Exercise of employee stock options (1.1</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w w:val="95"/>
              </w:rPr>
              <w:t>million shares)/vesting of stock awards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(1,503)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24,598</w:t>
            </w:r>
          </w:p>
        </w:tc>
        <w:tc>
          <w:tcPr>
            <w:tcW w:w="100" w:type="dxa"/>
            <w:vAlign w:val="bottom"/>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Cash dividends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(38,685)</w:t>
            </w: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(38,685)</w:t>
            </w:r>
          </w:p>
        </w:tc>
      </w:tr>
      <w:tr>
        <w:trPr>
          <w:trHeight w:val="25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Adjustments to reconcile net income to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8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80"/>
              <w:spacing w:after="0"/>
              <w:rPr>
                <w:sz w:val="20"/>
                <w:szCs w:val="20"/>
                <w:color w:val="auto"/>
              </w:rPr>
            </w:pPr>
            <w:r>
              <w:rPr>
                <w:rFonts w:ascii="Arial" w:cs="Arial" w:eastAsia="Arial" w:hAnsi="Arial"/>
                <w:sz w:val="18"/>
                <w:szCs w:val="18"/>
                <w:color w:val="auto"/>
              </w:rPr>
              <w:t>Foreign currency (gains)/losses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(Gain)/loss on disposal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7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(22,368)</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(6,926)</w:t>
            </w:r>
          </w:p>
        </w:tc>
      </w:tr>
      <w:tr>
        <w:trPr>
          <w:trHeight w:val="216"/>
        </w:trPr>
        <w:tc>
          <w:tcPr>
            <w:tcW w:w="8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7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(12,140)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(17,527)</w:t>
            </w:r>
          </w:p>
        </w:tc>
      </w:tr>
      <w:tr>
        <w:trPr>
          <w:trHeight w:val="216"/>
        </w:trPr>
        <w:tc>
          <w:tcPr>
            <w:tcW w:w="8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(4,195)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(23,345)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(97,413)</w:t>
            </w:r>
          </w:p>
        </w:tc>
      </w:tr>
      <w:tr>
        <w:trPr>
          <w:trHeight w:val="223"/>
        </w:trPr>
        <w:tc>
          <w:tcPr>
            <w:tcW w:w="8660" w:type="dxa"/>
            <w:vAlign w:val="bottom"/>
          </w:tcPr>
          <w:p>
            <w:pPr>
              <w:ind w:left="7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(1,148)</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(17,152)</w:t>
            </w:r>
          </w:p>
        </w:tc>
      </w:tr>
      <w:tr>
        <w:trPr>
          <w:trHeight w:val="223"/>
        </w:trPr>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(26,199)</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(19,818)</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(16,883)</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(13,955)</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(77,275)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6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(107,197)</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(28,483)</w:t>
            </w:r>
          </w:p>
        </w:tc>
      </w:tr>
      <w:tr>
        <w:trPr>
          <w:trHeight w:val="216"/>
        </w:trPr>
        <w:tc>
          <w:tcPr>
            <w:tcW w:w="8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(38,867)</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(38,685)</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shares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(20,010)</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Finance lease principal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w:t>
            </w: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(407,500)</w:t>
            </w:r>
          </w:p>
        </w:tc>
      </w:tr>
      <w:tr>
        <w:trPr>
          <w:trHeight w:val="223"/>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60" w:type="dxa"/>
            <w:vAlign w:val="bottom"/>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(4,788)</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(13,682)</w:t>
            </w:r>
          </w:p>
        </w:tc>
      </w:tr>
      <w:tr>
        <w:trPr>
          <w:trHeight w:val="216"/>
        </w:trPr>
        <w:tc>
          <w:tcPr>
            <w:tcW w:w="8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ind w:left="140"/>
              <w:spacing w:after="0"/>
              <w:rPr>
                <w:sz w:val="20"/>
                <w:szCs w:val="20"/>
                <w:color w:val="auto"/>
              </w:rPr>
            </w:pPr>
            <w:r>
              <w:rPr>
                <w:rFonts w:ascii="Arial" w:cs="Arial" w:eastAsia="Arial" w:hAnsi="Arial"/>
                <w:sz w:val="18"/>
                <w:szCs w:val="18"/>
                <w:color w:val="auto"/>
              </w:rPr>
              <w:t>Net (decrease) / increase in cash and cash equivalents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(29,171)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339,593</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363,923</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Australia, Indonesia, Malaysia, New Zealand, the Philippines, Singapore, Thailand and Vietnam; South Korea; Japan; Europe and Africa, which includes markets in Europe as well as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June 30, 2023, and for the three- and six-month periods ended June 30, 2023 and 2022. The results of operations of any interim period are not necessarily indicative of the results of operations to be expected for the fiscal year. The consolidated balance sheet as of December 31, 2022 has been prepared using information from the audited financial statements at that date. For further information, refer to the consolidated financial statements and accompanying footnotes included in the Company’s Annual Report on Form 10-K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Rate Reform (Topic 848): Facilitation of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Reference Rate Reform on Financial Reporting, </w:t>
      </w:r>
      <w:r>
        <w:rPr>
          <w:rFonts w:ascii="Arial" w:cs="Arial" w:eastAsia="Arial" w:hAnsi="Arial"/>
          <w:sz w:val="16"/>
          <w:szCs w:val="16"/>
          <w:color w:val="auto"/>
        </w:rPr>
        <w:t>which provides optional guidance for a limited time to ease the potential burden in accounting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2024.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Company’s debt transitioned to the Secured Overnight Financing Rate (“SOFR”). In the fourth quarter of 2022, the Company elected the hedge accounting expedient that allows an amendment to existing hedges without de-designation as the Company’s hedges transitioned to SOFR.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i w:val="1"/>
                <w:iCs w:val="1"/>
                <w:color w:val="auto"/>
              </w:rPr>
              <w:t>Inventory</w:t>
            </w: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Inventories consist of the following (U.S. dollars in thousands):</w:t>
            </w: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r>
      <w:tr>
        <w:trPr>
          <w:trHeight w:val="241"/>
        </w:trPr>
        <w:tc>
          <w:tcPr>
            <w:tcW w:w="5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163,797</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Finished goods</w:t>
            </w:r>
          </w:p>
        </w:tc>
        <w:tc>
          <w:tcPr>
            <w:tcW w:w="3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182,386</w:t>
            </w:r>
          </w:p>
        </w:tc>
        <w:tc>
          <w:tcPr>
            <w:tcW w:w="100" w:type="dxa"/>
            <w:vAlign w:val="bottom"/>
          </w:tcPr>
          <w:p>
            <w:pPr>
              <w:spacing w:after="0"/>
              <w:rPr>
                <w:sz w:val="19"/>
                <w:szCs w:val="19"/>
                <w:color w:val="auto"/>
              </w:rPr>
            </w:pPr>
          </w:p>
        </w:tc>
      </w:tr>
      <w:tr>
        <w:trPr>
          <w:trHeight w:val="256"/>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Inventory, net</w:t>
            </w:r>
          </w:p>
        </w:tc>
        <w:tc>
          <w:tcPr>
            <w:tcW w:w="3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5080" w:type="dxa"/>
            <w:vAlign w:val="bottom"/>
          </w:tcPr>
          <w:p>
            <w:pPr>
              <w:spacing w:after="0"/>
              <w:rPr>
                <w:sz w:val="24"/>
                <w:szCs w:val="24"/>
                <w:color w:val="auto"/>
              </w:rPr>
            </w:pPr>
          </w:p>
        </w:tc>
        <w:tc>
          <w:tcPr>
            <w:tcW w:w="3560" w:type="dxa"/>
            <w:vAlign w:val="bottom"/>
          </w:tcPr>
          <w:p>
            <w:pPr>
              <w:jc w:val="right"/>
              <w:ind w:right="290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08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 – Customer Loyalty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balance of deferred revenue related to contract liabilities as of June 30, 2023 and December 31, 2022 was $12.7 million and $18.7 million, respectively. The contract liabilities impact to revenue for the three-month periods ended June 30, 2023 and 2022 was an increase of $4.7 million and an increase of $2.4 million, respectively. The impact to revenue for the six-month periods ended June 30, 2023, and 2022 was an increase of $6.0 million and an increase of $3.6 million, respectively.</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reporting units for goodwill are its operating segments, which are also its reportable segments.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completed the annual goodwill and indefinite-lived intangible asset impairment testing as of October 1, 2022, and concluded that the fair value of all reporting units were in excess of their carrying amounts and no impairment charge was required.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As a result, there can be no assurance that the estimates and assumptions made for purposes of the goodwill impairment tests will prove to be an accurate prediction of the future. Although the Manufacturing reporting unit showed strong revenue growth in fiscal year 2020 and 2021, the fair value of the reporting unit in 2022 was negatively impacted by an increase in the discount rate due to the current interest rate environment, and lower near-term revenue projections. Current projections used for the Manufacturing reporting unit reflect revenue growth attributable to the continued expansion of capacity, continued intercompany sales to Nu Skin, and the recent acquisition of new customers. While historical performance and current expectations have resulted in fair values of the Manufacturing reporting unit in excess of carrying values, if the assumptions are not realized an impairment charge may be recorded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goodwill allocated to the Company’s reportable segments for the periods ended June 30, 2023 and December 31, 2022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r>
      <w:tr>
        <w:trPr>
          <w:trHeight w:val="241"/>
        </w:trPr>
        <w:tc>
          <w:tcPr>
            <w:tcW w:w="5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8"/>
                <w:szCs w:val="18"/>
                <w:color w:val="auto"/>
              </w:rPr>
              <w:t>Mainland China</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32,179</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8"/>
                <w:szCs w:val="18"/>
                <w:color w:val="auto"/>
              </w:rPr>
              <w:t>Europe &amp; Africa</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Manufacturing</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78,875</w:t>
            </w:r>
          </w:p>
        </w:tc>
        <w:tc>
          <w:tcPr>
            <w:tcW w:w="100" w:type="dxa"/>
            <w:vAlign w:val="bottom"/>
            <w:shd w:val="clear" w:color="auto" w:fill="CCEEFF"/>
          </w:tcPr>
          <w:p>
            <w:pPr>
              <w:spacing w:after="0"/>
              <w:rPr>
                <w:sz w:val="18"/>
                <w:szCs w:val="18"/>
                <w:color w:val="auto"/>
              </w:rPr>
            </w:pPr>
          </w:p>
        </w:tc>
      </w:tr>
      <w:tr>
        <w:trPr>
          <w:trHeight w:val="277"/>
        </w:trPr>
        <w:tc>
          <w:tcPr>
            <w:tcW w:w="5300" w:type="dxa"/>
            <w:vAlign w:val="bottom"/>
          </w:tcPr>
          <w:p>
            <w:pPr>
              <w:ind w:left="340"/>
              <w:spacing w:after="0" w:line="270" w:lineRule="exact"/>
              <w:rPr>
                <w:sz w:val="20"/>
                <w:szCs w:val="20"/>
                <w:color w:val="auto"/>
              </w:rPr>
            </w:pPr>
            <w:r>
              <w:rPr>
                <w:rFonts w:ascii="Arial" w:cs="Arial" w:eastAsia="Arial" w:hAnsi="Arial"/>
                <w:sz w:val="18"/>
                <w:szCs w:val="18"/>
                <w:color w:val="auto"/>
              </w:rPr>
              <w:t>Rhyz other</w:t>
            </w:r>
            <w:r>
              <w:rPr>
                <w:rFonts w:ascii="Arial" w:cs="Arial" w:eastAsia="Arial" w:hAnsi="Arial"/>
                <w:sz w:val="29"/>
                <w:szCs w:val="29"/>
                <w:color w:val="auto"/>
                <w:vertAlign w:val="superscript"/>
              </w:rPr>
              <w:t>(1)</w:t>
            </w: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24"/>
                <w:szCs w:val="24"/>
                <w:color w:val="auto"/>
              </w:rPr>
            </w:pPr>
          </w:p>
        </w:tc>
      </w:tr>
      <w:tr>
        <w:trPr>
          <w:trHeight w:val="256"/>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The increase in Rhyz other goodwill relates to our second quarter of 2023 acquisitions, see Note 12 – Acquisitions,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June 30, 2023, the Company was in compliance with all covenants under the Credit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debt facilities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w w:val="89"/>
              </w:rPr>
              <w:t>Balance as of</w:t>
            </w:r>
          </w:p>
        </w:tc>
        <w:tc>
          <w:tcPr>
            <w:tcW w:w="1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w w:val="89"/>
              </w:rPr>
              <w:t>Balance as of</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19"/>
        </w:trPr>
        <w:tc>
          <w:tcPr>
            <w:tcW w:w="2520" w:type="dxa"/>
            <w:vAlign w:val="bottom"/>
          </w:tcPr>
          <w:p>
            <w:pPr>
              <w:ind w:left="860"/>
              <w:spacing w:after="0"/>
              <w:rPr>
                <w:sz w:val="20"/>
                <w:szCs w:val="20"/>
                <w:color w:val="auto"/>
              </w:rPr>
            </w:pPr>
            <w:r>
              <w:rPr>
                <w:rFonts w:ascii="Arial" w:cs="Arial" w:eastAsia="Arial" w:hAnsi="Arial"/>
                <w:sz w:val="18"/>
                <w:szCs w:val="18"/>
                <w:b w:val="1"/>
                <w:bCs w:val="1"/>
                <w:color w:val="auto"/>
              </w:rPr>
              <w:t>Facility or</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120" w:type="dxa"/>
            <w:vAlign w:val="bottom"/>
          </w:tcPr>
          <w:p>
            <w:pPr>
              <w:ind w:left="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3180" w:type="dxa"/>
            <w:vAlign w:val="bottom"/>
          </w:tcPr>
          <w:p>
            <w:pPr>
              <w:ind w:left="1160"/>
              <w:spacing w:after="0"/>
              <w:rPr>
                <w:sz w:val="20"/>
                <w:szCs w:val="20"/>
                <w:color w:val="auto"/>
              </w:rPr>
            </w:pPr>
            <w:r>
              <w:rPr>
                <w:rFonts w:ascii="Arial" w:cs="Arial" w:eastAsia="Arial" w:hAnsi="Arial"/>
                <w:sz w:val="18"/>
                <w:szCs w:val="18"/>
                <w:b w:val="1"/>
                <w:bCs w:val="1"/>
                <w:color w:val="auto"/>
              </w:rPr>
              <w:t>Repayment</w:t>
            </w:r>
          </w:p>
        </w:tc>
      </w:tr>
      <w:tr>
        <w:trPr>
          <w:trHeight w:val="274"/>
        </w:trPr>
        <w:tc>
          <w:tcPr>
            <w:tcW w:w="2520" w:type="dxa"/>
            <w:vAlign w:val="bottom"/>
          </w:tcPr>
          <w:p>
            <w:pPr>
              <w:ind w:left="740"/>
              <w:spacing w:after="0"/>
              <w:rPr>
                <w:sz w:val="20"/>
                <w:szCs w:val="20"/>
                <w:color w:val="auto"/>
              </w:rPr>
            </w:pPr>
            <w:r>
              <w:rPr>
                <w:rFonts w:ascii="Arial" w:cs="Arial" w:eastAsia="Arial" w:hAnsi="Arial"/>
                <w:sz w:val="18"/>
                <w:szCs w:val="18"/>
                <w:b w:val="1"/>
                <w:bCs w:val="1"/>
                <w:color w:val="auto"/>
              </w:rPr>
              <w:t>Arrangement</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jc w:val="center"/>
              <w:ind w:right="70"/>
              <w:spacing w:after="0" w:line="266" w:lineRule="exact"/>
              <w:rPr>
                <w:sz w:val="20"/>
                <w:szCs w:val="20"/>
                <w:color w:val="auto"/>
              </w:rPr>
            </w:pPr>
            <w:r>
              <w:rPr>
                <w:rFonts w:ascii="Arial" w:cs="Arial" w:eastAsia="Arial" w:hAnsi="Arial"/>
                <w:sz w:val="30"/>
                <w:szCs w:val="30"/>
                <w:b w:val="1"/>
                <w:bCs w:val="1"/>
                <w:color w:val="auto"/>
                <w:vertAlign w:val="subscript"/>
              </w:rPr>
              <w:t>2023</w:t>
            </w:r>
            <w:r>
              <w:rPr>
                <w:rFonts w:ascii="Arial" w:cs="Arial" w:eastAsia="Arial" w:hAnsi="Arial"/>
                <w:sz w:val="14"/>
                <w:szCs w:val="14"/>
                <w:color w:val="auto"/>
              </w:rPr>
              <w:t xml:space="preserve"> (1)(2)</w:t>
            </w:r>
          </w:p>
        </w:tc>
        <w:tc>
          <w:tcPr>
            <w:tcW w:w="1220" w:type="dxa"/>
            <w:vAlign w:val="bottom"/>
            <w:gridSpan w:val="2"/>
          </w:tcPr>
          <w:p>
            <w:pPr>
              <w:jc w:val="right"/>
              <w:ind w:right="110"/>
              <w:spacing w:after="0" w:line="266" w:lineRule="exact"/>
              <w:rPr>
                <w:sz w:val="20"/>
                <w:szCs w:val="20"/>
                <w:color w:val="auto"/>
              </w:rPr>
            </w:pPr>
            <w:r>
              <w:rPr>
                <w:rFonts w:ascii="Arial" w:cs="Arial" w:eastAsia="Arial" w:hAnsi="Arial"/>
                <w:sz w:val="30"/>
                <w:szCs w:val="30"/>
                <w:b w:val="1"/>
                <w:bCs w:val="1"/>
                <w:color w:val="auto"/>
                <w:vertAlign w:val="subscript"/>
              </w:rPr>
              <w:t>2022</w:t>
            </w:r>
            <w:r>
              <w:rPr>
                <w:rFonts w:ascii="Arial" w:cs="Arial" w:eastAsia="Arial" w:hAnsi="Arial"/>
                <w:sz w:val="14"/>
                <w:szCs w:val="14"/>
                <w:color w:val="auto"/>
              </w:rPr>
              <w:t xml:space="preserve"> (1)(2)</w:t>
            </w:r>
          </w:p>
        </w:tc>
        <w:tc>
          <w:tcPr>
            <w:tcW w:w="80" w:type="dxa"/>
            <w:vAlign w:val="bottom"/>
          </w:tcPr>
          <w:p>
            <w:pPr>
              <w:spacing w:after="0"/>
              <w:rPr>
                <w:sz w:val="23"/>
                <w:szCs w:val="23"/>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w:t>
            </w:r>
          </w:p>
        </w:tc>
        <w:tc>
          <w:tcPr>
            <w:tcW w:w="3180" w:type="dxa"/>
            <w:vAlign w:val="bottom"/>
          </w:tcPr>
          <w:p>
            <w:pPr>
              <w:ind w:left="1360"/>
              <w:spacing w:after="0"/>
              <w:rPr>
                <w:sz w:val="20"/>
                <w:szCs w:val="20"/>
                <w:color w:val="auto"/>
              </w:rPr>
            </w:pPr>
            <w:r>
              <w:rPr>
                <w:rFonts w:ascii="Arial" w:cs="Arial" w:eastAsia="Arial" w:hAnsi="Arial"/>
                <w:sz w:val="18"/>
                <w:szCs w:val="18"/>
                <w:b w:val="1"/>
                <w:bCs w:val="1"/>
                <w:color w:val="auto"/>
              </w:rPr>
              <w:t>Terms</w:t>
            </w:r>
          </w:p>
        </w:tc>
      </w:tr>
      <w:tr>
        <w:trPr>
          <w:trHeight w:val="198"/>
        </w:trPr>
        <w:tc>
          <w:tcPr>
            <w:tcW w:w="252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Credit Agreement term loan</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60"/>
              <w:spacing w:after="0" w:line="198" w:lineRule="exact"/>
              <w:rPr>
                <w:sz w:val="20"/>
                <w:szCs w:val="20"/>
                <w:color w:val="auto"/>
              </w:rPr>
            </w:pPr>
            <w:r>
              <w:rPr>
                <w:rFonts w:ascii="Arial" w:cs="Arial" w:eastAsia="Arial" w:hAnsi="Arial"/>
                <w:sz w:val="18"/>
                <w:szCs w:val="18"/>
                <w:color w:val="auto"/>
                <w:w w:val="93"/>
              </w:rPr>
              <w:t>$400.0 million</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60"/>
              <w:spacing w:after="0" w:line="198" w:lineRule="exact"/>
              <w:rPr>
                <w:sz w:val="20"/>
                <w:szCs w:val="20"/>
                <w:color w:val="auto"/>
              </w:rPr>
            </w:pPr>
            <w:r>
              <w:rPr>
                <w:rFonts w:ascii="Arial" w:cs="Arial" w:eastAsia="Arial" w:hAnsi="Arial"/>
                <w:sz w:val="18"/>
                <w:szCs w:val="18"/>
                <w:color w:val="auto"/>
                <w:w w:val="93"/>
              </w:rPr>
              <w:t>$390.0 million</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60"/>
              <w:spacing w:after="0" w:line="198" w:lineRule="exact"/>
              <w:rPr>
                <w:sz w:val="20"/>
                <w:szCs w:val="20"/>
                <w:color w:val="auto"/>
              </w:rPr>
            </w:pPr>
            <w:r>
              <w:rPr>
                <w:rFonts w:ascii="Arial" w:cs="Arial" w:eastAsia="Arial" w:hAnsi="Arial"/>
                <w:sz w:val="18"/>
                <w:szCs w:val="18"/>
                <w:color w:val="auto"/>
                <w:w w:val="93"/>
              </w:rPr>
              <w:t>$395.0 million</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Variable 30 day: 7.20%</w:t>
            </w:r>
          </w:p>
        </w:tc>
        <w:tc>
          <w:tcPr>
            <w:tcW w:w="10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auto"/>
            </w:tcBorders>
            <w:shd w:val="clear" w:color="auto" w:fill="CCEEFF"/>
          </w:tcPr>
          <w:p>
            <w:pPr>
              <w:ind w:left="20"/>
              <w:spacing w:after="0" w:line="198" w:lineRule="exact"/>
              <w:rPr>
                <w:sz w:val="20"/>
                <w:szCs w:val="20"/>
                <w:color w:val="auto"/>
              </w:rPr>
            </w:pPr>
            <w:r>
              <w:rPr>
                <w:rFonts w:ascii="Arial" w:cs="Arial" w:eastAsia="Arial" w:hAnsi="Arial"/>
                <w:sz w:val="18"/>
                <w:szCs w:val="18"/>
                <w:color w:val="auto"/>
                <w:w w:val="95"/>
              </w:rPr>
              <w:t>21% of the principal amount is payable in</w:t>
            </w:r>
          </w:p>
        </w:tc>
      </w:tr>
      <w:tr>
        <w:trPr>
          <w:trHeight w:val="220"/>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facility</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increasing  quarterly  installments  over  a</w:t>
            </w:r>
          </w:p>
        </w:tc>
      </w:tr>
      <w:tr>
        <w:trPr>
          <w:trHeight w:val="216"/>
        </w:trPr>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five-year period that began on September</w:t>
            </w:r>
          </w:p>
        </w:tc>
      </w:tr>
      <w:tr>
        <w:trPr>
          <w:trHeight w:val="216"/>
        </w:trPr>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30, 2022, with the remainder payable at the</w:t>
            </w:r>
          </w:p>
        </w:tc>
      </w:tr>
      <w:tr>
        <w:trPr>
          <w:trHeight w:val="230"/>
        </w:trPr>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the five-year term.</w:t>
            </w:r>
          </w:p>
        </w:tc>
      </w:tr>
      <w:tr>
        <w:trPr>
          <w:trHeight w:val="198"/>
        </w:trPr>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Credit Agreement revolving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60"/>
              <w:spacing w:after="0" w:line="198" w:lineRule="exact"/>
              <w:rPr>
                <w:sz w:val="20"/>
                <w:szCs w:val="20"/>
                <w:color w:val="auto"/>
              </w:rPr>
            </w:pPr>
            <w:r>
              <w:rPr>
                <w:rFonts w:ascii="Arial" w:cs="Arial" w:eastAsia="Arial" w:hAnsi="Arial"/>
                <w:sz w:val="18"/>
                <w:szCs w:val="18"/>
                <w:color w:val="auto"/>
                <w:w w:val="93"/>
              </w:rPr>
              <w:t>$120.0 million</w:t>
            </w:r>
          </w:p>
        </w:tc>
        <w:tc>
          <w:tcPr>
            <w:tcW w:w="100" w:type="dxa"/>
            <w:vAlign w:val="bottom"/>
          </w:tcPr>
          <w:p>
            <w:pPr>
              <w:spacing w:after="0"/>
              <w:rPr>
                <w:sz w:val="17"/>
                <w:szCs w:val="17"/>
                <w:color w:val="auto"/>
              </w:rPr>
            </w:pPr>
          </w:p>
        </w:tc>
        <w:tc>
          <w:tcPr>
            <w:tcW w:w="2980" w:type="dxa"/>
            <w:vAlign w:val="bottom"/>
            <w:gridSpan w:val="4"/>
          </w:tcPr>
          <w:p>
            <w:pPr>
              <w:ind w:left="140"/>
              <w:spacing w:after="0" w:line="198" w:lineRule="exact"/>
              <w:rPr>
                <w:sz w:val="20"/>
                <w:szCs w:val="20"/>
                <w:color w:val="auto"/>
              </w:rPr>
            </w:pPr>
            <w:r>
              <w:rPr>
                <w:rFonts w:ascii="Arial" w:cs="Arial" w:eastAsia="Arial" w:hAnsi="Arial"/>
                <w:sz w:val="18"/>
                <w:szCs w:val="18"/>
                <w:color w:val="auto"/>
                <w:w w:val="96"/>
              </w:rPr>
              <w:t>$10.0 million Variable 30 day: 7.24%</w:t>
            </w:r>
          </w:p>
        </w:tc>
        <w:tc>
          <w:tcPr>
            <w:tcW w:w="3180" w:type="dxa"/>
            <w:vAlign w:val="bottom"/>
          </w:tcPr>
          <w:p>
            <w:pPr>
              <w:ind w:left="20"/>
              <w:spacing w:after="0" w:line="198" w:lineRule="exact"/>
              <w:rPr>
                <w:sz w:val="20"/>
                <w:szCs w:val="20"/>
                <w:color w:val="auto"/>
              </w:rPr>
            </w:pPr>
            <w:r>
              <w:rPr>
                <w:rFonts w:ascii="Arial" w:cs="Arial" w:eastAsia="Arial" w:hAnsi="Arial"/>
                <w:sz w:val="18"/>
                <w:szCs w:val="18"/>
                <w:color w:val="auto"/>
                <w:w w:val="98"/>
              </w:rPr>
              <w:t>Revolving line of credit expires June 14,</w:t>
            </w:r>
          </w:p>
        </w:tc>
      </w:tr>
      <w:tr>
        <w:trPr>
          <w:trHeight w:val="234"/>
        </w:trPr>
        <w:tc>
          <w:tcPr>
            <w:tcW w:w="2520" w:type="dxa"/>
            <w:vAlign w:val="bottom"/>
          </w:tcPr>
          <w:p>
            <w:pPr>
              <w:ind w:left="180"/>
              <w:spacing w:after="0"/>
              <w:rPr>
                <w:sz w:val="20"/>
                <w:szCs w:val="20"/>
                <w:color w:val="auto"/>
              </w:rPr>
            </w:pPr>
            <w:r>
              <w:rPr>
                <w:rFonts w:ascii="Arial" w:cs="Arial" w:eastAsia="Arial" w:hAnsi="Arial"/>
                <w:sz w:val="18"/>
                <w:szCs w:val="18"/>
                <w:b w:val="1"/>
                <w:bCs w:val="1"/>
                <w:color w:val="auto"/>
              </w:rPr>
              <w:t>credit facility</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2027.</w:t>
            </w: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June 30, 2023 and December 31, 2022, the current portion of the Company’s debt (i.e., becoming due in the next 12 months) included $20.0 million and $15.0 million, respectively, of the balance of its term loan under the Credit Agreement.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value of the debt reflects the amounts stated in the above table, less debt issuance costs of $2.2 million and $2.5 million as of June 30, 2023 and December 31, 2022, respectively, related to the Credit Agreement, which are not reflected in this table.</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the weighted-average remaining lease term was 8.5 and 4.2 years for operating and finance leases, respectively. As of June 30, 2023, the weighted-average discount rate was 3.7% and 3.6% for operating and finance leases,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41"/>
        </w:trPr>
        <w:tc>
          <w:tcPr>
            <w:tcW w:w="4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2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10,261</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16,183</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Variable lease cost</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Finance lease expense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right-of-use assets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r>
      <w:tr>
        <w:trPr>
          <w:trHeight w:val="223"/>
        </w:trPr>
        <w:tc>
          <w:tcPr>
            <w:tcW w:w="414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r>
        <w:trPr>
          <w:trHeight w:val="257"/>
        </w:trPr>
        <w:tc>
          <w:tcPr>
            <w:tcW w:w="4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lease expense</w:t>
            </w:r>
          </w:p>
        </w:tc>
        <w:tc>
          <w:tcPr>
            <w:tcW w:w="1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140" w:type="dxa"/>
            <w:vAlign w:val="bottom"/>
          </w:tcPr>
          <w:p>
            <w:pPr>
              <w:spacing w:after="0"/>
              <w:rPr>
                <w:sz w:val="24"/>
                <w:szCs w:val="24"/>
                <w:color w:val="auto"/>
              </w:rPr>
            </w:pPr>
          </w:p>
        </w:tc>
        <w:tc>
          <w:tcPr>
            <w:tcW w:w="1820" w:type="dxa"/>
            <w:vAlign w:val="bottom"/>
          </w:tcPr>
          <w:p>
            <w:pPr>
              <w:jc w:val="right"/>
              <w:ind w:right="21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1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(U.S.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8"/>
              </w:rPr>
              <w:t>Six Months Ended June 30,</w:t>
            </w:r>
          </w:p>
        </w:tc>
        <w:tc>
          <w:tcPr>
            <w:tcW w:w="100" w:type="dxa"/>
            <w:vAlign w:val="bottom"/>
          </w:tcPr>
          <w:p>
            <w:pPr>
              <w:spacing w:after="0"/>
              <w:rPr>
                <w:sz w:val="20"/>
                <w:szCs w:val="20"/>
                <w:color w:val="auto"/>
              </w:rPr>
            </w:pPr>
          </w:p>
        </w:tc>
      </w:tr>
      <w:tr>
        <w:trPr>
          <w:trHeight w:val="223"/>
        </w:trPr>
        <w:tc>
          <w:tcPr>
            <w:tcW w:w="5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outflow from operating leases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cash outflow from finance leases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cash outflow from finance leases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25,793</w:t>
            </w: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(U.S. dollars 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Finance</w:t>
            </w:r>
          </w:p>
        </w:tc>
        <w:tc>
          <w:tcPr>
            <w:tcW w:w="100" w:type="dxa"/>
            <w:vAlign w:val="bottom"/>
          </w:tcPr>
          <w:p>
            <w:pPr>
              <w:spacing w:after="0"/>
              <w:rPr>
                <w:sz w:val="24"/>
                <w:szCs w:val="24"/>
                <w:color w:val="auto"/>
              </w:rPr>
            </w:pPr>
          </w:p>
        </w:tc>
      </w:tr>
      <w:tr>
        <w:trPr>
          <w:trHeight w:val="24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rPr>
              <w:t>Leases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Leases</w:t>
            </w:r>
          </w:p>
        </w:tc>
        <w:tc>
          <w:tcPr>
            <w:tcW w:w="100" w:type="dxa"/>
            <w:vAlign w:val="bottom"/>
          </w:tcPr>
          <w:p>
            <w:pPr>
              <w:spacing w:after="0"/>
              <w:rPr>
                <w:sz w:val="20"/>
                <w:szCs w:val="20"/>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2024</w:t>
            </w:r>
          </w:p>
        </w:tc>
        <w:tc>
          <w:tcPr>
            <w:tcW w:w="8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2026</w:t>
            </w:r>
          </w:p>
        </w:tc>
        <w:tc>
          <w:tcPr>
            <w:tcW w:w="8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8"/>
                <w:szCs w:val="18"/>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100" w:type="dxa"/>
            <w:vAlign w:val="bottom"/>
            <w:shd w:val="clear" w:color="auto" w:fill="CCEEFF"/>
          </w:tcPr>
          <w:p>
            <w:pPr>
              <w:spacing w:after="0"/>
              <w:rPr>
                <w:sz w:val="18"/>
                <w:szCs w:val="18"/>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Less: Finance charges</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r>
      <w:tr>
        <w:trPr>
          <w:trHeight w:val="257"/>
        </w:trPr>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principal liability</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96,338</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52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00" w:type="dxa"/>
            <w:vAlign w:val="bottom"/>
          </w:tcPr>
          <w:p>
            <w:pPr>
              <w:ind w:left="140"/>
              <w:spacing w:after="0"/>
              <w:rPr>
                <w:sz w:val="20"/>
                <w:szCs w:val="20"/>
                <w:color w:val="auto"/>
              </w:rPr>
            </w:pPr>
            <w:r>
              <w:rPr>
                <w:rFonts w:ascii="Arial" w:cs="Arial" w:eastAsia="Arial" w:hAnsi="Arial"/>
                <w:sz w:val="18"/>
                <w:szCs w:val="18"/>
                <w:b w:val="1"/>
                <w:bCs w:val="1"/>
                <w:color w:val="auto"/>
              </w:rPr>
              <w:t>Capital Stock</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June 30, 2023 and 2022, stock options of 0.2 million and 0.1 million, respectively, and for the six-month periods ended June 30, 2023 and 2022, stock options of 0.2 million and 0.1 million, respectively, were excluded from the calculation of diluted earnings per share because they were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2022, the Company’s board of directors declared quarterly cash dividends of $0.39 per share. These quarterly cash dividends of $19.4 million and $19.5 million were paid on March 8, 2023 and June 7, 2023, respectively, to stockholders of record on February 27, 2023 and May 26, 2023, respectively. In July 2023, the Company’s board of directors declared a quarterly cash dividend of $0.39 per share to be paid on September 6, 2023 to stockholders of record on August 25,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six-month periods ended June 30, 2023, the Company repurchased zero shares of its Class A common stock under its stock repurchase plan. During the three- and six-month periods ended June 30, 2022, the Company repurchased 0.2 million shares and 0.4 million shares of its Class A common stock under its stock repurchase plan for $10.0 million and $20.0 million, respectively. As of June 30, 2023, $175.4 million was available for repurchases under the Company’s stock repurchase plan.</w:t>
      </w:r>
    </w:p>
    <w:p>
      <w:pPr>
        <w:spacing w:after="0" w:line="18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Equity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Level 1 – quoted prices in active markets for identical assets or liabilities;</w:t>
      </w:r>
    </w:p>
    <w:p>
      <w:pPr>
        <w:spacing w:after="0" w:line="1"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Level 2 – inputs, other than the quoted prices in active markets, that are observable either directly or indirectly; and</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Level 3 – unobservable inputs based on the Company’s own assumptions.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hierarchy for those assets and liabilities measured at fair value on a recurring basis (U.S.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1"/>
              </w:rPr>
              <w:t>Fair Value at June 30, 2023</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18,133</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w:t>
            </w:r>
          </w:p>
        </w:tc>
        <w:tc>
          <w:tcPr>
            <w:tcW w:w="10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(6,346)</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(6,346)</w:t>
            </w:r>
          </w:p>
        </w:tc>
      </w:tr>
      <w:tr>
        <w:trPr>
          <w:trHeight w:val="256"/>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b w:val="1"/>
                <w:bCs w:val="1"/>
                <w:color w:val="auto"/>
                <w:w w:val="94"/>
              </w:rPr>
              <w:t>Fair Value at December 31, 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w:t>
            </w:r>
          </w:p>
        </w:tc>
        <w:tc>
          <w:tcPr>
            <w:tcW w:w="10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(6,364)</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(6,364)</w:t>
            </w:r>
          </w:p>
        </w:tc>
      </w:tr>
      <w:tr>
        <w:trPr>
          <w:trHeight w:val="257"/>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life insurance contracts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(9,650)</w:t>
            </w:r>
          </w:p>
        </w:tc>
      </w:tr>
      <w:tr>
        <w:trPr>
          <w:trHeight w:val="223"/>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settlements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at June 30</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40,201</w:t>
            </w:r>
          </w:p>
        </w:tc>
        <w:tc>
          <w:tcPr>
            <w:tcW w:w="100" w:type="dxa"/>
            <w:vAlign w:val="bottom"/>
            <w:tcBorders>
              <w:top w:val="single" w:sz="8" w:color="CCEEFF"/>
            </w:tcBorders>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Life insurance contracts: </w:t>
      </w:r>
      <w:r>
        <w:rPr>
          <w:rFonts w:ascii="Arial" w:cs="Arial" w:eastAsia="Arial" w:hAnsi="Arial"/>
          <w:sz w:val="18"/>
          <w:szCs w:val="18"/>
          <w:color w:val="auto"/>
        </w:rPr>
        <w:t>Accounting Standards Codification (“ASC”) 820 preserves practicability exceptions to fair value measurements provided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contingent consideration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Changes in fair value of contingent consideration</w:t>
            </w:r>
          </w:p>
        </w:tc>
        <w:tc>
          <w:tcPr>
            <w:tcW w:w="4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at June 30</w:t>
            </w:r>
          </w:p>
        </w:tc>
        <w:tc>
          <w:tcPr>
            <w:tcW w:w="4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620" w:type="dxa"/>
            <w:vAlign w:val="bottom"/>
          </w:tcPr>
          <w:p>
            <w:pPr>
              <w:spacing w:after="0"/>
              <w:rPr>
                <w:sz w:val="24"/>
                <w:szCs w:val="24"/>
                <w:color w:val="auto"/>
              </w:rPr>
            </w:pPr>
          </w:p>
        </w:tc>
        <w:tc>
          <w:tcPr>
            <w:tcW w:w="4040" w:type="dxa"/>
            <w:vAlign w:val="bottom"/>
          </w:tcPr>
          <w:p>
            <w:pPr>
              <w:jc w:val="right"/>
              <w:ind w:right="288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Contingent consideration: </w:t>
      </w:r>
      <w:r>
        <w:rPr>
          <w:rFonts w:ascii="Arial" w:cs="Arial" w:eastAsia="Arial" w:hAnsi="Arial"/>
          <w:sz w:val="17"/>
          <w:szCs w:val="17"/>
          <w:color w:val="auto"/>
        </w:rPr>
        <w:t>Contingent consideration represents the obligations incurred in connection with acquisitions. The estimate of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June 30, 2023 and December 31, 2022.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expense, net on the Consolidated Statement of Income. The upward fair value adjustment represents a nonrecurring fair value measurement based on observable price changes and is classified as a Level 3 fair value measurement.</w:t>
      </w:r>
    </w:p>
    <w:p>
      <w:pPr>
        <w:spacing w:after="0" w:line="19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Provision for income taxes for the three- and six-month periods ended June 30, 2023 was $10.2 million and $13.4 million, compared to $8.7 million and $20.6 million for the prior-year periods. The effective tax rates for the three- and six-month periods ended June 30, 2023, were 27.5% and 26.0% of pre-tax income compared to 20.2% and 22.0% in the prior-year periods.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$87.4 million and $89.3 million as of June 30, 2023 and December 31, 2022,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2022. If the amount designated as indefinitely reinvested as of December 31, 2022 was repatriated to the United States, the amount of incremental taxes would be approximately $6.0 million. The Company intends to utilize the indefinitely reinvested offshore earnings to fund foreign investments, specifically capital expenditures.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2022, tax years through 2020 have been audited and are effectively closed to further examination. For tax years 2021 and 2023, the Company is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 2022, the Company has been accepted in the IRS’s new pilot program, Bridge Plus. The Company may elect to continue participating in CAP for future tax years; the Company may withdraw from the program at any time. With a few exceptions, the Company is no longer subject to state and local income tax examination by tax authorities for the years before 2019.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$3.0 to $4.0 million.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Objective of Using Derivatives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2023, such derivatives were used to hedge the variable cash flows associated with existing variable-rate debt.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derivatives designated and that qualify as cash flow hedges of interest rate risk, the gain or loss on the derivative is recorded in Accumulated Other Comprehensive Loss and subsequently reclassified into interest expense/income in the same period(s) during which the hedged transaction affects earnings. Amounts reported in accumulated other comprehensive loss related to derivatives will be reclassified to interest expense/income as interest payments are made/received on the Company’s variable-rate debt. During the next twelve months, the Company estimates that an additional $10.0 million will be reclassified as a reduction to interest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Company had four outstanding interest rate derivatives that were designated as cash flow hedges of interest rate risk with a total notional amount of $200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 Instruments on the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Fair Values of</w:t>
            </w:r>
          </w:p>
        </w:tc>
        <w:tc>
          <w:tcPr>
            <w:tcW w:w="100" w:type="dxa"/>
            <w:vAlign w:val="bottom"/>
          </w:tcPr>
          <w:p>
            <w:pPr>
              <w:spacing w:after="0"/>
              <w:rPr>
                <w:sz w:val="18"/>
                <w:szCs w:val="18"/>
                <w:color w:val="auto"/>
              </w:rPr>
            </w:pPr>
          </w:p>
        </w:tc>
      </w:t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Derivative Instruments</w:t>
            </w:r>
          </w:p>
        </w:tc>
        <w:tc>
          <w:tcPr>
            <w:tcW w:w="100" w:type="dxa"/>
            <w:vAlign w:val="bottom"/>
          </w:tcPr>
          <w:p>
            <w:pPr>
              <w:spacing w:after="0"/>
              <w:rPr>
                <w:sz w:val="20"/>
                <w:szCs w:val="20"/>
                <w:color w:val="auto"/>
              </w:rPr>
            </w:pPr>
          </w:p>
        </w:tc>
      </w:tr>
      <w:tr>
        <w:trPr>
          <w:trHeight w:val="198"/>
        </w:trPr>
        <w:tc>
          <w:tcPr>
            <w:tcW w:w="4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Derivatives in Cash flow</w:t>
            </w:r>
          </w:p>
        </w:tc>
        <w:tc>
          <w:tcPr>
            <w:tcW w:w="120" w:type="dxa"/>
            <w:vAlign w:val="bottom"/>
          </w:tcPr>
          <w:p>
            <w:pPr>
              <w:spacing w:after="0"/>
              <w:rPr>
                <w:sz w:val="17"/>
                <w:szCs w:val="17"/>
                <w:color w:val="auto"/>
              </w:rPr>
            </w:pPr>
          </w:p>
        </w:tc>
        <w:tc>
          <w:tcPr>
            <w:tcW w:w="43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60" w:type="dxa"/>
            <w:vAlign w:val="bottom"/>
          </w:tcPr>
          <w:p>
            <w:pPr>
              <w:spacing w:after="0"/>
              <w:rPr>
                <w:sz w:val="17"/>
                <w:szCs w:val="17"/>
                <w:color w:val="auto"/>
              </w:rPr>
            </w:pPr>
          </w:p>
        </w:tc>
        <w:tc>
          <w:tcPr>
            <w:tcW w:w="106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1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41"/>
        </w:trPr>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9"/>
              </w:rPr>
              <w:t>Hedging Relationships:</w:t>
            </w:r>
          </w:p>
        </w:tc>
        <w:tc>
          <w:tcPr>
            <w:tcW w:w="120" w:type="dxa"/>
            <w:vAlign w:val="bottom"/>
          </w:tcPr>
          <w:p>
            <w:pPr>
              <w:spacing w:after="0"/>
              <w:rPr>
                <w:sz w:val="20"/>
                <w:szCs w:val="20"/>
                <w:color w:val="auto"/>
              </w:rPr>
            </w:pPr>
          </w:p>
        </w:tc>
        <w:tc>
          <w:tcPr>
            <w:tcW w:w="4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Prepaid expenses and other</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Rate Swap - Asset</w:t>
            </w:r>
          </w:p>
        </w:tc>
        <w:tc>
          <w:tcPr>
            <w:tcW w:w="120" w:type="dxa"/>
            <w:vAlign w:val="bottom"/>
          </w:tcPr>
          <w:p>
            <w:pPr>
              <w:spacing w:after="0"/>
              <w:rPr>
                <w:sz w:val="20"/>
                <w:szCs w:val="20"/>
                <w:color w:val="auto"/>
              </w:rPr>
            </w:pPr>
          </w:p>
        </w:tc>
        <w:tc>
          <w:tcPr>
            <w:tcW w:w="43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Other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8,118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Cash Flow Hedge Accounting on 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 of cash flow hedge accounting on Accumulated Other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Amount of Gain (Loss)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Recognized in OCI on Derivatives</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46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224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7"/>
                <w:szCs w:val="17"/>
                <w:color w:val="auto"/>
              </w:rPr>
            </w:pPr>
          </w:p>
        </w:tc>
      </w:tr>
      <w:tr>
        <w:trPr>
          <w:trHeight w:val="241"/>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Derivatives in Cash flow</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Hedging Relationships: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shd w:val="clear" w:color="auto" w:fill="CCEEFF"/>
          </w:tcPr>
          <w:p>
            <w:pPr>
              <w:spacing w:after="0"/>
              <w:rPr>
                <w:sz w:val="18"/>
                <w:szCs w:val="18"/>
                <w:color w:val="auto"/>
              </w:rPr>
            </w:pPr>
          </w:p>
        </w:tc>
      </w:tr>
      <w:tr>
        <w:trPr>
          <w:trHeight w:val="41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Amount of Gain (Loss)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Reclassified from Accumulated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0"/>
          </w:tcPr>
          <w:p>
            <w:pPr>
              <w:jc w:val="center"/>
              <w:ind w:left="490"/>
              <w:spacing w:after="0"/>
              <w:rPr>
                <w:sz w:val="20"/>
                <w:szCs w:val="20"/>
                <w:color w:val="auto"/>
              </w:rPr>
            </w:pPr>
            <w:r>
              <w:rPr>
                <w:rFonts w:ascii="Arial" w:cs="Arial" w:eastAsia="Arial" w:hAnsi="Arial"/>
                <w:sz w:val="18"/>
                <w:szCs w:val="18"/>
                <w:b w:val="1"/>
                <w:bCs w:val="1"/>
                <w:color w:val="auto"/>
                <w:w w:val="89"/>
              </w:rPr>
              <w:t>Other Comprehensive Loss into Income</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46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2240" w:type="dxa"/>
            <w:vAlign w:val="bottom"/>
            <w:gridSpan w:val="5"/>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7"/>
                <w:szCs w:val="17"/>
                <w:color w:val="auto"/>
              </w:rPr>
            </w:pPr>
          </w:p>
        </w:tc>
      </w:tr>
      <w:tr>
        <w:trPr>
          <w:trHeight w:val="241"/>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Derivatives in Cash flow</w:t>
            </w: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Hedging Relationships:</w:t>
            </w:r>
          </w:p>
        </w:tc>
        <w:tc>
          <w:tcPr>
            <w:tcW w:w="100" w:type="dxa"/>
            <w:vAlign w:val="bottom"/>
          </w:tcPr>
          <w:p>
            <w:pPr>
              <w:spacing w:after="0"/>
              <w:rPr>
                <w:sz w:val="20"/>
                <w:szCs w:val="20"/>
                <w:color w:val="auto"/>
              </w:rPr>
            </w:pPr>
          </w:p>
        </w:tc>
        <w:tc>
          <w:tcPr>
            <w:tcW w:w="2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Income Statement Location</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reports revenue from nine segments, consisting of its seven geographic Nu Skin segments—Americas, Mainland China, Southeast Asia/Pacific, South Korea, Japan, Europe &amp; Africa,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2023, the Company adjusted how it allocates certain corporate overhead costs to the segments. The prior-year segment information has been recast to comply with current presentation. Consolidated financial information is not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2023, the Company closed its Israel market, as a result the EMEA segment has been renamed Europe &amp; Africa.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i w:val="1"/>
                <w:iCs w:val="1"/>
                <w:color w:val="auto"/>
              </w:rPr>
              <w:t>Revenue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r>
      <w:tr>
        <w:trPr>
          <w:trHeight w:val="24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107,641</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86,808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156,338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211,303</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141,441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Europe &amp;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50,871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103,839</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77,821</w:t>
            </w: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Nu Skin 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1,086,413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6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Manufacturing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78,570</w:t>
            </w:r>
          </w:p>
        </w:tc>
        <w:tc>
          <w:tcPr>
            <w:tcW w:w="100" w:type="dxa"/>
            <w:vAlign w:val="bottom"/>
            <w:shd w:val="clear" w:color="auto" w:fill="CCEEFF"/>
          </w:tcPr>
          <w:p>
            <w:pPr>
              <w:spacing w:after="0"/>
              <w:rPr>
                <w:sz w:val="22"/>
                <w:szCs w:val="22"/>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51,269</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500,257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560,615</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981,719</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1,165,514</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Manufacturing segment had $16.3 million and $16.7 million of intersegment revenue for the three months ended June 30, 2023 and 2022, respectively, and $28.1 million and $31.3 million for the six months ended June 30, 2023 and 2022, respectively. Intersegment revenue is eliminated in the consolidated financial statements, as well as the reported segment revenue in the table above.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3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Segment Contribution</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26,729</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Mainland China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12,945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19,828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Europe &amp; Africa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1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Nu Skin contribution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194,886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Rhyz Investments contribution</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contribution</w:t>
            </w:r>
          </w:p>
        </w:tc>
        <w:tc>
          <w:tcPr>
            <w:tcW w:w="1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192,379</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(55,909)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(133,809)</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(125,078)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(6,869)</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1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Mainland China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Europe &amp; Africa</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Total Nu Skin</w:t>
            </w: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1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17,164</w:t>
            </w:r>
          </w:p>
        </w:tc>
        <w:tc>
          <w:tcPr>
            <w:tcW w:w="140" w:type="dxa"/>
            <w:vAlign w:val="bottom"/>
          </w:tcPr>
          <w:p>
            <w:pPr>
              <w:spacing w:after="0"/>
              <w:rPr>
                <w:sz w:val="18"/>
                <w:szCs w:val="18"/>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18,634</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34,147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80" w:type="dxa"/>
            <w:vAlign w:val="bottom"/>
            <w:vMerge w:val="restart"/>
          </w:tcPr>
          <w:p>
            <w:pPr>
              <w:jc w:val="right"/>
              <w:ind w:right="175"/>
              <w:spacing w:after="0"/>
              <w:rPr>
                <w:sz w:val="20"/>
                <w:szCs w:val="20"/>
                <w:color w:val="auto"/>
              </w:rPr>
            </w:pPr>
            <w:r>
              <w:rPr>
                <w:rFonts w:ascii="Arial" w:cs="Arial" w:eastAsia="Arial" w:hAnsi="Arial"/>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Capital Expenditures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40"/>
              <w:spacing w:after="0"/>
              <w:rPr>
                <w:sz w:val="20"/>
                <w:szCs w:val="20"/>
                <w:color w:val="auto"/>
              </w:rPr>
            </w:pPr>
            <w:r>
              <w:rPr>
                <w:rFonts w:ascii="Arial" w:cs="Arial" w:eastAsia="Arial" w:hAnsi="Arial"/>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40"/>
              <w:spacing w:after="0"/>
              <w:rPr>
                <w:sz w:val="20"/>
                <w:szCs w:val="20"/>
                <w:color w:val="auto"/>
              </w:rPr>
            </w:pPr>
            <w:r>
              <w:rPr>
                <w:rFonts w:ascii="Arial" w:cs="Arial" w:eastAsia="Arial" w:hAnsi="Arial"/>
                <w:sz w:val="18"/>
                <w:szCs w:val="18"/>
                <w:color w:val="auto"/>
              </w:rPr>
              <w:t>Europe &amp;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r>
      <w:tr>
        <w:trPr>
          <w:trHeight w:val="223"/>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Total Nu Skin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8,712</w:t>
            </w:r>
          </w:p>
        </w:tc>
        <w:tc>
          <w:tcPr>
            <w:tcW w:w="100" w:type="dxa"/>
            <w:vAlign w:val="bottom"/>
            <w:tcBorders>
              <w:top w:val="single" w:sz="8" w:color="CCEEFF"/>
            </w:tcBorders>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8"/>
                <w:szCs w:val="18"/>
                <w:color w:val="auto"/>
              </w:rPr>
            </w:pPr>
          </w:p>
        </w:tc>
      </w:tr>
      <w:tr>
        <w:trPr>
          <w:trHeight w:val="223"/>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3"/>
        </w:trPr>
        <w:tc>
          <w:tcPr>
            <w:tcW w:w="5960" w:type="dxa"/>
            <w:vAlign w:val="bottom"/>
            <w:tcBorders>
              <w:top w:val="single" w:sz="8" w:color="CCEEFF"/>
            </w:tcBorders>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top w:val="single" w:sz="8" w:color="CCEEFF"/>
            </w:tcBorders>
          </w:tcPr>
          <w:p>
            <w:pPr>
              <w:spacing w:after="0"/>
              <w:rPr>
                <w:sz w:val="19"/>
                <w:szCs w:val="19"/>
                <w:color w:val="auto"/>
              </w:rPr>
            </w:pPr>
          </w:p>
        </w:tc>
      </w:tr>
      <w:tr>
        <w:trPr>
          <w:trHeight w:val="22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14,712</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26,199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19,818</w:t>
            </w:r>
          </w:p>
        </w:tc>
        <w:tc>
          <w:tcPr>
            <w:tcW w:w="10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90" w:lineRule="auto"/>
        <w:tabs>
          <w:tab w:leader="none" w:pos="2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5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gross purchase price of $12.0 million to the assets acquired and liabilities assumed at estimated fair values. The estimated fair value of assets acquired included $7.4 million of intangible assets, $1.7 million of cash, $0.1 million of current assets, $1.0 million of accrued liabilities and also resulted in a deferred tax liability of $2.0 million. The excess purchase price over the aggregate fair value of assets acquired less liabilities assumed of $5.8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As of June 30, 2023 the allocation of the purchase price for the acquisition of LifeDNA is not yet finalized and is subject to adjustments as the Company completes the valuation analysis for this acquisition.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2023, the Company acquired 100 percent ownership in Beauty Biosciences, LLC (“BeautyBio”), making BeautyBio a wholly owned subsidiary of the Company.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$43.3 million of intangible assets, $1.5 million of cash, $4.7 million of accounts receivable, $11.0 million of inventory, $0.8 million of Prepaid and other assets, $1.0 million of fixed assets, and $3.0 million of accounts payable and accrued liabilities. The excess purchase price over the aggregate fair value of assets acquired less liabilities assumed of $17.2 million was recorded as goodwill. The goodwill recognized is attributable primarily to expected synergies. None of the goodwill is expected to be deductible for income tax purposes. The intangible assets acquired comprised $18.7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As of June 30, 2023 the allocation of the purchase price for the acquisition of BeautyBio is not yet finalized and is subject to adjustments as the Company completes the valuation analysis for this acquisition.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financial results of LifeDNA and BeautyBio are included in the Rhyz other segment from the date of acquisition. For the second quarter of 2023, the Company included $0.9 million of revenue from these acquisitions. The unaudited pro forma revenue for the Company, including LifeDNA and BeautyBio, as if the acquisitions occurred on January 1, 2022, would have been $504.1 million and $990.0 million for the three- and six-month periods ended June 30, 2023, respectively, and $564.9 million and $1,175.0 million for the three- and six-month periods ended June 30, 2022, respectively.</w:t>
      </w:r>
    </w:p>
    <w:p>
      <w:pPr>
        <w:spacing w:after="0" w:line="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had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our previous Grow Tech segment, which has been recast to Corporate &amp; Other. During the first three quarters of 2022, the Company made cash payments totaling $20.0 million, with $11.6 million in the first quarter of 2022. During the fourth quarter of 2022, the Company incurred $5.0 million in incremental charges to be settled in cash associated with the exit activities and legal settlements, leaving an ending accrual of $5.0 million as of December 31, 2022. The Company paid this amount during the first quarter of 2023, leaving no restructuring accrual related to our exit of the Grow Tech segment as of March 31, 2023.</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third quarter of 2022, the Company adopted a strategic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the back half of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of 2023, the Company incurred charges to be settled in cash of $4.0 million in severance charges, $1.9 million in lease termination cost, and $2.2 million in other associated cost, and non-cash charges of $1.7 million in accelerated depreciation. During the first quarter of 2023, the Company made cash payments of $7.9 million related to this global program, leaving an ending restructuring accrual of $11.9 million. During the second quarter of 2023, the company incurred no incremental charges and made cash payments of $9.6 million related to this global program, leaving an ending restructuring accrual of $2.3 million. The Company expects to make the remaining cash payments in the back half of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Pr>
          <w:p>
            <w:pPr>
              <w:spacing w:after="0"/>
              <w:rPr>
                <w:sz w:val="20"/>
                <w:szCs w:val="20"/>
                <w:color w:val="auto"/>
              </w:rPr>
            </w:pPr>
            <w:r>
              <w:rPr>
                <w:rFonts w:ascii="Arial" w:cs="Arial" w:eastAsia="Arial" w:hAnsi="Arial"/>
                <w:sz w:val="18"/>
                <w:szCs w:val="18"/>
                <w:i w:val="1"/>
                <w:iCs w:val="1"/>
                <w:color w:val="auto"/>
              </w:rPr>
              <w:t>Restructuring expense by segment</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50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w:t>
            </w:r>
          </w:p>
        </w:tc>
      </w:tr>
      <w:tr>
        <w:trPr>
          <w:trHeight w:val="241"/>
        </w:trPr>
        <w:tc>
          <w:tcPr>
            <w:tcW w:w="950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1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March 31, 2023</w:t>
            </w:r>
          </w:p>
        </w:tc>
      </w:tr>
      <w:tr>
        <w:trPr>
          <w:trHeight w:val="216"/>
        </w:trPr>
        <w:tc>
          <w:tcPr>
            <w:tcW w:w="950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Mainland China</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Southeast Asia/Pacific</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Europe &amp; Africa</w:t>
            </w:r>
          </w:p>
        </w:tc>
        <w:tc>
          <w:tcPr>
            <w:tcW w:w="1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23"/>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Hong Kong/Taiwan</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950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Total Nu Skin</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top w:val="single" w:sz="8" w:color="CCEEFF"/>
            </w:tcBorders>
          </w:tcPr>
          <w:p>
            <w:pPr>
              <w:spacing w:after="0"/>
              <w:rPr>
                <w:sz w:val="18"/>
                <w:szCs w:val="18"/>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Manufacturing</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23"/>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Rhyz other</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0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Total Rhyz Investments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rPr>
                <w:sz w:val="19"/>
                <w:szCs w:val="19"/>
                <w:color w:val="auto"/>
              </w:rPr>
            </w:pPr>
          </w:p>
        </w:tc>
      </w:tr>
      <w:tr>
        <w:trPr>
          <w:trHeight w:val="223"/>
        </w:trPr>
        <w:tc>
          <w:tcPr>
            <w:tcW w:w="9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50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acquisitions and the integration of acquisition targets,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or related to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2022 fiscal year and in any of our subsequent Securities and Exchange Commission filings.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2022 fiscal year, and our other reports filed with the Securities and Exchange Commission through the date of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three-month period ended June 30, 2023 decreased 11% to $500.3 million, compared to $560.6 million in the prior-year period, and revenue for the six-month period ended June 30, 2023 decreased 16% to $1.0 billion, compared to $1.2 billion in the prior-year period. Our revenue in the second quarter and first six months of 2022 was negatively impacted 3% and 4%, respectively, from foreign-currency fluctuations. Our Customers, Paid Affiliates and Sales Leaders declined 25%, 23% and 9%, respectively, on a year-over-year basis.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declines in our second quarter and first half of 2023 revenue were largely driven by continued macroeconomic pressures we’ve been facing in our markets. During the second quarter we began the launch process for </w:t>
      </w:r>
      <w:r>
        <w:rPr>
          <w:rFonts w:ascii="Arial" w:cs="Arial" w:eastAsia="Arial" w:hAnsi="Arial"/>
          <w:sz w:val="18"/>
          <w:szCs w:val="18"/>
          <w:i w:val="1"/>
          <w:iCs w:val="1"/>
          <w:color w:val="auto"/>
        </w:rPr>
        <w:t>ageLOC TRMe</w:t>
      </w:r>
      <w:r>
        <w:rPr>
          <w:rFonts w:ascii="Arial" w:cs="Arial" w:eastAsia="Arial" w:hAnsi="Arial"/>
          <w:sz w:val="18"/>
          <w:szCs w:val="18"/>
          <w:color w:val="auto"/>
        </w:rPr>
        <w:t xml:space="preserve">, our new personalized approach to weight management, which generated approximately $12.7 million in revenue. In the third quarter of 2023, we plan to begin our launch process for our next smart connected device system, </w:t>
      </w:r>
      <w:r>
        <w:rPr>
          <w:rFonts w:ascii="Arial" w:cs="Arial" w:eastAsia="Arial" w:hAnsi="Arial"/>
          <w:sz w:val="18"/>
          <w:szCs w:val="18"/>
          <w:i w:val="1"/>
          <w:iCs w:val="1"/>
          <w:color w:val="auto"/>
        </w:rPr>
        <w:t>ageLOC WellSpa iO,</w:t>
      </w:r>
      <w:r>
        <w:rPr>
          <w:rFonts w:ascii="Arial" w:cs="Arial" w:eastAsia="Arial" w:hAnsi="Arial"/>
          <w:sz w:val="18"/>
          <w:szCs w:val="18"/>
          <w:color w:val="auto"/>
        </w:rPr>
        <w:t xml:space="preserve"> with limited previews starting in select markets, followed by majority of our markets launching in the fourth quarter of 2023 and with the remainder continuing throughout the first half of 2024. We currently anticipate </w:t>
      </w:r>
      <w:r>
        <w:rPr>
          <w:rFonts w:ascii="Arial" w:cs="Arial" w:eastAsia="Arial" w:hAnsi="Arial"/>
          <w:sz w:val="18"/>
          <w:szCs w:val="18"/>
          <w:i w:val="1"/>
          <w:iCs w:val="1"/>
          <w:color w:val="auto"/>
        </w:rPr>
        <w:t>ageLOC WellSpa iO</w:t>
      </w:r>
      <w:r>
        <w:rPr>
          <w:rFonts w:ascii="Arial" w:cs="Arial" w:eastAsia="Arial" w:hAnsi="Arial"/>
          <w:sz w:val="18"/>
          <w:szCs w:val="18"/>
          <w:color w:val="auto"/>
        </w:rPr>
        <w:t xml:space="preserve"> sales will generate approximately $70-90 million for the second half of 2023.</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per share for the second quarter of 2023 decreased 19% to $0.54, compared to $0.67 in the prior-year period. Earnings per share for the first six months of 2023 decreased 47% to $0.76, compared to $1.43 in the prior-year period. The decrease in earnings per share for the second quarter and first half of 2023 is primarily driven by a decline in revenue. The decline in earnings per share for the first half of 2023 was also impacted by our $9.8 million of restructuring charges incurred in the first quarter of 2023.</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report our business in nine segments to reflect our current management approach. These segments consist of our seven geographic Nu Skin segments— Americas, Mainland China, Southeast Asia/Pacific, South Korea, Japan, Europe &amp; Africa, and Hong Kong/Taiwan—and our Rhyz Investment segments— Manufacturing and Rhyz other. The Nu Skin other category includes miscellaneous corporate revenue and related adjustments. The Rhyz other segment includes other investments by our Rhyz strategic investment arm, which were entered into during the second quarter of 2021 and 2023. Our Europe &amp; Africa segment was previously EMEA, but was changed following the June 2023 closure of the Israel market.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revenue for the three- and six-month periods ended June 30, 2023 and 2022 for each of our reportable segments (U.S.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Constant-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Six Months Ended</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Constant-</w:t>
            </w:r>
          </w:p>
        </w:tc>
      </w:tr>
      <w:tr>
        <w:trPr>
          <w:trHeight w:val="241"/>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Currency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Currency</w:t>
            </w:r>
          </w:p>
        </w:tc>
      </w:tr>
      <w:tr>
        <w:trPr>
          <w:trHeight w:val="223"/>
        </w:trPr>
        <w:tc>
          <w:tcPr>
            <w:tcW w:w="2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ind w:left="60"/>
              <w:spacing w:after="0" w:line="216"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5"/>
                <w:szCs w:val="25"/>
                <w:b w:val="1"/>
                <w:bCs w:val="1"/>
                <w:color w:val="auto"/>
                <w:vertAlign w:val="superscript"/>
              </w:rPr>
              <w:t>(1)</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tcPr>
          <w:p>
            <w:pPr>
              <w:ind w:left="60"/>
              <w:spacing w:after="0" w:line="216"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5"/>
                <w:szCs w:val="25"/>
                <w:b w:val="1"/>
                <w:bCs w:val="1"/>
                <w:color w:val="auto"/>
                <w:vertAlign w:val="superscript"/>
              </w:rPr>
              <w:t>(1)</w:t>
            </w:r>
          </w:p>
        </w:tc>
      </w:tr>
      <w:tr>
        <w:trPr>
          <w:trHeight w:val="216"/>
        </w:trPr>
        <w:tc>
          <w:tcPr>
            <w:tcW w:w="224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124,445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248,025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86,808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156,338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211,303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184,303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69,308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141,441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55,952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117,743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Europe &amp; Africa</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50,871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103,839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39,327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240" w:type="dxa"/>
            <w:vAlign w:val="bottom"/>
          </w:tcPr>
          <w:p>
            <w:pPr>
              <w:ind w:left="180"/>
              <w:spacing w:after="0"/>
              <w:rPr>
                <w:sz w:val="20"/>
                <w:szCs w:val="20"/>
                <w:color w:val="auto"/>
              </w:rPr>
            </w:pPr>
            <w:r>
              <w:rPr>
                <w:rFonts w:ascii="Arial" w:cs="Arial" w:eastAsia="Arial" w:hAnsi="Arial"/>
                <w:sz w:val="18"/>
                <w:szCs w:val="18"/>
                <w:color w:val="auto"/>
              </w:rPr>
              <w:t>Nu Skin 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1,318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1,938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448,988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522,096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1,086,413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24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78,570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2240" w:type="dxa"/>
            <w:vAlign w:val="bottom"/>
          </w:tcPr>
          <w:p>
            <w:pPr>
              <w:ind w:left="180"/>
              <w:spacing w:after="0"/>
              <w:rPr>
                <w:sz w:val="20"/>
                <w:szCs w:val="20"/>
                <w:color w:val="auto"/>
              </w:rPr>
            </w:pPr>
            <w:r>
              <w:rPr>
                <w:rFonts w:ascii="Arial" w:cs="Arial" w:eastAsia="Arial" w:hAnsi="Arial"/>
                <w:sz w:val="18"/>
                <w:szCs w:val="18"/>
                <w:color w:val="auto"/>
              </w:rPr>
              <w:t>Rhyz other</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1,872%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1,720%</w:t>
            </w:r>
          </w:p>
        </w:tc>
      </w:tr>
      <w:tr>
        <w:trPr>
          <w:trHeight w:val="22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79,101</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500,257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560,615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981,719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1,165,514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segment contribution for the three- and six-month periods ended June 30, 2023 and 2022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due to a change in how we allocate certain corporate costs. Consolidated financial information was not affected. For additional information regarding our segments and the calculation of segment contribution, see Note 10 to the consolidated financial statements contained in this report.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26,729</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12,945</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41,940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21,997</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42,993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19,828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41,826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12,667</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Europe &amp; Africa</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4,867</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7,489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8,514</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7"/>
        </w:trPr>
        <w:tc>
          <w:tcPr>
            <w:tcW w:w="2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Total Nu Skin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104,598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107,547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194,886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226,615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1,188</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4,480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Rhyz other</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(1,299)</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2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i w:val="1"/>
                <w:iCs w:val="1"/>
                <w:color w:val="auto"/>
              </w:rPr>
              <w:t>Total Rhyz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844%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554"/>
        </w:trPr>
        <w:tc>
          <w:tcPr>
            <w:tcW w:w="2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19</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provide information concerning the number of Customers, Paid Affiliates and Sales Leaders in our core Nu Skin business for the three-month periods ended June 30, 2023 and 2022.</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4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4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Customers</w:t>
            </w: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302,849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214,907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392,268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152,775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120" w:type="dxa"/>
            <w:vAlign w:val="bottom"/>
          </w:tcPr>
          <w:p>
            <w:pPr>
              <w:jc w:val="right"/>
              <w:spacing w:after="0"/>
              <w:rPr>
                <w:sz w:val="20"/>
                <w:szCs w:val="20"/>
                <w:color w:val="auto"/>
              </w:rPr>
            </w:pPr>
            <w:r>
              <w:rPr>
                <w:rFonts w:ascii="Arial" w:cs="Arial" w:eastAsia="Arial" w:hAnsi="Arial"/>
                <w:sz w:val="18"/>
                <w:szCs w:val="18"/>
                <w:color w:val="auto"/>
              </w:rPr>
              <w:t>112,019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135,290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122,643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Europe &amp; Africa</w:t>
            </w:r>
          </w:p>
        </w:tc>
        <w:tc>
          <w:tcPr>
            <w:tcW w:w="1120" w:type="dxa"/>
            <w:vAlign w:val="bottom"/>
          </w:tcPr>
          <w:p>
            <w:pPr>
              <w:jc w:val="right"/>
              <w:spacing w:after="0"/>
              <w:rPr>
                <w:sz w:val="20"/>
                <w:szCs w:val="20"/>
                <w:color w:val="auto"/>
              </w:rPr>
            </w:pPr>
            <w:r>
              <w:rPr>
                <w:rFonts w:ascii="Arial" w:cs="Arial" w:eastAsia="Arial" w:hAnsi="Arial"/>
                <w:sz w:val="18"/>
                <w:szCs w:val="18"/>
                <w:color w:val="auto"/>
              </w:rPr>
              <w:t>177,472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205,379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69,411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Customers</w:t>
            </w:r>
          </w:p>
        </w:tc>
        <w:tc>
          <w:tcPr>
            <w:tcW w:w="1120" w:type="dxa"/>
            <w:vAlign w:val="bottom"/>
          </w:tcPr>
          <w:p>
            <w:pPr>
              <w:jc w:val="right"/>
              <w:spacing w:after="0"/>
              <w:rPr>
                <w:sz w:val="20"/>
                <w:szCs w:val="20"/>
                <w:color w:val="auto"/>
              </w:rPr>
            </w:pPr>
            <w:r>
              <w:rPr>
                <w:rFonts w:ascii="Arial" w:cs="Arial" w:eastAsia="Arial" w:hAnsi="Arial"/>
                <w:sz w:val="18"/>
                <w:szCs w:val="18"/>
                <w:color w:val="auto"/>
              </w:rPr>
              <w:t>1,041,118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1,380,615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Paid Affiliates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28,825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19,257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40" w:type="dxa"/>
            <w:vAlign w:val="bottom"/>
          </w:tcPr>
          <w:p>
            <w:pPr>
              <w:ind w:left="180"/>
              <w:spacing w:after="0" w:line="216" w:lineRule="exact"/>
              <w:rPr>
                <w:sz w:val="20"/>
                <w:szCs w:val="20"/>
                <w:color w:val="auto"/>
              </w:rPr>
            </w:pPr>
            <w:r>
              <w:rPr>
                <w:rFonts w:ascii="Arial" w:cs="Arial" w:eastAsia="Arial" w:hAnsi="Arial"/>
                <w:sz w:val="16"/>
                <w:szCs w:val="16"/>
                <w:color w:val="auto"/>
              </w:rPr>
              <w:t>South Korea</w:t>
            </w:r>
            <w:r>
              <w:rPr>
                <w:rFonts w:ascii="Arial" w:cs="Arial" w:eastAsia="Arial" w:hAnsi="Arial"/>
                <w:sz w:val="25"/>
                <w:szCs w:val="25"/>
                <w:b w:val="1"/>
                <w:bCs w:val="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23,012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48,605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40" w:type="dxa"/>
            <w:vAlign w:val="bottom"/>
          </w:tcPr>
          <w:p>
            <w:pPr>
              <w:ind w:left="180"/>
              <w:spacing w:after="0" w:line="216" w:lineRule="exact"/>
              <w:rPr>
                <w:sz w:val="20"/>
                <w:szCs w:val="20"/>
                <w:color w:val="auto"/>
              </w:rPr>
            </w:pPr>
            <w:r>
              <w:rPr>
                <w:rFonts w:ascii="Arial" w:cs="Arial" w:eastAsia="Arial" w:hAnsi="Arial"/>
                <w:sz w:val="16"/>
                <w:szCs w:val="16"/>
                <w:color w:val="auto"/>
              </w:rPr>
              <w:t>Europe &amp; Africa</w:t>
            </w:r>
            <w:r>
              <w:rPr>
                <w:rFonts w:ascii="Arial" w:cs="Arial" w:eastAsia="Arial" w:hAnsi="Arial"/>
                <w:sz w:val="25"/>
                <w:szCs w:val="25"/>
                <w:b w:val="1"/>
                <w:bCs w:val="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19,906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32,323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2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Hong Kong/Taiwan</w:t>
            </w:r>
            <w:r>
              <w:rPr>
                <w:rFonts w:ascii="Arial" w:cs="Arial" w:eastAsia="Arial" w:hAnsi="Arial"/>
                <w:sz w:val="25"/>
                <w:szCs w:val="25"/>
                <w:b w:val="1"/>
                <w:bCs w:val="1"/>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Paid Affiliates</w:t>
            </w:r>
          </w:p>
        </w:tc>
        <w:tc>
          <w:tcPr>
            <w:tcW w:w="1120" w:type="dxa"/>
            <w:vAlign w:val="bottom"/>
          </w:tcPr>
          <w:p>
            <w:pPr>
              <w:jc w:val="right"/>
              <w:spacing w:after="0"/>
              <w:rPr>
                <w:sz w:val="20"/>
                <w:szCs w:val="20"/>
                <w:color w:val="auto"/>
              </w:rPr>
            </w:pPr>
            <w:r>
              <w:rPr>
                <w:rFonts w:ascii="Arial" w:cs="Arial" w:eastAsia="Arial" w:hAnsi="Arial"/>
                <w:sz w:val="18"/>
                <w:szCs w:val="18"/>
                <w:color w:val="auto"/>
              </w:rPr>
              <w:t>187,652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242,133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Sales Leaders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40" w:type="dxa"/>
            <w:vAlign w:val="bottom"/>
          </w:tcPr>
          <w:p>
            <w:pPr>
              <w:ind w:left="180"/>
              <w:spacing w:after="0" w:line="216" w:lineRule="exact"/>
              <w:rPr>
                <w:sz w:val="20"/>
                <w:szCs w:val="20"/>
                <w:color w:val="auto"/>
              </w:rPr>
            </w:pPr>
            <w:r>
              <w:rPr>
                <w:rFonts w:ascii="Arial" w:cs="Arial" w:eastAsia="Arial" w:hAnsi="Arial"/>
                <w:sz w:val="16"/>
                <w:szCs w:val="16"/>
                <w:color w:val="auto"/>
              </w:rPr>
              <w:t>Mainland China</w:t>
            </w:r>
            <w:r>
              <w:rPr>
                <w:rFonts w:ascii="Arial" w:cs="Arial" w:eastAsia="Arial" w:hAnsi="Arial"/>
                <w:sz w:val="25"/>
                <w:szCs w:val="25"/>
                <w:b w:val="1"/>
                <w:bCs w:val="1"/>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13,777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11,458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120" w:type="dxa"/>
            <w:vAlign w:val="bottom"/>
          </w:tcPr>
          <w:p>
            <w:pPr>
              <w:jc w:val="right"/>
              <w:spacing w:after="0"/>
              <w:rPr>
                <w:sz w:val="20"/>
                <w:szCs w:val="20"/>
                <w:color w:val="auto"/>
              </w:rPr>
            </w:pPr>
            <w:r>
              <w:rPr>
                <w:rFonts w:ascii="Arial" w:cs="Arial" w:eastAsia="Arial" w:hAnsi="Arial"/>
                <w:sz w:val="18"/>
                <w:szCs w:val="18"/>
                <w:color w:val="auto"/>
              </w:rPr>
              <w:t>5,784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Europe &amp; Africa</w:t>
            </w:r>
          </w:p>
        </w:tc>
        <w:tc>
          <w:tcPr>
            <w:tcW w:w="1120" w:type="dxa"/>
            <w:vAlign w:val="bottom"/>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Sales Leaders</w:t>
            </w:r>
          </w:p>
        </w:tc>
        <w:tc>
          <w:tcPr>
            <w:tcW w:w="1120" w:type="dxa"/>
            <w:vAlign w:val="bottom"/>
          </w:tcPr>
          <w:p>
            <w:pPr>
              <w:jc w:val="right"/>
              <w:spacing w:after="0"/>
              <w:rPr>
                <w:sz w:val="20"/>
                <w:szCs w:val="20"/>
                <w:color w:val="auto"/>
              </w:rPr>
            </w:pPr>
            <w:r>
              <w:rPr>
                <w:rFonts w:ascii="Arial" w:cs="Arial" w:eastAsia="Arial" w:hAnsi="Arial"/>
                <w:sz w:val="18"/>
                <w:szCs w:val="18"/>
                <w:color w:val="auto"/>
              </w:rPr>
              <w:t>45,807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June 30, 2023 number is affected by a change in eligibility requirements for receiving certain rewards within our compensation structure, to more narrowly focus on those affiliates who are actively building a consumer base. See “South Korea,” “Europe &amp; Africa,” and “Hong Kong/Taiwan,” below. We plan to implement these changes in additional segments over the next several quarters.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June 30, 2023 number reflects a modified Sales Leader definition. See “Mainland China,”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Americas</w:t>
      </w:r>
      <w:r>
        <w:rPr>
          <w:rFonts w:ascii="Arial" w:cs="Arial" w:eastAsia="Arial" w:hAnsi="Arial"/>
          <w:sz w:val="16"/>
          <w:szCs w:val="16"/>
          <w:color w:val="auto"/>
        </w:rPr>
        <w:t xml:space="preserve">. The decline in revenue, Customers, Paid Affiliates and Sales Leaders in our Americas segment for the second quarter and first half of 2023 is attributable to the decline in momentum in our North America markets, while our Latin America markets continue to be challenged by macroeconomic issues. In the first quarter of 2023 we have launched our new affiliates rewards and recognition program in North America. In the second quarter of 2023, we implemented our new e-commerce platform in North America and adjusted the structure of our sales compensation in our Latin America markets. Despite some early difficulties with migration and adoption of the new programs and platforms, we believe these changes will be beneficial for our future growth opportunities. We remain optimistic for our upcoming product launches in the Americas segment, which include products aimed at social selling along with </w:t>
      </w:r>
      <w:r>
        <w:rPr>
          <w:rFonts w:ascii="Arial" w:cs="Arial" w:eastAsia="Arial" w:hAnsi="Arial"/>
          <w:sz w:val="16"/>
          <w:szCs w:val="16"/>
          <w:i w:val="1"/>
          <w:iCs w:val="1"/>
          <w:color w:val="auto"/>
        </w:rPr>
        <w:t>ageLOC WellSpa iO</w:t>
      </w:r>
      <w:r>
        <w:rPr>
          <w:rFonts w:ascii="Arial" w:cs="Arial" w:eastAsia="Arial" w:hAnsi="Arial"/>
          <w:sz w:val="16"/>
          <w:szCs w:val="16"/>
          <w:color w:val="auto"/>
        </w:rPr>
        <w:t>, which we expect to preview with our Sales Leaders in Canada and Latin America by the end of the year. We also expect to preview a similar device in our United States market during the fourth quarter of 2023, pending regulatory clearance.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year-over-year increase in segment contribution for the second quarter of 2023 primarily reflects a 2.5 percentage point increase in gross margin from favorable product mix as well as less sales discounts in the period, a 2.5 percentage point decrease in selling expense as a percentage of revenue from sales mix, as our products have differing commission percentages assigned to them, all partially offset by a decrease in revenue. The decline in segment contribution for the first half of 2023 is primarily from the decline in revenue as well as increased general and administrative expenses in the first quarter.</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Mainland China</w:t>
      </w:r>
      <w:r>
        <w:rPr>
          <w:rFonts w:ascii="Arial" w:cs="Arial" w:eastAsia="Arial" w:hAnsi="Arial"/>
          <w:sz w:val="18"/>
          <w:szCs w:val="18"/>
          <w:color w:val="auto"/>
        </w:rPr>
        <w:t xml:space="preserve">. Our Mainland China market continued to be challenged during the first quarter of 2023, while during the second quarter we have seen improving trends with a 2% increase in revenue as well as increases in Paid Affiliates and Sales Leaders, while our Customers declined due to prior year customer promotion. Our revenue for the second quarter and first half of 2023 was negatively impacted 6% and 5%, respectively, by unfavorable foreign currency fluctuations. During the third quarter of 2022, as a result of the economic headwinds in the market, we made some modifications to the compensation plan, which provided leaders more flexible requirements to maintain their business. Our Mainland China Sales Leaders number as of June 30, 2023 reflects these modified requirements. We remain optimistic in the potential of our Mainland China market, with our upcoming product launch of </w:t>
      </w:r>
      <w:r>
        <w:rPr>
          <w:rFonts w:ascii="Arial" w:cs="Arial" w:eastAsia="Arial" w:hAnsi="Arial"/>
          <w:sz w:val="18"/>
          <w:szCs w:val="18"/>
          <w:i w:val="1"/>
          <w:iCs w:val="1"/>
          <w:color w:val="auto"/>
        </w:rPr>
        <w:t>ageLOC TRMe</w:t>
      </w:r>
      <w:r>
        <w:rPr>
          <w:rFonts w:ascii="Arial" w:cs="Arial" w:eastAsia="Arial" w:hAnsi="Arial"/>
          <w:sz w:val="18"/>
          <w:szCs w:val="18"/>
          <w:color w:val="auto"/>
        </w:rPr>
        <w: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year-over-year increase in segment contribution for the second quarter of 2023 primarily reflects the increase in revenue, a 4.2 percentage point increase in gross margin from favorable sales mix as well as our prior year period incurred higher cost associated with the COVID related factors, a decrease in general and administrative expenses from cost savings realized from our 2022 restructuring plan, as well as a 2.5 percentage point decrease in selling expenses as a percentage of revenue. The salaries and service fees of our Sales Leaders in Mainland China are fixed until they are adjusted in a quarterly evaluation process. As a result, we have variations in our selling expenses as a percentage of revenue particularly when there is a sequential change in revenue. The decrease in segment contribution for the first half of 2023 is primarily driven by a decline in revenue, partially offset by the second quarter improvements in gross margin and selling expense mentioned above.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Southeast Asia/Pacific</w:t>
      </w:r>
      <w:r>
        <w:rPr>
          <w:rFonts w:ascii="Arial" w:cs="Arial" w:eastAsia="Arial" w:hAnsi="Arial"/>
          <w:sz w:val="18"/>
          <w:szCs w:val="18"/>
          <w:color w:val="auto"/>
        </w:rPr>
        <w:t xml:space="preserve">. The decline in revenue, Customers, Paid Affiliates and Sales Leaders for the second quarter and first half of 2023 is partially attributable to slowing momentum from the general macro-economic factors in the markets along with our recent price increases to address inflation. In addition, in the first half of 2022 we launched </w:t>
      </w:r>
      <w:r>
        <w:rPr>
          <w:rFonts w:ascii="Arial" w:cs="Arial" w:eastAsia="Arial" w:hAnsi="Arial"/>
          <w:sz w:val="18"/>
          <w:szCs w:val="18"/>
          <w:i w:val="1"/>
          <w:iCs w:val="1"/>
          <w:color w:val="auto"/>
        </w:rPr>
        <w:t>ageLOC Meta</w:t>
      </w:r>
      <w:r>
        <w:rPr>
          <w:rFonts w:ascii="Arial" w:cs="Arial" w:eastAsia="Arial" w:hAnsi="Arial"/>
          <w:sz w:val="18"/>
          <w:szCs w:val="18"/>
          <w:color w:val="auto"/>
        </w:rPr>
        <w:t xml:space="preserve"> (locally referred to as </w:t>
      </w:r>
      <w:r>
        <w:rPr>
          <w:rFonts w:ascii="Arial" w:cs="Arial" w:eastAsia="Arial" w:hAnsi="Arial"/>
          <w:sz w:val="18"/>
          <w:szCs w:val="18"/>
          <w:i w:val="1"/>
          <w:iCs w:val="1"/>
          <w:color w:val="auto"/>
        </w:rPr>
        <w:t>ageLOC Reset</w:t>
      </w:r>
      <w:r>
        <w:rPr>
          <w:rFonts w:ascii="Arial" w:cs="Arial" w:eastAsia="Arial" w:hAnsi="Arial"/>
          <w:sz w:val="18"/>
          <w:szCs w:val="18"/>
          <w:color w:val="auto"/>
        </w:rPr>
        <w:t xml:space="preserve"> in our Southeast Asia markets), which generated $18.2 million and $31.4 million in revenue for the second quarter and first half of 2022, respectively, compared to $5.2 million and $11.6 million for the second quarter and first half of 2023,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year-over-year decrease in segment contribution is primarily attributable to the decline in revenue, along with a 2.6 and 2.5 percentage point decline in gross margin for the second quarter and first half of 2023, respectively, due to product mix, as well as the fixed nature of general and administrative expenses on lower revenue.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South Korea</w:t>
      </w:r>
      <w:r>
        <w:rPr>
          <w:rFonts w:ascii="Arial" w:cs="Arial" w:eastAsia="Arial" w:hAnsi="Arial"/>
          <w:sz w:val="17"/>
          <w:szCs w:val="17"/>
          <w:color w:val="auto"/>
        </w:rPr>
        <w:t>. Our South Korea market was challenged by difficult macroeconomic trends, including inflationary pressures and our associated price increases which negatively impacted our revenue, Customers, Paid Affiliates and Sales Leaders for the second quarter and first half of 2023. Our Paid Affiliates were also negatively impacted by a change in eligibility requirements for receiving certain rewards within our compensation structure. We estimate the change in eligibility requirements resulted in a reduction of approximately 19 thousand Paid Affiliates for the second quarter of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year-over-year decrease in segment contribution primarily reflects the decline in revenue, partially offset by decreases in general and administrative expenses from savings generated by our 2022 restructuring plan and a 2.9 and 1.2 percentage point decline in selling expenses as a percentage of revenue for the second quarter and first half of 2023, respectively. The decreases in our selling expenses for both periods presented are partially from the decline in Sales Leaders, along with adjustments to the compensation structure.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Japan</w:t>
      </w:r>
      <w:r>
        <w:rPr>
          <w:rFonts w:ascii="Arial" w:cs="Arial" w:eastAsia="Arial" w:hAnsi="Arial"/>
          <w:sz w:val="18"/>
          <w:szCs w:val="18"/>
          <w:color w:val="auto"/>
        </w:rPr>
        <w:t>. The decline in revenue for the second quarter and first half of 2023 is primarily attributable to a 5% and 9% negative impact, respectively, from unfavorable foreign-currency fluctuations. In addition, our revenue, Customers, Paid Affiliates, and Sales Leaders were negatively impacted by inflationary pressures and our associated price increases implemented in the second quarter of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decline in segment contribution for the second quarter and first half of 2023 reflects the decreased revenue, partially offset by a decline in general and administrative expenses attributable to savings from our 2022 restructuring plan.</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Europe &amp; Africa</w:t>
      </w:r>
      <w:r>
        <w:rPr>
          <w:rFonts w:ascii="Arial" w:cs="Arial" w:eastAsia="Arial" w:hAnsi="Arial"/>
          <w:sz w:val="18"/>
          <w:szCs w:val="18"/>
          <w:color w:val="auto"/>
        </w:rPr>
        <w:t>. The reduction in revenue, Customers, Paid Affiliates and Sales Leaders for the second quarter and first half of 2023 reflects the continued softening of momentum in this segment, as well as macroeconomic factors that have led to a decline in purchasing power of our customers. Our Paid Affiliates were also negatively impacted by a change in eligibility requirements for receiving certain rewards within our compensation structure. We estimate the change in eligibility requirements resulted in a reduction of approximately 5 thousand Paid Affiliates for the second quarter of 2023. Effective June 2023, we closed our Israel market. This market generated $32 thousand and $65 thousand of revenue for the second quarter and first half of 2023,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increase in segment contribution for the second quarter and first half of 2023 reflects slight increases in gross margin, from favorable sales mix and price increase, partially offset by the decline in revenue.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Hong Kong/Taiwan</w:t>
      </w:r>
      <w:r>
        <w:rPr>
          <w:rFonts w:ascii="Arial" w:cs="Arial" w:eastAsia="Arial" w:hAnsi="Arial"/>
          <w:sz w:val="16"/>
          <w:szCs w:val="16"/>
          <w:color w:val="auto"/>
        </w:rPr>
        <w:t>. Our Hong Kong/Taiwan segment revenue declined 6% for the second quarter and 8% for the first half of 2023 on a year-over-year basis. Our revenue was negatively impacted 3% for second quarter and 4% for the first half of 2023 from unfavorable foreign-currency fluctuations. Our Paid Affiliates were also negatively impacted by a change in eligibility requirements for receiving certain rewards within our compensation structure. We estimate the change in eligibility requirements resulted in a reduction of approximately 5 thousand Paid Affiliates for the second quarter of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segment contribution for the second quarter and first half of 2023 was primarily driven by a 2.9 and 1.6 percentage point improvement, respectively, in gross margin from cost saving initiatives to reduce freight and overhead cost and a 3.9 and 2.6 percentage point decrease in selling expenses as a percentage of revenue, respectively, from lower incentive trip accruals.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Manufacturing</w:t>
      </w:r>
      <w:r>
        <w:rPr>
          <w:rFonts w:ascii="Arial" w:cs="Arial" w:eastAsia="Arial" w:hAnsi="Arial"/>
          <w:sz w:val="18"/>
          <w:szCs w:val="18"/>
          <w:color w:val="auto"/>
        </w:rPr>
        <w:t>. Our Manufacturing segment revenue increased 19% for the second quarter, primarily from the onboarding of new customers and automation efforts to increase efficiencies.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segment contribution for the second quarter is primarily from the increased revenue and efficiencies gained from automation. The decrease in segment contribution for first half of 2023 is attributable to the lower revenue in the first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Rhyz Other</w:t>
      </w:r>
      <w:r>
        <w:rPr>
          <w:rFonts w:ascii="Arial" w:cs="Arial" w:eastAsia="Arial" w:hAnsi="Arial"/>
          <w:sz w:val="18"/>
          <w:szCs w:val="18"/>
          <w:color w:val="auto"/>
        </w:rPr>
        <w:t>. The increase in revenue in our Rhyz other segment is primarily driven by $4.6 million and $8.2 million of growth at our previously acquired social commerce platform for the second quarter and first half of 2023,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2023, we acquired 60 percent of LifeDNA, Inc. (“LifeDNA”), a DNA assessment company. Consideration paid included $4.0 million of cash, along with the conversion of a previous $3.0 million Simple Agreement for Future Equity (“SAFE”), and a $0.2 million convertible note. In June 2023, we acquired 100 percent ownership in Beauty Biosciences, LLC (“BeautyBio”), a clean and clinically proven skin care and beauty device company. The purchase price for BeautyBio was $75.0 million, net of cash acquired of $1.5 million, all payable in cash. During the second quarter of 2023, we recognized approximately $0.9 million of revenue from these entities. Because we acquired these entities during the quarter, our reported revenue for these entities consists only of the revenue after the acquisition dates, not the full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three-month period ended June 30, 2023 decreased 11% to $500.3 million, compared to $560.6 million in the prior-year period. Revenue for the six-month period ended June 30, 2023 decreased 16% to $1.0 billion compared to $1.2 billion. Our reported revenue was negatively impacted 3% and 4% from foreign-currency fluctuations for the three- and six-month periods ended June 30, 2023, respectively. For a discussion and analysis of these decreases in revenue, see “Overview” and “Segment Results,”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as a percentage of revenue was 72.9% for the second quarter of 2023, compared to 73.6% for the prior-year period, and 72.6% for the first six months of 2023, compared to 73.4% for the prior-year period. Gross profit as a percentage of revenue for core Nu Skin increased 0.2 percentage points to 77.2% for the second quarter of 2023 and increased 0.1 percentage points to 76.8% for the first six months of 2023. Our gross margin was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second quarter and first half of 2023 than in the prior-year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expenses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expenses as a percentage of revenue decreased to 37.0% for the second quarter of 2023, compared to 39.1% for the prior year period, and decreased to 38.0% for the first six months of 2023, compared to 39.6% for the prior-year period. Core Nu Skin selling expenses as a percentage of revenue decreased 1.8 percentage points to 40.2% for the second quarter of 2023 and decreased 1.5 percentage points to 41.0% for the first half of 2023.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The declines in our selling expenses for the second quarter and first half of 2023 also reflect the sequential growth in Mainland China and the associated impact on selling expenses as discussed above in “Mainland China.”</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decreased to $137.0 million in the second quarter of 2023, compared to $141.6 million in the prior-year period and decreased to $270.9 million in the first half of 2023, compared to $290.1 million in the prior-year period. The $4.6 million decrease for the second quarter of 2023 and $19.2 million decrease for the first half of 2023 was primarily from contraction in labor expense and occupancy related expenses, both attributable to our 2022 restructuring in which we reduced our physical footprint and reduced our headcount. General and administrative expenses as a percentage of revenue increased to 27.4% for the second quarter of 2023, from 25.3% for the prior-year period, and increased to 27.6% for the first half of 2023, from 24.9% for the prior-year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third quarter of 2022, we adopted a strategic plan to focus resources on our strategic priorities and optimize future growth and profitability. The global program includes workforce reductions and footprint optimization. We incurred total charges under the program of approximately $53.3 million, with $40.8 million in cash charges of severance and lease termination cost and approximately $12.5 million of non-cash charges of impairment of fixed assets, acceleration of depreciation and other intangibles related to the footprint optimization. During the third and fourth quarters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 No restructuring charges were incurred in the second quarter of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was $(5.4) million for the second quarter of 2023 compared to $(8.6) for the prior-year period and $(6.9) million for the first six months of 2023 compared to $(10.1) for the prior-year period. The decrease in other expense for the second quarter and first half of 2023 are primarily from a $5.7 million unrealized investment loss recorded in the second quarter of 2022, related to a controlled environment agriculture company we invested in as part of our previous Grow Tech segment, this was partially offset by a second quarter 2022 $1.6 million decline in contingent consideration associated with our previous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for the three- and six-month periods ended June 30, 2023 was $10.2 million and $13.4 million, respectively, compared to $8.7 million and $20.6 million for the prior-year periods. The effective tax rates for the three- and six-month periods ended June 30, 2022 were 27.5% and 26.0% of pre-tax income compared, respectively, to 20.2% and 22.0% in the prior-year periods. The increase in effective tax rate for the second quarter and first six months of 2023 primarily reflects the geographic mix of our profitability and the associated variations in foreign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factors, net income for the second quarter of 2023 was $26.9 million, compared to $34.2 million in the prior-year period. Net income for the first six months of 2023 was $38.3 million, compared to $73.0 million for the first six months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six months of 2023, we generated $13.4 million in cash from operations, compared to $54.1 million during the prior-year period. The decrease in cash flow from operations primarily reflects an approximate $18.5 million increase in inventory during the period, compared to a decrease in the prior year period, as we begin to stage inventory for our upcoming product launches. Our cash from operations was also impacted by lower net income in 2023, offset by a higher payout of accruals in the first quarter of 2022, primarily from sales commissions. Cash and cash equivalents, including current investments, as of June 30, 2023 and December 31, 2022 were $252.3 million and $278.5 million, respectively, with the decrease being driven by our quarterly dividend payments, capital expenditures, as discussed below, and payment on liabilities associated with our 2022 restructuring plan, partially offset by borrowings on our revolving credit facility.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Working capital</w:t>
      </w:r>
      <w:r>
        <w:rPr>
          <w:rFonts w:ascii="Arial" w:cs="Arial" w:eastAsia="Arial" w:hAnsi="Arial"/>
          <w:sz w:val="18"/>
          <w:szCs w:val="18"/>
          <w:color w:val="auto"/>
        </w:rPr>
        <w:t>. As of June 30, 2023, working capital was $347.5 million, compared to $400.6 million as of December 31, 2022. Our decline in working capital is primarily attributable to our second quarter acquisitions of BeautyBio and LifeDNA.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the six months ended June 30, 2023 were $26.2 million. We expect that our capital expenditures in 2023 will be primarily related to:</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and expenditures for computer systems and equipment, software, and application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expansion and upgrade of facilities in our various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manufacturing plant in Mainland China.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that capital expenditures for the uses listed above will total approximately $55–75 million for 2023. The construction of the new manufacturing plant in Mainland China was materially completed during the second quarter of 2023. As of June 30, 2023, we have spent approximately $55.3 million on this project, including $4.6 million in the first half of 2023 and expect that our expenditures for this project will total approximately $56-58 million, including approximately $5-7 million during 2023.</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Credit Agreement</w:t>
      </w:r>
      <w:r>
        <w:rPr>
          <w:rFonts w:ascii="Arial" w:cs="Arial" w:eastAsia="Arial" w:hAnsi="Arial"/>
          <w:sz w:val="16"/>
          <w:szCs w:val="16"/>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June 30, 2023 and December 31, 2022, we had $120.0 million and $10.0 million of outstanding borrowings under our revolving credit facility, and $390.0 million and $395.0 million on our term loan facility. In June 2023, we drew $80.0 million under our revolving credit facility primarily to fund our acquisition of BeautyBio. The carrying value of the debt also reflects debt issuance costs of $2.2 million and $2.5 million as of June 30, 2023 and December 31, 2022, respectively, related to the Credit Agreement. The Credit Agreement requires us to maintain a consolidated leverage ratio not exceeding 2.25 to 1.00 and a consolidated interest coverage ratio of no less than 3.00 to 1.00. As of June 30, 2023, we were in compliance with all debt covenants under the Credit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As of June 30, 2023,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Stock repurchase plan</w:t>
      </w:r>
      <w:r>
        <w:rPr>
          <w:rFonts w:ascii="Arial" w:cs="Arial" w:eastAsia="Arial" w:hAnsi="Arial"/>
          <w:sz w:val="17"/>
          <w:szCs w:val="17"/>
          <w:color w:val="auto"/>
        </w:rPr>
        <w:t>. In 2018, our board of directors approved a stock repurchase plan authorizing us to repurchase up to $500.0 million of our outstanding shares of Class A common stock on the open market or in private transactions. During the second quarter and first half of 2023, we repurchased zero shares of our Class A common stock under the plan. As of June 30, 2023, $175.4 million was available for repurchases under the plan. Our stock repurchases are used primarily to offset dilution from our equity incentive plans and for strategic initiatives.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In February and May 2023, our board of directors declared quarterly cash dividends of $0.39 per share. These quarterly cash dividends of $19.4 million and $19.5 million were paid on March 8, 2023 and June 7, 2023 to stockholders of record on February 27, 2023 and May 26, 2023. In July 2023, our board of directors declared a quarterly cash dividend of $0.39 per share to be paid on September 6, 2023 to stockholders of record on August 25, 2023.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Cash from foreign subsidiaries</w:t>
      </w:r>
      <w:r>
        <w:rPr>
          <w:rFonts w:ascii="Arial" w:cs="Arial" w:eastAsia="Arial" w:hAnsi="Arial"/>
          <w:sz w:val="16"/>
          <w:szCs w:val="16"/>
          <w:color w:val="auto"/>
        </w:rPr>
        <w:t>. As of June 30, 2023 and December 31, 2022, we held $252.3 million and $278.5 million, respectively, in cash and cash equivalents, including current investments. These amounts include $207.3 million and $223.0 million as of June 30, 2023 and December 31, 2022,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June 30, 2023, we had $52.4 million in cash denominated in Chinese RMB. We also have experienced delays in repatriating cash from Argentina. As of June 30, 2023 and December 31, 2022, we had $16.2 million and $14.9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Note 11 to the consolidated financial statements contained in this Quarterly Report for information regarding our contingent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our critical accounting policies or estimates during the second quarter of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 and Exchange Rate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June 30, 2023, our subsidiary in Argentina had a small net peso monetary position. Net sales of our subsidiary in Argentina were less than 2% of our consolidated net sales for the three- and six-month periods ended June 30, 2023 and 2022.</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June 30, 2023 and 2022, we did not hold material non-designated mark-to-market forward derivative contracts to hedge foreign denominated intercompany positions or third party foreign debt. As of June 30, 2023, and 2022 we did not hold any material forward contracts designated as foreign currency cash flow hedges. We continue to evaluate our foreign currency hedging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made no changes in our internal control over financial reporting (as defined in Rule 13a-15(f) under the Exchange Act) during the fiscal quarter ended June 30, 2023 that materially affected, or are reasonably likely to materially affect, our internal control over financial reporting.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developments concerning the matters discussed in the “Legal Proceedings” section of our Annual Report on Form 10-K for the 2022 fiscal year.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presented below supplements and should be read in conjunction with the detailed discussion of risks associated with our business in our recent SEC filings, including our Annual Report on Form 10-K for the 2022 fiscal year and subsequent reports.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Cyber security risks and the failure to maintain the integrity of company, employee, sales force or consumer data could expose us to data loss, litigation, liability and harm to our reputation.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collect, transmit and/or store large volumes of company, employee, sales force and consumer data, including payment card information, personally identifiable information and other personal information, for business purposes, including for transactional and promotional purposes, and our various information technology systems enter, process, summarize and report such data. The connected devices that we have developed or are developing also collect consumer data. The integrity and protection of this data is critical to our business.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subject to significant security and privacy regulations, as well as requirements imposed by the payment card industry. For example, during 2018, the General Data Protection Regulation went into effect in the European Union, imposing increased data protection regulations, the violation of which could result in fines of up to 4% of our annual consolidated revenue. Numerous states have recently enacted new data protection laws and regulations. Many other jurisdictions, including California and Mainland China, have increased enforcement of laws and regulations that have recently taken effect. We believe these trends will continue. In the United States, congressional committees have held preliminary hearings about the advisability of a federal data privacy law, but it is uncertain whether the federal government will adopt such a law and whether it would preempt state data privacy laws. The prospect of new data privacy laws and ambiguity regarding the interpretation of existing laws has resulted in significant uncertainty and compliance costs. 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Although we monitor regulatory developments in this area, any actual or perceived failure by us to comply with these requirements could subject us to significant penalties, lawsuits and negative publicity and require changes to our business practices. In particular, maintaining compliance with these and other evolving regulations and requirements around the world often requires changes to our information system architecture and data storage processes. For example, data privacy laws in Mainland China and other jurisdictions place restrictions on the cross-border transmission of data, which could impede our ability to perform many business functions, including calculating and paying compensation to our sales force, absent significant changes to our information system architecture. Changing our information system architecture and data storage processes is difficult and expensive. Investigations by the regulators of data security laws could also result in the payment of fines, reputational harm and an inability to continue doing business in certain jurisdictions. Private actions by affected individuals could also result in significant monetary or reputational damage.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share certain data with our sales force. We could face fines, investigations, lawsuits or other legal action if our sales force violates, or is perceived to violate, applicable laws and regulations, and our reputation and brand could be negatively impacted.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Similarly, 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a penetrated or compromised data system or the intentional, inadvertent or negligent release, misuse or disclosure of data could result in theft, loss, or fraudulent or unlawful use of company, employee, sales force or consumer data. Although we take measures to protect the security, integrity and confidentiality of our data systems, we experience cyber attacks of varying degrees and types on a regular basis. Our infrastructure may be vulnerable to these attacks, and in some cases it could take time to discover them. Our security measures may also be breached due to employee error or malfeasance, system errors or otherwise. This risk is heightened as a result of changes due to the COVID-19 pandemic as many of our employees are working remotely. Additionally, outside parties may attempt to fraudulently induce employees, users, or customers to disclose sensitive information to gain access to our data or our users’ or customers’ data.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 These risks are heightened as we work with third-party providers, including providers of mobile and cloud technologies, and as our sales force uses social media, as the providers and social media platforms could be vulnerable to the same types of breaches and other risks. Acquisition activity, which we have engaged in and which we may continue to engage in, may also heighten these risks, as the systems of the companies we acquire are not under our control prior to the acquisitions and it may take time to evaluate these systems and implement appropriate modifications to them.</w:t>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UNREGISTERED SALES OF EQUITY SECURITIES AND USE OF PROCEEDS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(b)</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198"/>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center"/>
              <w:ind w:right="11"/>
              <w:spacing w:after="0" w:line="198" w:lineRule="exact"/>
              <w:rPr>
                <w:sz w:val="20"/>
                <w:szCs w:val="20"/>
                <w:color w:val="auto"/>
              </w:rPr>
            </w:pPr>
            <w:r>
              <w:rPr>
                <w:rFonts w:ascii="Arial" w:cs="Arial" w:eastAsia="Arial" w:hAnsi="Arial"/>
                <w:sz w:val="18"/>
                <w:szCs w:val="18"/>
                <w:b w:val="1"/>
                <w:bCs w:val="1"/>
                <w:color w:val="auto"/>
                <w:w w:val="92"/>
              </w:rPr>
              <w:t>Approximate Dollar</w:t>
            </w:r>
          </w:p>
        </w:tc>
        <w:tc>
          <w:tcPr>
            <w:tcW w:w="100" w:type="dxa"/>
            <w:vAlign w:val="bottom"/>
          </w:tcPr>
          <w:p>
            <w:pPr>
              <w:spacing w:after="0"/>
              <w:rPr>
                <w:sz w:val="17"/>
                <w:szCs w:val="17"/>
                <w:color w:val="auto"/>
              </w:rPr>
            </w:pP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224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Value of Shares that May</w:t>
            </w: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Yet Be Purchased Under</w:t>
            </w:r>
          </w:p>
        </w:tc>
      </w:t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Price Paid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 Programs</w:t>
            </w:r>
          </w:p>
        </w:tc>
      </w:tr>
      <w:tr>
        <w:trPr>
          <w:trHeight w:val="247"/>
        </w:trPr>
        <w:tc>
          <w:tcPr>
            <w:tcW w:w="5040" w:type="dxa"/>
            <w:vAlign w:val="bottom"/>
            <w:gridSpan w:val="2"/>
          </w:tcPr>
          <w:p>
            <w:pPr>
              <w:ind w:left="2220"/>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200"/>
              <w:spacing w:after="0" w:line="240" w:lineRule="exact"/>
              <w:rPr>
                <w:sz w:val="20"/>
                <w:szCs w:val="20"/>
                <w:color w:val="auto"/>
              </w:rPr>
            </w:pPr>
            <w:r>
              <w:rPr>
                <w:rFonts w:ascii="Arial" w:cs="Arial" w:eastAsia="Arial" w:hAnsi="Arial"/>
                <w:sz w:val="17"/>
                <w:szCs w:val="17"/>
                <w:color w:val="auto"/>
                <w:w w:val="98"/>
              </w:rPr>
              <w:t>(in millions)</w:t>
            </w:r>
            <w:r>
              <w:rPr>
                <w:rFonts w:ascii="Arial" w:cs="Arial" w:eastAsia="Arial" w:hAnsi="Arial"/>
                <w:sz w:val="27"/>
                <w:szCs w:val="27"/>
                <w:color w:val="auto"/>
                <w:w w:val="98"/>
                <w:vertAlign w:val="superscript"/>
              </w:rPr>
              <w:t>(1)</w:t>
            </w:r>
          </w:p>
        </w:tc>
      </w:tr>
      <w:tr>
        <w:trPr>
          <w:trHeight w:val="21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1 - 30, 2023</w:t>
            </w: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May 1 - 31, 2023</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r>
      <w:tr>
        <w:trPr>
          <w:trHeight w:val="223"/>
        </w:trPr>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1 - 30, 2023</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Draw On Revolving Credit Facility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13, 2023, we drew $80.0 million under our revolving credit facility, bringing the total balance under our revolving credit facility to $120.0 million as of the date hereof. The material terms of the Credit Agreement are described in Note 4 to the consolidated financial statements contained in this Quarterly Report and in the Current Report on Form 8-K filed with the U.S. Securities and Exchange Commission on June 17, 2022. Such descriptions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5, 2023, Emma Battle, a member of our Board of Directors, adopted a trading plan intended to satisfy the affirmative defense conditions of Rule 10b5-1(c) to sell 1,272 shares of our Class A Common Stock between August 2023 and July 2024. It is anticipated that all of the shares will be sold in August 2023.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18"/>
                <w:szCs w:val="18"/>
                <w:color w:val="auto"/>
              </w:rPr>
            </w:pPr>
          </w:p>
        </w:tc>
        <w:tc>
          <w:tcPr>
            <w:tcW w:w="9820" w:type="dxa"/>
            <w:vAlign w:val="bottom"/>
          </w:tcPr>
          <w:p>
            <w:pPr>
              <w:spacing w:after="0"/>
              <w:rPr>
                <w:sz w:val="18"/>
                <w:szCs w:val="18"/>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1"/>
              </w:rPr>
              <w:t>Regulation S-K</w:t>
            </w:r>
          </w:p>
        </w:tc>
        <w:tc>
          <w:tcPr>
            <w:tcW w:w="220" w:type="dxa"/>
            <w:vAlign w:val="bottom"/>
          </w:tcPr>
          <w:p>
            <w:pPr>
              <w:spacing w:after="0"/>
              <w:rPr>
                <w:sz w:val="18"/>
                <w:szCs w:val="18"/>
                <w:color w:val="auto"/>
              </w:rPr>
            </w:pPr>
          </w:p>
        </w:tc>
        <w:tc>
          <w:tcPr>
            <w:tcW w:w="9820" w:type="dxa"/>
            <w:vAlign w:val="bottom"/>
          </w:tcPr>
          <w:p>
            <w:pPr>
              <w:spacing w:after="0"/>
              <w:rPr>
                <w:sz w:val="18"/>
                <w:szCs w:val="18"/>
                <w:color w:val="auto"/>
              </w:rPr>
            </w:pPr>
          </w:p>
        </w:tc>
      </w:tr>
      <w:tr>
        <w:trPr>
          <w:trHeight w:val="241"/>
        </w:trPr>
        <w:tc>
          <w:tcPr>
            <w:tcW w:w="12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20" w:type="dxa"/>
            <w:vAlign w:val="bottom"/>
          </w:tcPr>
          <w:p>
            <w:pPr>
              <w:spacing w:after="0"/>
              <w:rPr>
                <w:sz w:val="18"/>
                <w:szCs w:val="18"/>
                <w:color w:val="auto"/>
              </w:rPr>
            </w:pPr>
          </w:p>
        </w:tc>
      </w:tr>
      <w:tr>
        <w:trPr>
          <w:trHeight w:val="201"/>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Nu Skin Enterprises, Inc. Amended and Restated 2009 Key Employee Death Benefit Plan.</w:t>
            </w:r>
          </w:p>
        </w:tc>
      </w:tr>
      <w:tr>
        <w:trPr>
          <w:trHeight w:val="176"/>
        </w:trPr>
        <w:tc>
          <w:tcPr>
            <w:tcW w:w="320" w:type="dxa"/>
            <w:vAlign w:val="bottom"/>
            <w:tcBorders>
              <w:top w:val="single" w:sz="8" w:color="CCEEFF"/>
              <w:bottom w:val="single" w:sz="8" w:color="0000EE"/>
            </w:tcBorders>
          </w:tcPr>
          <w:p>
            <w:pPr>
              <w:spacing w:after="0" w:line="176"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8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Amendment 1 to Fourth Amended and Restated Nu Skin Enterprises, Inc. Deferred Compensation Plan.</w:t>
            </w: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by Ryan S. Napierski, Chief Executive Officer, pursuant to Rule 13a-14(a) of the Securities Exchange Act of 1934, as</w:t>
            </w:r>
          </w:p>
        </w:tc>
      </w:tr>
      <w:tr>
        <w:trPr>
          <w:trHeight w:val="237"/>
        </w:trPr>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32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20" w:type="dxa"/>
            <w:vAlign w:val="bottom"/>
          </w:tcPr>
          <w:p>
            <w:pPr>
              <w:spacing w:after="0" w:line="176" w:lineRule="exact"/>
              <w:rPr>
                <w:sz w:val="20"/>
                <w:szCs w:val="20"/>
                <w:color w:val="auto"/>
              </w:rPr>
            </w:pPr>
            <w:r>
              <w:rPr>
                <w:rFonts w:ascii="Arial" w:cs="Arial" w:eastAsia="Arial" w:hAnsi="Arial"/>
                <w:sz w:val="18"/>
                <w:szCs w:val="18"/>
                <w:color w:val="auto"/>
                <w:w w:val="95"/>
              </w:rPr>
              <w:t>Certification by James D. Thomas, Chief Financial Officer, pursuant to Rule 13a-14(a) of the Securities Exchange Act of 1934, as</w:t>
            </w:r>
          </w:p>
        </w:tc>
      </w:tr>
      <w:tr>
        <w:trPr>
          <w:trHeight w:val="237"/>
        </w:trPr>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by Ryan S. Napierski, Chief Executive Officer, pursuant to Section 1350, Chapter 63 of Title 18, United States Code, as</w:t>
            </w:r>
          </w:p>
        </w:tc>
      </w:tr>
      <w:tr>
        <w:trPr>
          <w:trHeight w:val="236"/>
        </w:trPr>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176"/>
        </w:trPr>
        <w:tc>
          <w:tcPr>
            <w:tcW w:w="32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20" w:type="dxa"/>
            <w:vAlign w:val="bottom"/>
          </w:tcPr>
          <w:p>
            <w:pPr>
              <w:spacing w:after="0" w:line="176" w:lineRule="exact"/>
              <w:rPr>
                <w:sz w:val="20"/>
                <w:szCs w:val="20"/>
                <w:color w:val="auto"/>
              </w:rPr>
            </w:pPr>
            <w:r>
              <w:rPr>
                <w:rFonts w:ascii="Arial" w:cs="Arial" w:eastAsia="Arial" w:hAnsi="Arial"/>
                <w:sz w:val="18"/>
                <w:szCs w:val="18"/>
                <w:color w:val="auto"/>
                <w:w w:val="93"/>
              </w:rPr>
              <w:t>Certification by James D. Thomas, Chief Financial Officer, pursuant to Section 1350, Chapter 63 of Title 18, United States Code, as</w:t>
            </w:r>
          </w:p>
        </w:tc>
      </w:tr>
      <w:tr>
        <w:trPr>
          <w:trHeight w:val="237"/>
        </w:trPr>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02"/>
        </w:trPr>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220" w:type="dxa"/>
            <w:vAlign w:val="bottom"/>
            <w:shd w:val="clear" w:color="auto" w:fill="CCEEFF"/>
          </w:tcPr>
          <w:p>
            <w:pPr>
              <w:spacing w:after="0"/>
              <w:rPr>
                <w:sz w:val="17"/>
                <w:szCs w:val="17"/>
                <w:color w:val="auto"/>
              </w:rPr>
            </w:pPr>
          </w:p>
        </w:tc>
        <w:tc>
          <w:tcPr>
            <w:tcW w:w="9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r>
      <w:tr>
        <w:trPr>
          <w:trHeight w:val="230"/>
        </w:trPr>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220" w:type="dxa"/>
            <w:vAlign w:val="bottom"/>
            <w:shd w:val="clear" w:color="auto" w:fill="CCEEFF"/>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220" w:type="dxa"/>
            <w:vAlign w:val="bottom"/>
            <w:shd w:val="clear" w:color="auto" w:fill="CCEEFF"/>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104</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68"/>
        </w:trPr>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gridSpan w:val="2"/>
          </w:tcPr>
          <w:p>
            <w:pPr>
              <w:jc w:val="right"/>
              <w:ind w:right="5450"/>
              <w:spacing w:after="0"/>
              <w:rPr>
                <w:sz w:val="20"/>
                <w:szCs w:val="20"/>
                <w:color w:val="auto"/>
              </w:rPr>
            </w:pPr>
            <w:r>
              <w:rPr>
                <w:rFonts w:ascii="Arial" w:cs="Arial" w:eastAsia="Arial" w:hAnsi="Arial"/>
                <w:sz w:val="14"/>
                <w:szCs w:val="14"/>
                <w:color w:val="auto"/>
              </w:rPr>
              <w:t>29</w:t>
            </w:r>
          </w:p>
        </w:tc>
      </w:tr>
      <w:tr>
        <w:trPr>
          <w:trHeight w:val="46"/>
        </w:trPr>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James D. Thomas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 SKIN ENTERPRISES,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2009 KEY EMPLOYEE DEATH BENEFIT PLAN</w:t>
      </w:r>
    </w:p>
    <w:p>
      <w:pPr>
        <w:spacing w:after="0" w:line="215"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Establishment and Purpose.</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By approval of the Compensation and Human Capital Committee of the Board of Directors of Nu Skin Enterprises, Inc., a Delaware corporation (“NSE”), the 2009 Key Employee Death Benefit Plan is hereby amended and restated to be known as the Nu Skin Enterprises, Inc. Amended and Restated 2009 Key Employee Death Benefit Plan (the “Plan”). The purposes of the Plan are: (a) to enhance the growth and profitability of the Company by providing greater security to certain officers, directors, and employees and their families; and (b) to attract and retain officers, directors, and employees of outstanding competence and ability.</w:t>
      </w:r>
    </w:p>
    <w:p>
      <w:pPr>
        <w:spacing w:after="0" w:line="215" w:lineRule="exact"/>
        <w:rPr>
          <w:sz w:val="20"/>
          <w:szCs w:val="20"/>
          <w:color w:val="auto"/>
        </w:rPr>
      </w:pPr>
    </w:p>
    <w:p>
      <w:pPr>
        <w:ind w:left="760" w:hanging="752"/>
        <w:spacing w:after="0"/>
        <w:tabs>
          <w:tab w:leader="none" w:pos="7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 of this Plan, the following terms shall have the indicated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“Board of Directors” or “Board” shall mean the Board of Directors of NSE.</w:t>
      </w:r>
    </w:p>
    <w:p>
      <w:pPr>
        <w:spacing w:after="0" w:line="233" w:lineRule="exact"/>
        <w:rPr>
          <w:sz w:val="20"/>
          <w:szCs w:val="20"/>
          <w:color w:val="auto"/>
        </w:rPr>
      </w:pPr>
    </w:p>
    <w:p>
      <w:pPr>
        <w:ind w:right="180" w:firstLine="648"/>
        <w:spacing w:after="0" w:line="249" w:lineRule="exact"/>
        <w:rPr>
          <w:sz w:val="20"/>
          <w:szCs w:val="20"/>
          <w:color w:val="auto"/>
        </w:rPr>
      </w:pPr>
      <w:r>
        <w:rPr>
          <w:rFonts w:ascii="Arial" w:cs="Arial" w:eastAsia="Arial" w:hAnsi="Arial"/>
          <w:sz w:val="22"/>
          <w:szCs w:val="22"/>
          <w:color w:val="auto"/>
        </w:rPr>
        <w:t>b. “Company” shall mean NSE and each of its present and future subsidiaries, which are defined to include any corporation, partnership, or other organization in which NSE has proprietary interest by reason of share or equity ownership or otherwise, but only if NSE and each subsidiary are in a parent</w:t>
      </w:r>
      <w:r>
        <w:rPr>
          <w:rFonts w:ascii="MS PGothic" w:cs="MS PGothic" w:eastAsia="MS PGothic" w:hAnsi="MS PGothic"/>
          <w:sz w:val="22"/>
          <w:szCs w:val="22"/>
          <w:color w:val="auto"/>
        </w:rPr>
        <w:t>‑</w:t>
      </w:r>
      <w:r>
        <w:rPr>
          <w:rFonts w:ascii="Arial" w:cs="Arial" w:eastAsia="Arial" w:hAnsi="Arial"/>
          <w:sz w:val="22"/>
          <w:szCs w:val="22"/>
          <w:color w:val="auto"/>
        </w:rPr>
        <w:t>subsidiary controlled group, as defined in Internal Revenue Code (“Code”) § 1563(a)(1) (“80% common control”), or brother</w:t>
      </w:r>
      <w:r>
        <w:rPr>
          <w:rFonts w:ascii="MS PGothic" w:cs="MS PGothic" w:eastAsia="MS PGothic" w:hAnsi="MS PGothic"/>
          <w:sz w:val="22"/>
          <w:szCs w:val="22"/>
          <w:color w:val="auto"/>
        </w:rPr>
        <w:t>‑</w:t>
      </w:r>
      <w:r>
        <w:rPr>
          <w:rFonts w:ascii="Arial" w:cs="Arial" w:eastAsia="Arial" w:hAnsi="Arial"/>
          <w:sz w:val="22"/>
          <w:szCs w:val="22"/>
          <w:color w:val="auto"/>
        </w:rPr>
        <w:t>sister controlled group as described in Code § 1563(a)(2) (“50% common control”).</w:t>
      </w:r>
    </w:p>
    <w:p>
      <w:pPr>
        <w:spacing w:after="0" w:line="214"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c. “Committee” shall mean the Compensation and Human Capital Committee of the Board of Directors, which includes select members of the Board of Directors.</w:t>
      </w:r>
    </w:p>
    <w:p>
      <w:pPr>
        <w:spacing w:after="0" w:line="20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d. “Death Benefit” shall mean the insurance benefit payable to the designated beneficiaries of a Participant upon the death of the Participant pursuant to insurance obtained under this Plan.</w:t>
      </w:r>
    </w:p>
    <w:p>
      <w:pPr>
        <w:spacing w:after="0" w:line="202"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e. “Participant” shall mean any officer, director, or employee of the Company who has been designated as a Participant by the Committee. In addition, each full-time employee of the Company based in the United States (except for employees of NSE’s non-Nu Skin businesses) having a job level of E1–E5 or P7, as measured by NSE’s corporate human resources department, shall automatically be a Participant as long as the employee continues to meet the foregoing conditions unless the Committee affirmatively determines otherwise. Subject to the requirements of applicable law, the Committee, in its sole discretion, shall determine whether an individual who has been designated as a Participant shall continue to be a Participant in the case of any leave of absence approved by the Company, including sick leave, military leave, or any other personal leave. An individual on such leave of absence shall continue to be a Participant unless and until the Committee determines otherwise.</w:t>
      </w:r>
    </w:p>
    <w:p>
      <w:pPr>
        <w:spacing w:after="0" w:line="18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f. “Plan Administrator” means the Committee, its designated agents, and/or any committee appointed pursuant to Section 3.b., to the extent the Committee has delegated its authority or duties of Plan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ind w:left="760" w:hanging="752"/>
        <w:spacing w:after="0"/>
        <w:tabs>
          <w:tab w:leader="none" w:pos="7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Administration.</w:t>
      </w:r>
    </w:p>
    <w:p>
      <w:pPr>
        <w:spacing w:after="0" w:line="233" w:lineRule="exact"/>
        <w:rPr>
          <w:rFonts w:ascii="Arial" w:cs="Arial" w:eastAsia="Arial" w:hAnsi="Arial"/>
          <w:sz w:val="22"/>
          <w:szCs w:val="22"/>
          <w:color w:val="auto"/>
        </w:rPr>
      </w:pPr>
    </w:p>
    <w:p>
      <w:pPr>
        <w:ind w:firstLine="656"/>
        <w:spacing w:after="0" w:line="246" w:lineRule="auto"/>
        <w:tabs>
          <w:tab w:leader="none" w:pos="1338"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Plan shall be administered by the Committee. Subject to the provisions of this Plan, the Committee shall have sole and complete discretion and authority to: (i) select Participants after receiving the recommendations of the management of the Company; (ii) determine the amount of any Death Benefit payable under this Plan; (iii) determine the terms of such insurance obtained by the Company under this Plan; (iv) adopt, amend, and rescind such rules as, in its opinion, may be advisable for the administration of this Plan; (v) construe and interpret this Plan, the rules, and the instruments utilized hereunder; and (vi) make all determinations deemed advisable or necessary for the administration of this Plan. All determinations by the Committee shall be final and binding.</w:t>
      </w:r>
    </w:p>
    <w:p>
      <w:pPr>
        <w:spacing w:after="0" w:line="211" w:lineRule="exact"/>
        <w:rPr>
          <w:rFonts w:ascii="Arial" w:cs="Arial" w:eastAsia="Arial" w:hAnsi="Arial"/>
          <w:sz w:val="21"/>
          <w:szCs w:val="21"/>
          <w:color w:val="auto"/>
        </w:rPr>
      </w:pPr>
    </w:p>
    <w:p>
      <w:pPr>
        <w:ind w:right="360" w:firstLine="656"/>
        <w:spacing w:after="0" w:line="287" w:lineRule="auto"/>
        <w:tabs>
          <w:tab w:leader="none" w:pos="135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Committee may appoint a separate committee to perform its duties as Plan Administrator, other than the duties listed in clauses a.(i) and a.(ii) above, by the approval of appropriate resolutions of the Committee. Any such separate committee must consist of at least two members, who shall hold office at the pleasure of the Committee. The separate committee’s members shall serve without compensation but shall be reimbursed by the Company for all reasonable expenses.</w:t>
      </w:r>
    </w:p>
    <w:p>
      <w:pPr>
        <w:spacing w:after="0" w:line="169" w:lineRule="exact"/>
        <w:rPr>
          <w:rFonts w:ascii="Arial" w:cs="Arial" w:eastAsia="Arial" w:hAnsi="Arial"/>
          <w:sz w:val="19"/>
          <w:szCs w:val="19"/>
          <w:color w:val="auto"/>
        </w:rPr>
      </w:pPr>
    </w:p>
    <w:p>
      <w:pPr>
        <w:ind w:left="760" w:hanging="752"/>
        <w:spacing w:after="0"/>
        <w:tabs>
          <w:tab w:leader="none" w:pos="7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Death Benefit.</w:t>
      </w:r>
    </w:p>
    <w:p>
      <w:pPr>
        <w:spacing w:after="0" w:line="233" w:lineRule="exact"/>
        <w:rPr>
          <w:sz w:val="20"/>
          <w:szCs w:val="20"/>
          <w:color w:val="auto"/>
        </w:rPr>
      </w:pPr>
    </w:p>
    <w:p>
      <w:pPr>
        <w:jc w:val="both"/>
        <w:ind w:right="840" w:firstLine="648"/>
        <w:spacing w:after="0"/>
        <w:rPr>
          <w:sz w:val="20"/>
          <w:szCs w:val="20"/>
          <w:color w:val="auto"/>
        </w:rPr>
      </w:pPr>
      <w:r>
        <w:rPr>
          <w:rFonts w:ascii="Arial" w:cs="Arial" w:eastAsia="Arial" w:hAnsi="Arial"/>
          <w:sz w:val="22"/>
          <w:szCs w:val="22"/>
          <w:color w:val="auto"/>
        </w:rPr>
        <w:t>The Company shall procure and pay all premiums for insurance on the life of each Participant, providing to the Participant a Death Benefit in an amount established by the Committee, with the right to the Participant to designate the beneficiary of such insurance.</w:t>
      </w:r>
    </w:p>
    <w:p>
      <w:pPr>
        <w:spacing w:after="0" w:line="213" w:lineRule="exact"/>
        <w:rPr>
          <w:sz w:val="20"/>
          <w:szCs w:val="20"/>
          <w:color w:val="auto"/>
        </w:rPr>
      </w:pPr>
    </w:p>
    <w:p>
      <w:pPr>
        <w:ind w:left="760" w:hanging="752"/>
        <w:spacing w:after="0"/>
        <w:tabs>
          <w:tab w:leader="none" w:pos="7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Beneficiary Designation.</w:t>
      </w:r>
    </w:p>
    <w:p>
      <w:pPr>
        <w:spacing w:after="0" w:line="23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Designation of beneficiaries of insurance provided under this Plan shall be accomplished in accordance with the terms of such insurance.</w:t>
      </w:r>
    </w:p>
    <w:p>
      <w:pPr>
        <w:spacing w:after="0" w:line="202"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Employment Rights.</w:t>
      </w:r>
    </w:p>
    <w:p>
      <w:pPr>
        <w:spacing w:after="0" w:line="233"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Neither this Plan nor any action taken hereunder shall be construed as giving any employee of the Company the right to become or remain a Participant nor any right to be retained in the employ of the Company.</w:t>
      </w:r>
    </w:p>
    <w:p>
      <w:pPr>
        <w:spacing w:after="0" w:line="202"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Protection of Company.</w:t>
      </w:r>
    </w:p>
    <w:p>
      <w:pPr>
        <w:spacing w:after="0" w:line="233"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The Company reserves the right not to pay any premium or other payment for any insurance procured by the Company under this Plan at any time, for any or no reason, provided, however, that to the extent that the insurance provided under this Plan may, under the terms of such insurance, be assumed and paid for by the Participant, the Participant may pay such premium or other payment and continue such insurance in force. The Company’s sole obligation shall be to provide reasonable notice to the Participant of its determination not to pay any such premium or other payment. In no event will the Company be obligated to pay the amount of a Death Benefit, even if the Company fails to procure and/or pay premiums for insurance on the life of a Participant.</w:t>
      </w:r>
    </w:p>
    <w:p>
      <w:pPr>
        <w:spacing w:after="0" w:line="218" w:lineRule="exact"/>
        <w:rPr>
          <w:sz w:val="20"/>
          <w:szCs w:val="20"/>
          <w:color w:val="auto"/>
        </w:rPr>
      </w:pPr>
    </w:p>
    <w:p>
      <w:pPr>
        <w:ind w:left="760" w:hanging="752"/>
        <w:spacing w:after="0"/>
        <w:tabs>
          <w:tab w:leader="none" w:pos="7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Withholding.</w:t>
      </w:r>
    </w:p>
    <w:p>
      <w:pPr>
        <w:spacing w:after="0" w:line="233"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9"/>
          <w:szCs w:val="19"/>
          <w:color w:val="auto"/>
        </w:rPr>
        <w:t>The Company shall have the right to deduct or withhold from any other compensation payments made to the Participant, any Federal, state, or local taxes, including transfer taxes, required by law to be withheld or to require the Participant to pay any amount, or the balance of any amount, required to be withheld as a condition to receiving a benefit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ind w:left="760" w:hanging="752"/>
        <w:spacing w:after="0"/>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Relationship to Other Benefits.</w:t>
      </w:r>
    </w:p>
    <w:p>
      <w:pPr>
        <w:spacing w:after="0" w:line="234"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No benefits under this Plan shall be taken into account in determining any benefits under any pension, retirement, group insurance, or other employee benefit plan of the Company, whether now existing or hereafter adopted. This Plan shall not preclude the Company, its shareholders, the Board of Directors, or any committee thereof from authorizing or approving other employee benefit plans or forms of incentive compensation, nor shall it limit or prevent the operation of other incentive compensation plans or other employee benefit plans of the Company or the participation in any such plans by participation in this Plan.</w:t>
      </w:r>
    </w:p>
    <w:p>
      <w:pPr>
        <w:spacing w:after="0" w:line="215"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 Trust or Fund Created.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Neither this Plan nor any benefit conferred hereunder shall create or be construed to create a trust or separate fund of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kind.</w:t>
      </w:r>
    </w:p>
    <w:p>
      <w:pPr>
        <w:spacing w:after="0" w:line="215"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expenses of administrating this Plan shall be borne by the Company.</w:t>
      </w:r>
    </w:p>
    <w:p>
      <w:pPr>
        <w:spacing w:after="0" w:line="233"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233" w:lineRule="exact"/>
        <w:rPr>
          <w:sz w:val="20"/>
          <w:szCs w:val="20"/>
          <w:color w:val="auto"/>
        </w:rPr>
      </w:pPr>
    </w:p>
    <w:p>
      <w:pPr>
        <w:ind w:right="60" w:firstLine="648"/>
        <w:spacing w:after="0" w:line="254" w:lineRule="exact"/>
        <w:rPr>
          <w:sz w:val="20"/>
          <w:szCs w:val="20"/>
          <w:color w:val="auto"/>
        </w:rPr>
      </w:pPr>
      <w:r>
        <w:rPr>
          <w:rFonts w:ascii="Arial" w:cs="Arial" w:eastAsia="Arial" w:hAnsi="Arial"/>
          <w:sz w:val="19"/>
          <w:szCs w:val="19"/>
          <w:color w:val="auto"/>
        </w:rPr>
        <w:t>Service on the Committee for purposes of this Plan only shall constitute service as a member of the Board of Directors so that members of the Committee shall be entitled to indemnification and reimbursement similar to directors of the Company pursuant to its Certificate of Incorporation, By</w:t>
      </w:r>
      <w:r>
        <w:rPr>
          <w:rFonts w:ascii="MS PGothic" w:cs="MS PGothic" w:eastAsia="MS PGothic" w:hAnsi="MS PGothic"/>
          <w:sz w:val="19"/>
          <w:szCs w:val="19"/>
          <w:color w:val="auto"/>
        </w:rPr>
        <w:t>‑</w:t>
      </w:r>
      <w:r>
        <w:rPr>
          <w:rFonts w:ascii="Arial" w:cs="Arial" w:eastAsia="Arial" w:hAnsi="Arial"/>
          <w:sz w:val="19"/>
          <w:szCs w:val="19"/>
          <w:color w:val="auto"/>
        </w:rPr>
        <w:t>Laws or resolutions of its Board of Directors or shareholders.</w:t>
      </w:r>
    </w:p>
    <w:p>
      <w:pPr>
        <w:spacing w:after="0" w:line="213"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Tax Litigation.</w:t>
      </w:r>
    </w:p>
    <w:p>
      <w:pPr>
        <w:spacing w:after="0" w:line="233"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The Company shall have the right to contest, at its expense, any tax ruling or decision, administrative or judicial, on any issue that is related to this Plan and that the Company believes to be important to the Company and to conduct any such contest or any litigation arising therefrom to a final decision.</w:t>
      </w:r>
    </w:p>
    <w:p>
      <w:pPr>
        <w:spacing w:after="0" w:line="213"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p>
    <w:p>
      <w:pPr>
        <w:spacing w:after="0" w:line="233"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Committee may modify, amend, or terminate this Plan in any respect at any time. The Company may terminate insurance under this Plan at any time.</w:t>
      </w:r>
    </w:p>
    <w:p>
      <w:pPr>
        <w:spacing w:after="0" w:line="202"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If the Committee appoints a separate committee to administer this Plan pursuant to Section 3.b. above, such separate committee may modify or amend this Plan to the extent described in resolutions approved by the Committee or in such separate committee’s charter.</w:t>
      </w:r>
    </w:p>
    <w:p>
      <w:pPr>
        <w:spacing w:after="0" w:line="213" w:lineRule="exact"/>
        <w:rPr>
          <w:sz w:val="20"/>
          <w:szCs w:val="20"/>
          <w:color w:val="auto"/>
        </w:rPr>
      </w:pPr>
    </w:p>
    <w:p>
      <w:pPr>
        <w:ind w:left="820" w:hanging="812"/>
        <w:spacing w:after="0"/>
        <w:tabs>
          <w:tab w:leader="none" w:pos="82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Governmental and Other Regulations.</w:t>
      </w:r>
    </w:p>
    <w:p>
      <w:pPr>
        <w:spacing w:after="0" w:line="233" w:lineRule="exact"/>
        <w:rPr>
          <w:sz w:val="20"/>
          <w:szCs w:val="20"/>
          <w:color w:val="auto"/>
        </w:rPr>
      </w:pPr>
    </w:p>
    <w:p>
      <w:pPr>
        <w:ind w:right="460" w:firstLine="648"/>
        <w:spacing w:after="0" w:line="238" w:lineRule="auto"/>
        <w:rPr>
          <w:sz w:val="20"/>
          <w:szCs w:val="20"/>
          <w:color w:val="auto"/>
        </w:rPr>
      </w:pPr>
      <w:r>
        <w:rPr>
          <w:rFonts w:ascii="Arial" w:cs="Arial" w:eastAsia="Arial" w:hAnsi="Arial"/>
          <w:sz w:val="22"/>
          <w:szCs w:val="22"/>
          <w:color w:val="auto"/>
        </w:rPr>
        <w:t>This Plan shall be subject to all applicable federal and state laws, rules, and regulations and to such approvals by any regulatory or governmental agency which may, in the opinion of the counsel for the Company, be required. This Plan is an “employee welfare benefit plan” as defined under the Employee Retirement Income Security Act of 1974 (“ERISA”) and is intended to be a “top hat plan”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ind w:left="760" w:hanging="752"/>
        <w:spacing w:after="0"/>
        <w:tabs>
          <w:tab w:leader="none" w:pos="7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Claim Procedure.</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If a Participant believes that he or she is not receiving a benefit he or she is entitled to receive under the Plan, the Participant may file a claim with the Plan Administrator. The claim must be in writing, must include the facts and arguments the Participant wants to be considered, and must be filed within one year of the date the Participant knew (or should have known) the facts behind the claim. The Plan Administrator has 90 days after receiving the claim to make a decision and notify the Participant if the claim is denied in whole or in part. The notice of denial will state the reasons for the denial, the Plan provisions on which the denial is based, a description of additional material (if any) needed from the Participant and why, the procedure for requesting a review of the denial, and the Participant’s right to file a civil action under section 502(a) of ERISA if the claim is denied upon review.</w:t>
      </w:r>
    </w:p>
    <w:p>
      <w:pPr>
        <w:spacing w:after="0" w:line="207"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If the Participant disagrees with the denial of the claim, the Participant may file a request for a review of that decision. The request must be in writing to the Plan Administrator, must state the reason for disagreement with the denial of the claim, and must be filed within 60 days after the denial notice was received. The Participant should submit all documents and written arguments he or she wants considered at the review, and the Participant may, upon request and free of charge, receive copies of documents and information relevant to the claim. The Plan Administrator has 60 days after receiving the request to make a decision and notify the Participant if the denial is upheld. If the Plan Administrator decides that the claim was correctly denied, the notice will state the reasons for the denial, the Plan provisions on which the denial is based, the Participant’s right to receive, upon request and free of charge, reasonable access to and copies of the relevant documents and information used in the claims process, and the Participant’s right to file a civil action under section 502(a) of ERISA.</w:t>
      </w:r>
    </w:p>
    <w:p>
      <w:pPr>
        <w:spacing w:after="0" w:line="185" w:lineRule="exact"/>
        <w:rPr>
          <w:sz w:val="20"/>
          <w:szCs w:val="20"/>
          <w:color w:val="auto"/>
        </w:rPr>
      </w:pPr>
    </w:p>
    <w:p>
      <w:pPr>
        <w:ind w:right="80" w:firstLine="648"/>
        <w:spacing w:after="0" w:line="248" w:lineRule="exact"/>
        <w:rPr>
          <w:sz w:val="20"/>
          <w:szCs w:val="20"/>
          <w:color w:val="auto"/>
        </w:rPr>
      </w:pPr>
      <w:r>
        <w:rPr>
          <w:rFonts w:ascii="Arial" w:cs="Arial" w:eastAsia="Arial" w:hAnsi="Arial"/>
          <w:sz w:val="21"/>
          <w:szCs w:val="21"/>
          <w:color w:val="auto"/>
        </w:rPr>
        <w:t>If the Participant is notified what special circumstances require an extension and what date the claim is expected to be decided, the 90</w:t>
      </w:r>
      <w:r>
        <w:rPr>
          <w:rFonts w:ascii="MS PGothic" w:cs="MS PGothic" w:eastAsia="MS PGothic" w:hAnsi="MS PGothic"/>
          <w:sz w:val="21"/>
          <w:szCs w:val="21"/>
          <w:color w:val="auto"/>
        </w:rPr>
        <w:t>‑</w:t>
      </w:r>
      <w:r>
        <w:rPr>
          <w:rFonts w:ascii="Arial" w:cs="Arial" w:eastAsia="Arial" w:hAnsi="Arial"/>
          <w:sz w:val="21"/>
          <w:szCs w:val="21"/>
          <w:color w:val="auto"/>
        </w:rPr>
        <w:t>day period for deciding an initial claim may be extended for up to 90 additional days and the 60</w:t>
      </w:r>
      <w:r>
        <w:rPr>
          <w:rFonts w:ascii="MS PGothic" w:cs="MS PGothic" w:eastAsia="MS PGothic" w:hAnsi="MS PGothic"/>
          <w:sz w:val="21"/>
          <w:szCs w:val="21"/>
          <w:color w:val="auto"/>
        </w:rPr>
        <w:t>‑</w:t>
      </w:r>
      <w:r>
        <w:rPr>
          <w:rFonts w:ascii="Arial" w:cs="Arial" w:eastAsia="Arial" w:hAnsi="Arial"/>
          <w:sz w:val="21"/>
          <w:szCs w:val="21"/>
          <w:color w:val="auto"/>
        </w:rPr>
        <w:t>day period for making a decision following a request for a review may be extended for up to 60 additional days. If an extension of the 60</w:t>
      </w:r>
      <w:r>
        <w:rPr>
          <w:rFonts w:ascii="MS PGothic" w:cs="MS PGothic" w:eastAsia="MS PGothic" w:hAnsi="MS PGothic"/>
          <w:sz w:val="21"/>
          <w:szCs w:val="21"/>
          <w:color w:val="auto"/>
        </w:rPr>
        <w:t>‑</w:t>
      </w:r>
      <w:r>
        <w:rPr>
          <w:rFonts w:ascii="Arial" w:cs="Arial" w:eastAsia="Arial" w:hAnsi="Arial"/>
          <w:sz w:val="21"/>
          <w:szCs w:val="21"/>
          <w:color w:val="auto"/>
        </w:rPr>
        <w:t>day period is necessary because the Participant needs to submit additional information, the Participant will be given 60 days to provide that information. The time it takes the Participant to provide that information will not count against the 60 days the Plan Administrator has to make a decision.</w:t>
      </w:r>
    </w:p>
    <w:p>
      <w:pPr>
        <w:spacing w:after="0" w:line="216"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 Plan Administrator will make all final decisions on claims. The Plan Administrator has the discretion, authority, and responsibility to decide all factual and legal questions under the Plan, to interpret and construe the Plan and any ambiguous or unclear terms, and to determine whether a claimant is eligible for benefits and the amount of benefits, if any, a claimant is entitled to receive. The Plan Administrator has the right to delegate its authority to make decisions, and all such decisions are conclusive and binding on all parties. A Participant may, at his or her own expense, have an attorney or representative act on his or her behalf, but the Company has the right to require a written authorization from the Participant.</w:t>
      </w:r>
    </w:p>
    <w:p>
      <w:pPr>
        <w:spacing w:after="0" w:line="177" w:lineRule="exact"/>
        <w:rPr>
          <w:sz w:val="20"/>
          <w:szCs w:val="20"/>
          <w:color w:val="auto"/>
        </w:rPr>
      </w:pPr>
    </w:p>
    <w:p>
      <w:pPr>
        <w:ind w:left="760" w:hanging="752"/>
        <w:spacing w:after="0"/>
        <w:tabs>
          <w:tab w:leader="none" w:pos="7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33"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This Plan shall be construed and its provisions enforced and administered in accordance with the laws of the State of Utah, to the extent not preempted by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ind w:left="760" w:hanging="752"/>
        <w:spacing w:after="0"/>
        <w:tabs>
          <w:tab w:leader="none" w:pos="7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Effective Date.</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Plan shall not be effective unless and until adopted by action of the Committee, and shall be effective upon the day and date specified in the adoptive resolution of the Committee.</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Adopted by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Compensation and Human Capital Committee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Board of Directors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1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 SKIN ENTERPRISES, INC.</w:t>
      </w: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Nu Skin Enterprises, Inc. (the “Company”) previously established the Fourth Amended and Restated Nu Skin Enterprises, Inc. Deferred Compensation Plan (the “Plan”), effective as of January 1, 2022. The Company hereby amends Section 6.5(e) of the Plan to read in its entirety as follows:</w:t>
      </w:r>
    </w:p>
    <w:p>
      <w:pPr>
        <w:spacing w:after="0" w:line="216" w:lineRule="exact"/>
        <w:rPr>
          <w:sz w:val="20"/>
          <w:szCs w:val="20"/>
          <w:color w:val="auto"/>
        </w:rPr>
      </w:pPr>
    </w:p>
    <w:p>
      <w:pPr>
        <w:jc w:val="both"/>
        <w:ind w:left="660" w:hanging="652"/>
        <w:spacing w:after="0" w:line="268" w:lineRule="auto"/>
        <w:tabs>
          <w:tab w:leader="none" w:pos="6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Form of Payment</w:t>
      </w:r>
      <w:r>
        <w:rPr>
          <w:rFonts w:ascii="Arial" w:cs="Arial" w:eastAsia="Arial" w:hAnsi="Arial"/>
          <w:sz w:val="17"/>
          <w:szCs w:val="17"/>
          <w:color w:val="auto"/>
        </w:rPr>
        <w:t>. Except as otherwise determined by the Plan Administrator in its sole discretion, any distribution paid from the Plan to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Beneficiary from a Participant’s Account will be paid in cash or, in the case of distributions from the Company Stock Unit Fund, shares of Stock. Except as otherwise provided in Section 6.5(a)(4), such distribution will be paid in either a lump sum payment or in monthly, quarterly, or annual installments over a period not to exceed 15 years; provided that if the value of the Participant’s Account at the time of distribution is less than $50,000, such distribution shall be paid in the form of a lump sum distribution. Notwithstanding the foregoing, (i) no elections for monthly distributions may be made with respect to Plan Years commencing on or after January 1, 2015 or with respect to any Subsequent Deferral Election made on or after January 1, 2024; and (ii) no elections for quarterly distributions, or for distributions paid in installments over a period of more than 10 years, may be made with respect to Plan Years commencing on or after January 1, 2024 or with respect to any Subsequent Deferral Election made on or after January 1, 2024. With respect to each annual deferral amount (including both Participant deferrals and Company contribution amounts for such Plan Year), a Participant must elect which form of payment to receive in his or her initial or annual deferral election form, which election may be changed by the Participant at any time so long as (i) the election does not take effect until at least 12 months after the date in which the election is made, (ii) the first payment for which the election is made will be deferred for a period of five years from the date such payment would otherwise have been made (other than for payments triggered by the Participant’s death or Disability), and (iii) the change is received by the Plan Administrator at least 12 months prior to the Participant’s first scheduled payment date (any such change, a “Subsequent Deferral Election”). In the absence of a Participant making a distribution election, or if a Participant has elected a distribution option that is no longer available for new deferrals and the Participant fails to change his or her distribution option, the default form of payment shall be lump sum. Participant’s Account shall continue to be credited with earnings pursuant to Sections 4.1 and 4.2 of the Plan until all amounts credited to his or her Account under the Plan have been distributed.</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Approved by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Compensation and Human Capital Committee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Board of Directors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 August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ind w:left="9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SECTION 302 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Ryan S. Napierski, certify that:</w:t>
      </w:r>
    </w:p>
    <w:p>
      <w:pPr>
        <w:spacing w:after="0" w:line="24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23495</wp:posOffset>
            </wp:positionV>
            <wp:extent cx="19970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Ryan S. Napierski</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ind w:left="9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SECTION 302 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James D. Thomas, certify that:</w:t>
      </w:r>
    </w:p>
    <w:p>
      <w:pPr>
        <w:spacing w:after="0" w:line="24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5"/>
          <w:szCs w:val="15"/>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23495</wp:posOffset>
            </wp:positionV>
            <wp:extent cx="19970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James D. Thomas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ind w:left="9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300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June 30, 2023 (the “Report”), I, Ryan S. Napierski, Chief Executive Officer of the Company, certify, pursuant to 18 U.S.C.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80" w:type="dxa"/>
            <w:vAlign w:val="bottom"/>
          </w:tcPr>
          <w:p>
            <w:pPr>
              <w:spacing w:after="0"/>
              <w:rPr>
                <w:sz w:val="20"/>
                <w:szCs w:val="20"/>
                <w:color w:val="auto"/>
              </w:rPr>
            </w:pPr>
            <w:r>
              <w:rPr>
                <w:rFonts w:ascii="Arial" w:cs="Arial" w:eastAsia="Arial" w:hAnsi="Arial"/>
                <w:sz w:val="18"/>
                <w:szCs w:val="18"/>
                <w:color w:val="auto"/>
              </w:rPr>
              <w:t>Date: August 1, 2023</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 Napierski</w:t>
            </w:r>
          </w:p>
        </w:tc>
        <w:tc>
          <w:tcPr>
            <w:tcW w:w="5620" w:type="dxa"/>
            <w:vAlign w:val="bottom"/>
          </w:tcPr>
          <w:p>
            <w:pPr>
              <w:spacing w:after="0"/>
              <w:rPr>
                <w:sz w:val="21"/>
                <w:szCs w:val="21"/>
                <w:color w:val="auto"/>
              </w:rPr>
            </w:pPr>
          </w:p>
        </w:tc>
      </w:tr>
      <w:tr>
        <w:trPr>
          <w:trHeight w:val="202"/>
        </w:trPr>
        <w:tc>
          <w:tcPr>
            <w:tcW w:w="248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Ryan S. Napierski</w:t>
            </w:r>
          </w:p>
        </w:tc>
        <w:tc>
          <w:tcPr>
            <w:tcW w:w="562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20" w:type="dxa"/>
            <w:vAlign w:val="bottom"/>
          </w:tcPr>
          <w:p>
            <w:pPr>
              <w:spacing w:after="0"/>
              <w:rPr>
                <w:sz w:val="20"/>
                <w:szCs w:val="20"/>
                <w:color w:val="auto"/>
              </w:rPr>
            </w:pPr>
          </w:p>
        </w:tc>
      </w:tr>
      <w:tr>
        <w:trPr>
          <w:trHeight w:val="601"/>
        </w:trPr>
        <w:tc>
          <w:tcPr>
            <w:tcW w:w="2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sectPr>
      </w:pPr>
    </w:p>
    <w:bookmarkStart w:id="41" w:name="page42"/>
    <w:bookmarkEnd w:id="41"/>
    <w:p>
      <w:pPr>
        <w:ind w:left="9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FINANCIAL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300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June 30, 2023 (the “Report”), I, James D. Thomas, Chief Financial Officer of the Company, certify, pursuant to 18 U.S.C. §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80" w:type="dxa"/>
            <w:vAlign w:val="bottom"/>
          </w:tcPr>
          <w:p>
            <w:pPr>
              <w:spacing w:after="0"/>
              <w:rPr>
                <w:sz w:val="20"/>
                <w:szCs w:val="20"/>
                <w:color w:val="auto"/>
              </w:rPr>
            </w:pPr>
            <w:r>
              <w:rPr>
                <w:rFonts w:ascii="Arial" w:cs="Arial" w:eastAsia="Arial" w:hAnsi="Arial"/>
                <w:sz w:val="18"/>
                <w:szCs w:val="18"/>
                <w:color w:val="auto"/>
              </w:rPr>
              <w:t>Date: August 1, 2023</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Thomas</w:t>
            </w:r>
          </w:p>
        </w:tc>
        <w:tc>
          <w:tcPr>
            <w:tcW w:w="5620" w:type="dxa"/>
            <w:vAlign w:val="bottom"/>
          </w:tcPr>
          <w:p>
            <w:pPr>
              <w:spacing w:after="0"/>
              <w:rPr>
                <w:sz w:val="21"/>
                <w:szCs w:val="21"/>
                <w:color w:val="auto"/>
              </w:rPr>
            </w:pPr>
          </w:p>
        </w:tc>
      </w:tr>
      <w:tr>
        <w:trPr>
          <w:trHeight w:val="202"/>
        </w:trPr>
        <w:tc>
          <w:tcPr>
            <w:tcW w:w="248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James D. Thomas</w:t>
            </w:r>
          </w:p>
        </w:tc>
        <w:tc>
          <w:tcPr>
            <w:tcW w:w="562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20" w:type="dxa"/>
            <w:vAlign w:val="bottom"/>
          </w:tcPr>
          <w:p>
            <w:pPr>
              <w:spacing w:after="0"/>
              <w:rPr>
                <w:sz w:val="20"/>
                <w:szCs w:val="20"/>
                <w:color w:val="auto"/>
              </w:rPr>
            </w:pPr>
          </w:p>
        </w:tc>
      </w:tr>
      <w:tr>
        <w:trPr>
          <w:trHeight w:val="601"/>
        </w:trPr>
        <w:tc>
          <w:tcPr>
            <w:tcW w:w="24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decimal"/>
      <w:start w:val="7"/>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8"/>
    </w:lvl>
  </w:abstractNum>
  <w:abstractNum w:abstractNumId="11">
    <w:nsid w:val="2CA88611"/>
    <w:multiLevelType w:val="hybridMultilevel"/>
    <w:lvl w:ilvl="0">
      <w:lvlJc w:val="left"/>
      <w:lvlText w:val="%1."/>
      <w:numFmt w:val="decimal"/>
      <w:start w:val="9"/>
    </w:lvl>
  </w:abstractNum>
  <w:abstractNum w:abstractNumId="12">
    <w:nsid w:val="836C40E"/>
    <w:multiLevelType w:val="hybridMultilevel"/>
    <w:lvl w:ilvl="0">
      <w:lvlJc w:val="left"/>
      <w:lvlText w:val="%1."/>
      <w:numFmt w:val="decimal"/>
      <w:start w:val="10"/>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decimal"/>
      <w:start w:val="12"/>
    </w:lvl>
  </w:abstractNum>
  <w:abstractNum w:abstractNumId="17">
    <w:nsid w:val="7C3DBD3D"/>
    <w:multiLevelType w:val="hybridMultilevel"/>
    <w:lvl w:ilvl="0">
      <w:lvlJc w:val="left"/>
      <w:lvlText w:val="%1."/>
      <w:numFmt w:val="decimal"/>
      <w:start w:val="13"/>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1."/>
      <w:numFmt w:val="decimal"/>
      <w:start w:val="3"/>
    </w:lvl>
    <w:lvl w:ilvl="1">
      <w:lvlJc w:val="left"/>
      <w:lvlText w:val="%2."/>
      <w:numFmt w:val="lowerLetter"/>
      <w:start w:val="1"/>
    </w:lvl>
  </w:abstractNum>
  <w:abstractNum w:abstractNumId="25">
    <w:nsid w:val="5577F8E1"/>
    <w:multiLevelType w:val="hybridMultilevel"/>
    <w:lvl w:ilvl="0">
      <w:lvlJc w:val="left"/>
      <w:lvlText w:val="%1."/>
      <w:numFmt w:val="decimal"/>
      <w:start w:val="5"/>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decimal"/>
      <w:start w:val="7"/>
    </w:lvl>
  </w:abstractNum>
  <w:abstractNum w:abstractNumId="28">
    <w:nsid w:val="3804823E"/>
    <w:multiLevelType w:val="hybridMultilevel"/>
    <w:lvl w:ilvl="0">
      <w:lvlJc w:val="left"/>
      <w:lvlText w:val="%1."/>
      <w:numFmt w:val="decimal"/>
      <w:start w:val="8"/>
    </w:lvl>
  </w:abstractNum>
  <w:abstractNum w:abstractNumId="29">
    <w:nsid w:val="77465F01"/>
    <w:multiLevelType w:val="hybridMultilevel"/>
    <w:lvl w:ilvl="0">
      <w:lvlJc w:val="left"/>
      <w:lvlText w:val="%1."/>
      <w:numFmt w:val="decimal"/>
      <w:start w:val="9"/>
    </w:lvl>
  </w:abstractNum>
  <w:abstractNum w:abstractNumId="30">
    <w:nsid w:val="7724C67E"/>
    <w:multiLevelType w:val="hybridMultilevel"/>
    <w:lvl w:ilvl="0">
      <w:lvlJc w:val="left"/>
      <w:lvlText w:val="%1."/>
      <w:numFmt w:val="decimal"/>
      <w:start w:val="10"/>
    </w:lvl>
  </w:abstractNum>
  <w:abstractNum w:abstractNumId="31">
    <w:nsid w:val="5C482A97"/>
    <w:multiLevelType w:val="hybridMultilevel"/>
    <w:lvl w:ilvl="0">
      <w:lvlJc w:val="left"/>
      <w:lvlText w:val="%1."/>
      <w:numFmt w:val="decimal"/>
      <w:start w:val="11"/>
    </w:lvl>
  </w:abstractNum>
  <w:abstractNum w:abstractNumId="32">
    <w:nsid w:val="2463B9EA"/>
    <w:multiLevelType w:val="hybridMultilevel"/>
    <w:lvl w:ilvl="0">
      <w:lvlJc w:val="left"/>
      <w:lvlText w:val="%1."/>
      <w:numFmt w:val="decimal"/>
      <w:start w:val="12"/>
    </w:lvl>
  </w:abstractNum>
  <w:abstractNum w:abstractNumId="33">
    <w:nsid w:val="5E884ADC"/>
    <w:multiLevelType w:val="hybridMultilevel"/>
    <w:lvl w:ilvl="0">
      <w:lvlJc w:val="left"/>
      <w:lvlText w:val="%1."/>
      <w:numFmt w:val="decimal"/>
      <w:start w:val="13"/>
    </w:lvl>
  </w:abstractNum>
  <w:abstractNum w:abstractNumId="34">
    <w:nsid w:val="51EAD36B"/>
    <w:multiLevelType w:val="hybridMultilevel"/>
    <w:lvl w:ilvl="0">
      <w:lvlJc w:val="left"/>
      <w:lvlText w:val="%1."/>
      <w:numFmt w:val="decimal"/>
      <w:start w:val="14"/>
    </w:lvl>
  </w:abstractNum>
  <w:abstractNum w:abstractNumId="35">
    <w:nsid w:val="2D517796"/>
    <w:multiLevelType w:val="hybridMultilevel"/>
    <w:lvl w:ilvl="0">
      <w:lvlJc w:val="left"/>
      <w:lvlText w:val="%1."/>
      <w:numFmt w:val="decimal"/>
      <w:start w:val="15"/>
    </w:lvl>
  </w:abstractNum>
  <w:abstractNum w:abstractNumId="36">
    <w:nsid w:val="580BD78F"/>
    <w:multiLevelType w:val="hybridMultilevel"/>
    <w:lvl w:ilvl="0">
      <w:lvlJc w:val="left"/>
      <w:lvlText w:val="%1."/>
      <w:numFmt w:val="decimal"/>
      <w:start w:val="16"/>
    </w:lvl>
  </w:abstractNum>
  <w:abstractNum w:abstractNumId="37">
    <w:nsid w:val="153EA438"/>
    <w:multiLevelType w:val="hybridMultilevel"/>
    <w:lvl w:ilvl="0">
      <w:lvlJc w:val="left"/>
      <w:lvlText w:val="%1."/>
      <w:numFmt w:val="decimal"/>
      <w:start w:val="17"/>
    </w:lvl>
  </w:abstractNum>
  <w:abstractNum w:abstractNumId="38">
    <w:nsid w:val="3855585C"/>
    <w:multiLevelType w:val="hybridMultilevel"/>
    <w:lvl w:ilvl="0">
      <w:lvlJc w:val="left"/>
      <w:lvlText w:val="%1."/>
      <w:numFmt w:val="decimal"/>
      <w:start w:val="18"/>
    </w:lvl>
  </w:abstractNum>
  <w:abstractNum w:abstractNumId="39">
    <w:nsid w:val="70A64E2A"/>
    <w:multiLevelType w:val="hybridMultilevel"/>
    <w:lvl w:ilvl="0">
      <w:lvlJc w:val="left"/>
      <w:lvlText w:val="(%1)"/>
      <w:numFmt w:val="lowerLetter"/>
      <w:start w:val="5"/>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2023-08-02T05:26:49Z</dcterms:created>
  <dcterms:modified xsi:type="dcterms:W3CDTF">2023-08-02T05:26:49Z</dcterms:modified>
</cp:coreProperties>
</file>