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500" w:hanging="492"/>
        <w:spacing w:after="0" w:line="286"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500" w:hanging="492"/>
        <w:spacing w:after="0" w:line="286" w:lineRule="auto"/>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001-12421</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57003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4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87-0565309</w:t>
            </w:r>
          </w:p>
        </w:tc>
      </w:tr>
      <w:tr>
        <w:trPr>
          <w:trHeight w:val="198"/>
        </w:trPr>
        <w:tc>
          <w:tcPr>
            <w:tcW w:w="330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4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or organization)</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0"/>
        </w:trPr>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75 West Center Street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45"/>
        </w:trPr>
        <w:tc>
          <w:tcPr>
            <w:tcW w:w="3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Provo, Utah 84601</w:t>
            </w:r>
          </w:p>
        </w:tc>
        <w:tc>
          <w:tcPr>
            <w:tcW w:w="5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60" w:type="dxa"/>
            <w:vAlign w:val="bottom"/>
            <w:gridSpan w:val="6"/>
          </w:tcPr>
          <w:p>
            <w:pPr>
              <w:jc w:val="center"/>
              <w:ind w:right="90"/>
              <w:spacing w:after="0" w:line="194" w:lineRule="exact"/>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20" w:type="dxa"/>
            <w:vAlign w:val="bottom"/>
          </w:tcPr>
          <w:p>
            <w:pPr>
              <w:spacing w:after="0"/>
              <w:rPr>
                <w:sz w:val="16"/>
                <w:szCs w:val="16"/>
                <w:color w:val="auto"/>
              </w:rPr>
            </w:pPr>
          </w:p>
        </w:tc>
        <w:tc>
          <w:tcPr>
            <w:tcW w:w="3000" w:type="dxa"/>
            <w:vAlign w:val="bottom"/>
            <w:gridSpan w:val="2"/>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3"/>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(801) 345-1000</w:t>
            </w: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7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9"/>
        </w:trPr>
        <w:tc>
          <w:tcPr>
            <w:tcW w:w="34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5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3460" w:type="dxa"/>
            <w:vAlign w:val="bottom"/>
            <w:tcBorders>
              <w:top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0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NUS</w:t>
            </w:r>
          </w:p>
        </w:tc>
        <w:tc>
          <w:tcPr>
            <w:tcW w:w="6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98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2" w:lineRule="exact"/>
        <w:rPr>
          <w:sz w:val="24"/>
          <w:szCs w:val="24"/>
          <w:color w:val="auto"/>
        </w:rPr>
      </w:pPr>
    </w:p>
    <w:p>
      <w:pPr>
        <w:jc w:val="both"/>
        <w:spacing w:after="0" w:line="25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30, 2025, 49,412,994 shares of the registrant’s Class A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40" w:type="dxa"/>
            <w:vAlign w:val="bottom"/>
            <w:gridSpan w:val="8"/>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NU SKIN ENTERPRISES, INC.</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00" w:type="dxa"/>
            <w:vAlign w:val="bottom"/>
            <w:gridSpan w:val="14"/>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 – FIRST QUARTER 2025</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40" w:type="dxa"/>
            <w:vAlign w:val="bottom"/>
            <w:gridSpan w:val="7"/>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960" w:type="dxa"/>
            <w:vAlign w:val="bottom"/>
            <w:gridSpan w:val="20"/>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17"/>
          </w:tcPr>
          <w:p>
            <w:pPr>
              <w:ind w:left="6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 w:type="dxa"/>
            <w:vAlign w:val="bottom"/>
          </w:tcPr>
          <w:p>
            <w:pPr>
              <w:spacing w:after="0"/>
              <w:rPr>
                <w:sz w:val="15"/>
                <w:szCs w:val="15"/>
                <w:color w:val="auto"/>
              </w:rPr>
            </w:pPr>
          </w:p>
        </w:tc>
        <w:tc>
          <w:tcPr>
            <w:tcW w:w="90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60" w:type="dxa"/>
            <w:vAlign w:val="bottom"/>
            <w:gridSpan w:val="20"/>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 w:type="dxa"/>
            <w:vAlign w:val="bottom"/>
          </w:tcPr>
          <w:p>
            <w:pPr>
              <w:spacing w:after="0"/>
              <w:rPr>
                <w:sz w:val="15"/>
                <w:szCs w:val="15"/>
                <w:color w:val="auto"/>
              </w:rPr>
            </w:pPr>
          </w:p>
        </w:tc>
        <w:tc>
          <w:tcPr>
            <w:tcW w:w="90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tcPr>
          <w:p>
            <w:pPr>
              <w:spacing w:after="0"/>
              <w:rPr>
                <w:sz w:val="15"/>
                <w:szCs w:val="15"/>
                <w:color w:val="auto"/>
              </w:rPr>
            </w:pPr>
          </w:p>
        </w:tc>
        <w:tc>
          <w:tcPr>
            <w:tcW w:w="90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tcPr>
          <w:p>
            <w:pPr>
              <w:spacing w:after="0"/>
              <w:rPr>
                <w:sz w:val="15"/>
                <w:szCs w:val="15"/>
                <w:color w:val="auto"/>
              </w:rPr>
            </w:pPr>
          </w:p>
        </w:tc>
        <w:tc>
          <w:tcPr>
            <w:tcW w:w="90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Signature</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references to “dollars” and “$” are to United States (“U.S.”) dollars.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Nu Skin, Pharmanex, and ageLOC are our trademarks. The italicized product names used in this Quarterly Report on Form 10-Q are product names and also, in certain cases, our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186,883</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investments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11,111</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56,576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50,784</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190,242</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72,643</w:t>
            </w:r>
          </w:p>
        </w:tc>
      </w:tr>
      <w:tr>
        <w:trPr>
          <w:trHeight w:val="223"/>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26,936</w:t>
            </w: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524,857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538,599</w:t>
            </w: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379,595</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79,389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72,605</w:t>
            </w: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6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83,625</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47,554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74,278</w:t>
            </w: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6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298,008</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assets held for sale</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22,204</w:t>
            </w:r>
          </w:p>
        </w:tc>
      </w:tr>
      <w:tr>
        <w:trPr>
          <w:trHeight w:val="257"/>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1,391,411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33,590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34,880</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217,808</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23"/>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13,919</w:t>
            </w: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260,300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296,607</w:t>
            </w: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61,949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58,439</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363,613</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96,436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97,475</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liabilities held for sale</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637,442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(Notes 6 and 12)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Class A common stock – 500 million shares authorized, $0.001 par value, 90.6 million shares issued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627,787</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Treasury stock, at cost – 41.2 million and 40.8 million shares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(1,562,211)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(1,563,614)</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(123,850)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(124,758)</w:t>
            </w:r>
          </w:p>
        </w:tc>
      </w:tr>
      <w:tr>
        <w:trPr>
          <w:trHeight w:val="223"/>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1,816,462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1,711,949</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753,969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1,391,411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1,468,914</w:t>
            </w:r>
          </w:p>
        </w:tc>
      </w:tr>
      <w:tr>
        <w:trPr>
          <w:trHeight w:val="21"/>
        </w:trPr>
        <w:tc>
          <w:tcPr>
            <w:tcW w:w="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 except per share 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364,490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417,306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117,529</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123,242</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246,961</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118,546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153,542</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113,204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124,566</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7,134</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256,864</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(28,375)</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27,086</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1,634</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107,515</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w:t>
            </w:r>
          </w:p>
        </w:tc>
      </w:tr>
      <w:tr>
        <w:trPr>
          <w:trHeight w:val="209"/>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(Note 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(000s):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49,764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49,538</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50,328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49,538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 net of taxes of $0 and $0 for the three months ended March 31, 2025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2024, respectively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(10,104)</w:t>
            </w:r>
          </w:p>
        </w:tc>
      </w:tr>
      <w:tr>
        <w:trPr>
          <w:trHeight w:val="198"/>
        </w:trPr>
        <w:tc>
          <w:tcPr>
            <w:tcW w:w="868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unrealized gains/(losses) on cash flow hedges, net of taxes of $(32) and $(435) for the three months ended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March 31, 2025 and 2024,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w:t>
            </w:r>
          </w:p>
        </w:tc>
      </w:tr>
      <w:tr>
        <w:trPr>
          <w:trHeight w:val="198"/>
        </w:trPr>
        <w:tc>
          <w:tcPr>
            <w:tcW w:w="868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losses/(gains) in current earnings, net of taxes of $456 and $572 for the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three months ended March 31, 2025 and 2024, respectively</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(1,654)</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(2,071)</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108,423</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(11,134)</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60" w:type="dxa"/>
            <w:vAlign w:val="bottom"/>
            <w:tcBorders>
              <w:bottom w:val="single" w:sz="8" w:color="auto"/>
            </w:tcBorders>
            <w:gridSpan w:val="11"/>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627,787</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(1,563,614)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1,711,949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651,455</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107,515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7)</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(5,012)</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(5,012)</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(0.3</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(7,577)</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6,415</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3,267</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(3,002)</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94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623,477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(1,562,211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1,816,462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753,969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3"/>
        </w:trPr>
        <w:tc>
          <w:tcPr>
            <w:tcW w:w="3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60" w:type="dxa"/>
            <w:vAlign w:val="bottom"/>
            <w:gridSpan w:val="11"/>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621,853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(1,570,440)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1,870,470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821,968</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(10,601)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(10,601)</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(0.2</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(7,389)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5,498</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4,242</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(2,979)</w:t>
            </w:r>
          </w:p>
        </w:tc>
      </w:tr>
      <w:tr>
        <w:trPr>
          <w:trHeight w:val="27"/>
        </w:trPr>
        <w:tc>
          <w:tcPr>
            <w:tcW w:w="32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940" w:type="dxa"/>
            <w:vAlign w:val="bottom"/>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618,706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(1,564,942)</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(110,607)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1,866,958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810,206</w:t>
            </w:r>
          </w:p>
        </w:tc>
      </w:tr>
      <w:tr>
        <w:trPr>
          <w:trHeight w:val="20"/>
        </w:trPr>
        <w:tc>
          <w:tcPr>
            <w:tcW w:w="3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(loss) to 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(176,162)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Impairment of goodwill, fixed assets and other intangibles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Unrealized losses on equity investments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28,077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14,206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18,437</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7,987</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4,242</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 write-down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2,003</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Foreign currency losses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1,639</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8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(5,878)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7,447</w:t>
            </w:r>
          </w:p>
        </w:tc>
      </w:tr>
      <w:tr>
        <w:trPr>
          <w:trHeight w:val="216"/>
        </w:trPr>
        <w:tc>
          <w:tcPr>
            <w:tcW w:w="8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6,999</w:t>
            </w:r>
          </w:p>
        </w:tc>
      </w:tr>
      <w:tr>
        <w:trPr>
          <w:trHeight w:val="216"/>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(13,352)</w:t>
            </w:r>
          </w:p>
        </w:tc>
      </w:tr>
      <w:tr>
        <w:trPr>
          <w:trHeight w:val="216"/>
        </w:trPr>
        <w:tc>
          <w:tcPr>
            <w:tcW w:w="8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(4,295)</w:t>
            </w:r>
          </w:p>
        </w:tc>
      </w:tr>
      <w:tr>
        <w:trPr>
          <w:trHeight w:val="216"/>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(1,439)</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(10,575)</w:t>
            </w:r>
          </w:p>
        </w:tc>
      </w:tr>
      <w:tr>
        <w:trPr>
          <w:trHeight w:val="216"/>
        </w:trPr>
        <w:tc>
          <w:tcPr>
            <w:tcW w:w="8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(21,016)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(4,227)</w:t>
            </w:r>
          </w:p>
        </w:tc>
      </w:tr>
      <w:tr>
        <w:trPr>
          <w:trHeight w:val="223"/>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(1,855)</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(14,020)</w:t>
            </w:r>
          </w:p>
        </w:tc>
      </w:tr>
      <w:tr>
        <w:trPr>
          <w:trHeight w:val="223"/>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shd w:val="clear" w:color="auto" w:fill="CCEEFF"/>
          </w:tcPr>
          <w:p>
            <w:pPr>
              <w:spacing w:after="0"/>
              <w:rPr>
                <w:sz w:val="19"/>
                <w:szCs w:val="19"/>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(13,584)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(12,281)</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on investment sales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3,019</w:t>
            </w: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sale of business,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Exercise of employee stock options and taxes paid related to the net shares settlement of stock awards</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(1,162)</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(1,891)</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cash dividends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(2,979)</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Repurchase of shares of common stock</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(5,012)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principal payments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2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of debt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w:t>
            </w: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(1,498)</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(166,295)</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(5,626)</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(43,525)</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212,532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Nu Skin Enterprises, Inc. (the “Company”) is a holding company, with Nu Skin being the primary operating unit. Nu Skin develops and distributes premium-quality, innovative beauty and wellness products that are sold worldwide primarily under the Nu Skin, Pharmanex and ageLOC brands. The Company reports revenue from nine segments, consisting of its seven geographic Nu Skin segments—Americas, which includes Canada, Latin America and the United States; Mainland China; Southeast Asia/Pacific, which includes Indonesia, Malaysia, the Philippines, Singapore, Thailand, Vietnam, Australia, New Zealand, and other markets; Japan; Europe and Africa, which includes markets in Europe as well as South Africa; South Korea; and Hong Kong/Taiwan, which also includes Macau—and two Rhyz segments—Manufacturing, which includes manufacturing and packaging subsidiaries it has acquired; and Rhyz Other, which includes other investments by its Rhyz business arm (the Company’s subsidiaries operating within each segment are collectively referred to as the “Subsidiaries”).</w:t>
      </w:r>
    </w:p>
    <w:p>
      <w:pPr>
        <w:spacing w:after="0" w:line="18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March 31, 2025, and for the three- month periods ended March 31, 2025 and 2024. The results of operations of any interim period are not necessarily indicative of the results of operations to be expected for the fiscal year. The consolidated balance sheet as of December 31, 2024 has been prepared using information from the audited financial statements at that date. For further information, refer to the consolidated financial statements and accompanying footnotes included in the Company’s Annual Report on Form 10-K for the year ended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280):Improvements to Reportable Segment Disclosures,</w:t>
      </w:r>
      <w:r>
        <w:rPr>
          <w:rFonts w:ascii="Times New Roman" w:cs="Times New Roman" w:eastAsia="Times New Roman" w:hAnsi="Times New Roman"/>
          <w:sz w:val="18"/>
          <w:szCs w:val="18"/>
          <w:color w:val="auto"/>
        </w:rPr>
        <w:t xml:space="preserve"> expanding segment disclosure requirements. The amendments require enhanced disclosure for certain segment items and required disclosure on how management uses reported measures to assess segment performance. The amendments do not change how segments are determined, aggregated, or how thresholds are applied to determine reportable segments. The Company adopted ASU 2023-07 beginning with its 2024 annual reporting, through retrospective application.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guidance requires disclosure of disaggregated income taxes paid, prescribes standardized categories for the components of the effective tax rate reconciliation, and modifies other income tax-related disclosures. ASU 2023-09 is effective for the Company’s annual periods beginning January 1, 2025, with early adoption permitted. The Company is currently evaluating the potential effect that the updated standard will have on its financial statement disclosures.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(Topic 220). This standard requires disclosure of specific information about costs and expenses. ASU 2024-03 is effective for fiscal years beginning after December 15, 2026 and interim reporting periods beginning after December 15, 2027. The Company is currently evaluating the potential effect that the updated standard will have on its financial statement disclosures.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Inventory</w:t>
            </w: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(U.S. dollars in thousands):</w:t>
            </w: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0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121,929</w:t>
            </w:r>
          </w:p>
        </w:tc>
        <w:tc>
          <w:tcPr>
            <w:tcW w:w="100" w:type="dxa"/>
            <w:vAlign w:val="bottom"/>
            <w:shd w:val="clear" w:color="auto" w:fill="CCEEFF"/>
          </w:tcPr>
          <w:p>
            <w:pPr>
              <w:spacing w:after="0"/>
              <w:rPr>
                <w:sz w:val="18"/>
                <w:szCs w:val="18"/>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76,957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68,313</w:t>
            </w:r>
          </w:p>
        </w:tc>
      </w:tr>
      <w:tr>
        <w:trPr>
          <w:trHeight w:val="256"/>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Inventory, net</w:t>
            </w:r>
          </w:p>
        </w:tc>
        <w:tc>
          <w:tcPr>
            <w:tcW w:w="3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188,776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080" w:type="dxa"/>
            <w:vAlign w:val="bottom"/>
          </w:tcPr>
          <w:p>
            <w:pPr>
              <w:spacing w:after="0"/>
              <w:rPr>
                <w:sz w:val="24"/>
                <w:szCs w:val="24"/>
                <w:color w:val="auto"/>
              </w:rPr>
            </w:pPr>
          </w:p>
        </w:tc>
        <w:tc>
          <w:tcPr>
            <w:tcW w:w="3600" w:type="dxa"/>
            <w:vAlign w:val="bottom"/>
          </w:tcPr>
          <w:p>
            <w:pPr>
              <w:jc w:val="right"/>
              <w:ind w:right="29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08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Reserves of inventories consist of the following (U.S. dollars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2,003</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(7,682)</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(4,862)</w:t>
            </w: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79,409</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80,519</w:t>
            </w:r>
          </w:p>
        </w:tc>
        <w:tc>
          <w:tcPr>
            <w:tcW w:w="100" w:type="dxa"/>
            <w:vAlign w:val="bottom"/>
            <w:tcBorders>
              <w:top w:val="single" w:sz="8" w:color="CCEEFF"/>
            </w:tcBorders>
          </w:tcPr>
          <w:p>
            <w:pPr>
              <w:spacing w:after="0"/>
              <w:rPr>
                <w:sz w:val="18"/>
                <w:szCs w:val="18"/>
                <w:color w:val="auto"/>
              </w:rPr>
            </w:pP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 – Customer Loyalty Programs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balance of deferred revenue related to contract liabilities as of March 31, 2025 and December 31, 2024 was $7.5 million and $7.8 million, respectively. The contract liabilities impact to revenue for the three-month periods ended March 31, 2025, and 2024 was an increase of $0.3 million and $0.7 million, respectively.</w:t>
      </w:r>
    </w:p>
    <w:p>
      <w:pPr>
        <w:spacing w:after="0" w:line="172"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Held for Sale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and liabilities to be disposed of by sale are classified as “held for sale” if their carrying amounts are principally expected to be recovered through a sale transaction rather than through continuing use. The classification occurs when the disposal group is available for immediate sale and the sale is probable. These criteria are generally met when an agreement to sell exists, or management has committed to a plan to sell the assets within one year. Disposal groups are measured at the lower of carrying amount or fair value less costs to sell, and long-lived assets included within the disposal group are not depreciated or amortized. The fair value of a disposal group, less any costs to sell, is assessed each reporting period it remains classified as held for sale and any remeasurement to the lower of carrying value or fair value less costs to sell is reported as an adjustment to the carrying value of the disposal group. When the net realizable value of a disposal group increases during a period, a gain can be recognized to the extent that it does not increase the value of the disposal group beyond its original carrying value when the disposal group was reclassified as held for sale.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 2025, the Company completed the sale of its Mavely entity to Clout.io Holdings, Inc. for $230 million in cash and shares of the purchaser’s common stock, subject to certain adjustments as set forth in the purchase agreement, including post-closing determination of net working capital and other elements of the purchase price. Following the completion of certain payments to other equity holders in Mavely and the payment of certain transaction expenses, the Company received net proceeds of $193.7 million and equity interest with an estimated fair value of $6.1 million. Approximately $4.4 million of additional payments are expected to be received following the finalization of net working capital The estimated fair value was based on observable price changes and is classified as a level 3 fair value measurement and is accounted for under the measurement alternative described in ASC 321-10-35-2 for equity securities that lack readily determinable fair values. In the first quarter of 2025, the Company recorded a gain on sale of $176.2 million.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the Company recorded $5.2 million of stock-based compensation expense related to profit interest units issued to the Mavely founders. This expense should have been recorded in the fourth quarter of 2024 when the performance conditions became probable of vesting. The impact of the adjustment to correct this item was immaterial to the current and prior period financial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 Mavely disposal group, consisting of $26.9 million of current assets, $22.2 million of long-term assets, $13.9 million of current liabilities and $1.3 million of long-term liabilities within the Company’s Rhyz Other segment, was classified as “Current assets held for sale”, “Long-term assets held for sale”, “Current liabilities held for sale” and “Long-term liabilities held for sale” in the Consolidated Balance Sheet. The Company determined that as of December 31, 2024, the disposal group met the criteria for classification as held for sale but did not meet the criteria for classification as discontinued operations. The Company recognized income (loss) before provision for income taxes for the Mavely disposal group of $0 and $(1.6) million for the three months ended March 31, 2025 and 2024, respectively.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assets and liabilities of the Mavely disposal group that have met the classification of held for sale in the Company’s Consolidated Balance sheet are as follows (U.S.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9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0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CCEEFF"/>
            </w:tcBorders>
            <w:shd w:val="clear" w:color="auto" w:fill="CCEEFF"/>
          </w:tcPr>
          <w:p>
            <w:pPr>
              <w:spacing w:after="0"/>
              <w:rPr>
                <w:sz w:val="22"/>
                <w:szCs w:val="22"/>
                <w:color w:val="auto"/>
              </w:rPr>
            </w:pPr>
          </w:p>
        </w:tc>
        <w:tc>
          <w:tcPr>
            <w:tcW w:w="9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assets held for sale</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Other intangible assets, net </w:t>
            </w:r>
            <w:r>
              <w:rPr>
                <w:rFonts w:ascii="Times New Roman" w:cs="Times New Roman" w:eastAsia="Times New Roman" w:hAnsi="Times New Roman"/>
                <w:sz w:val="29"/>
                <w:szCs w:val="29"/>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long-term assets held for sale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40" w:type="dxa"/>
            <w:vAlign w:val="bottom"/>
            <w:tcBorders>
              <w:bottom w:val="single" w:sz="8" w:color="CCEEFF"/>
            </w:tcBorders>
            <w:shd w:val="clear" w:color="auto" w:fill="CCEEFF"/>
          </w:tcPr>
          <w:p>
            <w:pPr>
              <w:spacing w:after="0"/>
              <w:rPr>
                <w:sz w:val="22"/>
                <w:szCs w:val="22"/>
                <w:color w:val="auto"/>
              </w:rPr>
            </w:pPr>
          </w:p>
        </w:tc>
        <w:tc>
          <w:tcPr>
            <w:tcW w:w="9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liabilities held for sale</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long-term liabilities held for sale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 Net of accumulated amortization of $8.4 million as of December 31, 2024.</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0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97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Goodwill and Intangibles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reporting units for goodwill are its operating segments, which are also its reportable segments, with the exception of Rhyz Other. The Rhyz Other segment is made up of two reporting units, which had goodwill of $4.7 million and $0.0 as of March 31, 2025 and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goodwill allocated to the Company’s reportable segments for the periods ended March 31, 2025 and December 31, 2024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78,875</w:t>
            </w: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4,750</w:t>
            </w:r>
          </w:p>
        </w:tc>
      </w:tr>
      <w:tr>
        <w:trPr>
          <w:trHeight w:val="257"/>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Accumulated impairment charges as of March 31, 2025 and December 31, 2024 were $9.4 million for the Americas segment, $18.5 million for the Southeast Asia/Pacific segment, $32.2 million for the Mainland China segment, $16.0 million for the Japan segment, $29.3 million for the South Korea segment, $2.9 million for the Europe &amp; Africa segment, $6.6 million for the Hong Kong/Taiwan segment, $0 for the Manufacturing segment and $19.6 million for the Rhyz Other segment. There were no impairment charges recorded in the three months ended March 31, 2025 and 2024.</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for impairment when performance expectations, events or change in circumstances indicate that the assets’ carrying value may not be recoverable. The evaluation is performed at the lowest level of identifiable cash flows by comparing the carrying value of the asset group to the net undiscounted cash flows. If the evaluation indicates that the carrying amount of the assets may not be recoverable, any potential impairment is measured based upon the fair value of the related asset group.</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quarter of 2025, the Company decided to make a strategic shift in how it operates the BeautyBio asset group. These strategy changes included exiting certain sales channels which reduced the forecasted revenues for BeautyBio. The Company concluded these actions were an interim impairment triggering event. As a result, the Company performed an interim impairment test of the asset group and assessed the recoverability of the related asset group by comparing the carrying value of the asset group to the net undiscounted cash flow expected to be generated. The recoverability test indicated that the asset group was impaired. The Company concluded the asset group’s carrying value exceeded its estimated fair value, which was determined utilizing the discounted projected future cash flows, which resulted in an impairment charge. The estimated fair value was based on expected future cash flows using level 3 inputs and utilized management estimates related to revenue growth rates, profitability margins and discount rates. As a result, during the three months ended March 31, 2025 the Company recorded an impairment charge of $25.1 million on the BeautyBio asset group, which is part of its Rhyz Other segment within restructuring and impairment expenses on the consolidated statement of income. The BeautyBio asset group has a remaining carrying value of $2.3 million with a remaining weighted-average amortization period of approximately 7 years.</w:t>
      </w:r>
    </w:p>
    <w:p>
      <w:pPr>
        <w:spacing w:after="0" w:line="190"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March 31, 2025, the Company was in compliance with all covenants under the Credit Agreement. In January 2025, the Company made a $115.0 million payment on the term loan facility using a portion of the proceeds from the Mavely sale.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debt facilities as of March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16"/>
        </w:trPr>
        <w:tc>
          <w:tcPr>
            <w:tcW w:w="258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Facility or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318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Repayment</w:t>
            </w:r>
          </w:p>
        </w:tc>
      </w:tr>
      <w:tr>
        <w:trPr>
          <w:trHeight w:val="277"/>
        </w:trPr>
        <w:tc>
          <w:tcPr>
            <w:tcW w:w="25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2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w w:val="97"/>
                <w:vertAlign w:val="subscript"/>
              </w:rPr>
              <w:t>2025</w:t>
            </w:r>
            <w:r>
              <w:rPr>
                <w:rFonts w:ascii="Times New Roman" w:cs="Times New Roman" w:eastAsia="Times New Roman" w:hAnsi="Times New Roman"/>
                <w:sz w:val="14"/>
                <w:szCs w:val="14"/>
                <w:color w:val="auto"/>
                <w:w w:val="97"/>
              </w:rPr>
              <w:t>(1)(2)</w:t>
            </w:r>
          </w:p>
        </w:tc>
        <w:tc>
          <w:tcPr>
            <w:tcW w:w="100" w:type="dxa"/>
            <w:vAlign w:val="bottom"/>
          </w:tcPr>
          <w:p>
            <w:pPr>
              <w:spacing w:after="0"/>
              <w:rPr>
                <w:sz w:val="24"/>
                <w:szCs w:val="24"/>
                <w:color w:val="auto"/>
              </w:rPr>
            </w:pPr>
          </w:p>
        </w:tc>
        <w:tc>
          <w:tcPr>
            <w:tcW w:w="112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w w:val="97"/>
                <w:vertAlign w:val="subscript"/>
              </w:rPr>
              <w:t>2024</w:t>
            </w:r>
            <w:r>
              <w:rPr>
                <w:rFonts w:ascii="Times New Roman" w:cs="Times New Roman" w:eastAsia="Times New Roman" w:hAnsi="Times New Roman"/>
                <w:sz w:val="14"/>
                <w:szCs w:val="14"/>
                <w:color w:val="auto"/>
                <w:w w:val="97"/>
              </w:rPr>
              <w:t>(1)(2)</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18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Terms</w:t>
            </w:r>
          </w:p>
        </w:tc>
      </w:tr>
      <w:tr>
        <w:trPr>
          <w:trHeight w:val="194"/>
        </w:trPr>
        <w:tc>
          <w:tcPr>
            <w:tcW w:w="246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Credit Agreement term loan</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w w:val="98"/>
              </w:rPr>
              <w:t>$400.0 million</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$240.0 million</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$360.0 million</w:t>
            </w:r>
          </w:p>
        </w:tc>
        <w:tc>
          <w:tcPr>
            <w:tcW w:w="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Variable 30 day: 6.67%</w:t>
            </w:r>
          </w:p>
        </w:tc>
        <w:tc>
          <w:tcPr>
            <w:tcW w:w="12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21% of the principal amount is payable in</w:t>
            </w:r>
          </w:p>
        </w:tc>
      </w:tr>
      <w:tr>
        <w:trPr>
          <w:trHeight w:val="220"/>
        </w:trPr>
        <w:tc>
          <w:tcPr>
            <w:tcW w:w="2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increasing  quarterly  installments  over  a</w:t>
            </w:r>
          </w:p>
        </w:tc>
      </w:tr>
      <w:tr>
        <w:trPr>
          <w:trHeight w:val="216"/>
        </w:trPr>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five-year period that began on September</w:t>
            </w:r>
          </w:p>
        </w:tc>
      </w:tr>
      <w:tr>
        <w:trPr>
          <w:trHeight w:val="216"/>
        </w:trPr>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2022, with the remainder payable at the</w:t>
            </w:r>
          </w:p>
        </w:tc>
      </w:tr>
      <w:tr>
        <w:trPr>
          <w:trHeight w:val="234"/>
        </w:trPr>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the five-year term.</w:t>
            </w:r>
          </w:p>
        </w:tc>
      </w:tr>
      <w:tr>
        <w:trPr>
          <w:trHeight w:val="194"/>
        </w:trPr>
        <w:tc>
          <w:tcPr>
            <w:tcW w:w="25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Credit Agreement revolving</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color w:val="auto"/>
              </w:rPr>
              <w:t>$35.0 million</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Revolving line of credit expires June 14,</w:t>
            </w:r>
          </w:p>
        </w:tc>
      </w:tr>
      <w:tr>
        <w:trPr>
          <w:trHeight w:val="238"/>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2025 and December 31, 2024, the current portion of the Company’s debt (i.e., becoming due in the next 12 months) included $20.0 million and $20.0 million, respectively, of the balance of its term loan under the Credit Agreement and $0 and $10.0 million, respectively, of the balance under the revolving line of credit.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debt reflects the amounts stated in the above table, less debt issuance costs of $1.2 million and $1.4 million as of March 31, 2025 and December 31, 2024, respectively, related to the Credit Agreement, which are not reflected in this table.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weighted average remaining lease term was 6.6 and 4.5 years for operating and finance leases, respectively. As of March 31, 2025, the weighted average discount rate was 3.8% and 6.6% for operating and finance leases,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8,709</w:t>
            </w: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(U.S. dollars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outflow from 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outflow from finance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were as follows (U.S.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40" w:type="dxa"/>
            <w:vAlign w:val="bottom"/>
          </w:tcPr>
          <w:p>
            <w:pPr>
              <w:spacing w:after="0"/>
              <w:rPr>
                <w:sz w:val="24"/>
                <w:szCs w:val="24"/>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40" w:type="dxa"/>
            <w:vAlign w:val="bottom"/>
          </w:tcPr>
          <w:p>
            <w:pPr>
              <w:spacing w:after="0"/>
              <w:rPr>
                <w:sz w:val="21"/>
                <w:szCs w:val="21"/>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8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Finance charges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principal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81,946</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9,859</w:t>
            </w:r>
          </w:p>
        </w:tc>
        <w:tc>
          <w:tcPr>
            <w:tcW w:w="0" w:type="dxa"/>
            <w:vAlign w:val="bottom"/>
          </w:tcPr>
          <w:p>
            <w:pPr>
              <w:spacing w:after="0"/>
              <w:rPr>
                <w:sz w:val="1"/>
                <w:szCs w:val="1"/>
                <w:color w:val="auto"/>
              </w:rPr>
            </w:pPr>
          </w:p>
        </w:tc>
      </w:tr>
      <w:tr>
        <w:trPr>
          <w:trHeight w:val="425"/>
        </w:trPr>
        <w:tc>
          <w:tcPr>
            <w:tcW w:w="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16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For the three-month periods ended March 31, 2025 and 2024, the only dilutive common shares outstanding relate to the Company’s outstanding stock awards and options. For the three-month periods ended March 31, 2025 and 2024, 2.4 million and 1.8 million, respectively, of stock awards and options were excluded from the calculation of diluted earnings per share because they were anti-dilutive.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February 2025, the Company’s board of directors declared a quarterly cash dividend of $0.06 per share. This quarterly cash dividend of $3.0 million was paid on March 5, 2025 to stockholders of record on February 24, 2025. In May 2025, the board of directors declared a quarterly cash dividend of $0.06 per share to be paid on June 11, 2025 to stockholders of record on May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common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March 31, 2025, the Company repurchased 0.6 million share of its Class A common stock under its stock repurchase plans for $5.0 million and repurchased no shares during the three-month period ended March 31, 2024. As of March 31, 2025, $157.4 million was available for repurchases under the Company’s stock repurchase plan.</w:t>
      </w:r>
    </w:p>
    <w:p>
      <w:pPr>
        <w:spacing w:after="0" w:line="172"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and Equity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spacing w:after="0" w:line="8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Level 1 – quoted prices in active markets for identical assets or liabilities;</w:t>
      </w:r>
    </w:p>
    <w:p>
      <w:pPr>
        <w:spacing w:after="0" w:line="1" w:lineRule="exact"/>
        <w:rPr>
          <w:rFonts w:ascii="Times New Roman" w:cs="Times New Roman" w:eastAsia="Times New Roman" w:hAnsi="Times New Roman"/>
          <w:sz w:val="29"/>
          <w:szCs w:val="29"/>
          <w:color w:val="auto"/>
          <w:vertAlign w:val="superscript"/>
        </w:rPr>
      </w:pPr>
    </w:p>
    <w:p>
      <w:pPr>
        <w:ind w:left="660" w:hanging="328"/>
        <w:spacing w:after="0" w:line="186" w:lineRule="auto"/>
        <w:tabs>
          <w:tab w:leader="none" w:pos="66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Level 2 – inputs, other than the quoted prices in active markets, that are observable either directly or indirectly; and</w:t>
      </w:r>
    </w:p>
    <w:p>
      <w:pPr>
        <w:spacing w:after="0" w:line="2" w:lineRule="exact"/>
        <w:rPr>
          <w:rFonts w:ascii="Times New Roman" w:cs="Times New Roman" w:eastAsia="Times New Roman" w:hAnsi="Times New Roman"/>
          <w:sz w:val="24"/>
          <w:szCs w:val="24"/>
          <w:color w:val="auto"/>
          <w:vertAlign w:val="superscript"/>
        </w:rPr>
      </w:pPr>
    </w:p>
    <w:p>
      <w:pPr>
        <w:ind w:left="660" w:hanging="328"/>
        <w:spacing w:after="0" w:line="186" w:lineRule="auto"/>
        <w:tabs>
          <w:tab w:leader="none" w:pos="66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Level 3 – unobservable inputs based on the Company’s own assumptions.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assets and liabilities measured at fair value on a recurring basis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2025</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current investments</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25,336</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asset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2,749</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contracts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42,474</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4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42,474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70,559</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current investments</w:t>
            </w:r>
          </w:p>
        </w:tc>
        <w:tc>
          <w:tcPr>
            <w:tcW w:w="18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23,914</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23,914</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asset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4,708</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contracts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44,091</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280" w:type="dxa"/>
            <w:vAlign w:val="bottom"/>
          </w:tcPr>
          <w:p>
            <w:pPr>
              <w:spacing w:after="0"/>
              <w:rPr>
                <w:sz w:val="24"/>
                <w:szCs w:val="24"/>
                <w:color w:val="auto"/>
              </w:rPr>
            </w:pPr>
          </w:p>
        </w:tc>
        <w:tc>
          <w:tcPr>
            <w:tcW w:w="170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2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Level 3 life insurance contracts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3,373</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at March 31</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Life insurance contracts: </w:t>
      </w:r>
      <w:r>
        <w:rPr>
          <w:rFonts w:ascii="Times New Roman" w:cs="Times New Roman" w:eastAsia="Times New Roman" w:hAnsi="Times New Roman"/>
          <w:sz w:val="18"/>
          <w:szCs w:val="18"/>
          <w:color w:val="auto"/>
        </w:rPr>
        <w:t>Accounting Standards Codification (“ASC”) 820 preserves practicability exceptions to fair value measurements provided by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Level 3 contingent consideration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84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6,300</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at March 31</w:t>
            </w:r>
          </w:p>
        </w:tc>
        <w:tc>
          <w:tcPr>
            <w:tcW w:w="84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Contingent consideration represents the obligations incurred in connection with acquisitions. The estimate of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equity investments in companies which are accounted for under the measurement alternative described in ASC 321-10-35-2 for equity securities that lack readily determinable fair values. The carrying amount of equity securities held by the Company without readily determinable fair values was $0 and $28.1 million as of March 31, 2025 and December 31, 2024, respectively. During the three months ended September 30, 2021, the Company recognized $18.1 million upward fair value adjustments, based on the valuation of additional equity issued by the investee which was deemed to be an observable transaction of a similar investment under ASC 321. During the three months ended March 31, 2025, based on significant deterioration of the business prospects of the investment, the Company recorded a $28.1 million impairment of the investment. The third quarter of 2021 gain and first quarter of 2025 charge were recorded within Other income (expense), net on the Consolidated Statement of Income. The first quarter of 2025 estimated fair value was determined using a market-based method with level 3 inputs, including revenue and earnings multiples.</w:t>
      </w:r>
    </w:p>
    <w:p>
      <w:pPr>
        <w:spacing w:after="0" w:line="18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 for income taxes for the first quarter of 2025 was $27.1 million, compared to $1.6 million for the prior-year period. The effective tax rates for the first quarter 2025 was 20.1% of pre-tax income compared to 148.4% in the prior-year period.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$175.5 million and $173.9 million as of March 31, 2025 and December 31, 2024, respectively.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2024. If the amount designated as indefinitely reinvested as of December 31, 2024 were repatriated to the United States, the amount of incremental taxes would be approximately $6.0 million. The Company intends to utilize the indefinitely reinvested offshore earnings to fund foreign investments, specifically capital expenditures.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December 31, 2024, tax years through 2020, 2022 and 2023 have been audited and are effectively closed to further examination. For tax year 2021, the Company was in the Bridge phase of the CAP program, pursuant to which the IRS will not accept disclosures, will not conduct reviews and will not provide letters of assurance for the Bridge years. There are limited circumstances that tax years in the Bridge phase will be opened for examination. For tax years 2024 and 2025, the Company has been accepted in the IRS’s Bridge Plus program. The Company may elect to continue participating in CAP for future tax years; the Company may withdraw from the program at any time. With a few exceptions, the Company is no longer subject to state and local income tax examination by tax authorities for the years before 2021.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 The Company’s unrecognized tax benefits relate to multiple jurisdictions. Due to potential increases in unrecognized tax benefits from the multiple jurisdictions in which the Company operates, as well as the expiration of various statutes of limitations, it is reasonably possible that the Company’s gross unrecognized tax benefits, net of foreign currency adjustments, may decrease in the next 12 months by approximately $4.0 to $5.0 million.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as part of the Organization for Economic Co-operation and Development’s (“OECD”) Inclusive Framework, 140 member countries agreed to the implementation of the Pillar Two Global Minimum Tax (“Pillar Two”) of 15%. The OECD continues to release additional guidance, including administrative guidance on how Pillar Two rules should be interpreted and applied by jurisdictions as they adopt Pillar Two. A number of countries have utilized the administrative guidance as a starting point for legislation that went into effect January 1, 2024. Based on current enacted legislation, the Company anticipates the impact of Pillar Two to be immaterial for 2025.</w:t>
      </w:r>
    </w:p>
    <w:p>
      <w:pPr>
        <w:spacing w:after="0" w:line="17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and Hedging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Objective of Using Derivatives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 of Interest Rate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2025, such derivatives were used to hedge the variable cash flows associated with existing variable-rate debt.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 During the next twelve months, the Company estimates that an additional $2.7 million will be reclassified as a reduction to interest expense.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four outstanding interest rate derivatives that were designated as cash flow hedges of interest rate risk with a total notional amount of $200 million.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Values of Derivative Instruments on the Balance Sheet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as well as their classification on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7"/>
          </w:tcPr>
          <w:p>
            <w:pPr>
              <w:ind w:left="580"/>
              <w:spacing w:after="0"/>
              <w:rPr>
                <w:sz w:val="20"/>
                <w:szCs w:val="20"/>
                <w:color w:val="auto"/>
              </w:rPr>
            </w:pPr>
            <w:r>
              <w:rPr>
                <w:rFonts w:ascii="Times New Roman" w:cs="Times New Roman" w:eastAsia="Times New Roman" w:hAnsi="Times New Roman"/>
                <w:sz w:val="18"/>
                <w:szCs w:val="18"/>
                <w:b w:val="1"/>
                <w:bCs w:val="1"/>
                <w:color w:val="auto"/>
              </w:rPr>
              <w:t>Fair Values of</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gridSpan w:val="10"/>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Derivative Instruments</w:t>
            </w:r>
          </w:p>
        </w:tc>
      </w:tr>
      <w:tr>
        <w:trPr>
          <w:trHeight w:val="194"/>
        </w:trPr>
        <w:tc>
          <w:tcPr>
            <w:tcW w:w="440" w:type="dxa"/>
            <w:vAlign w:val="bottom"/>
          </w:tcPr>
          <w:p>
            <w:pPr>
              <w:spacing w:after="0"/>
              <w:rPr>
                <w:sz w:val="16"/>
                <w:szCs w:val="16"/>
                <w:color w:val="auto"/>
              </w:rPr>
            </w:pPr>
          </w:p>
        </w:tc>
        <w:tc>
          <w:tcPr>
            <w:tcW w:w="2700" w:type="dxa"/>
            <w:vAlign w:val="bottom"/>
          </w:tcPr>
          <w:p>
            <w:pPr>
              <w:jc w:val="center"/>
              <w:ind w:left="610"/>
              <w:spacing w:after="0" w:line="194" w:lineRule="exact"/>
              <w:rPr>
                <w:sz w:val="20"/>
                <w:szCs w:val="20"/>
                <w:color w:val="auto"/>
              </w:rPr>
            </w:pPr>
            <w:r>
              <w:rPr>
                <w:rFonts w:ascii="Times New Roman" w:cs="Times New Roman" w:eastAsia="Times New Roman" w:hAnsi="Times New Roman"/>
                <w:sz w:val="18"/>
                <w:szCs w:val="18"/>
                <w:b w:val="1"/>
                <w:bCs w:val="1"/>
                <w:color w:val="auto"/>
              </w:rPr>
              <w:t>Derivatives in Cash flow</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2"/>
          </w:tcPr>
          <w:p>
            <w:pPr>
              <w:jc w:val="center"/>
              <w:ind w:left="3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40" w:type="dxa"/>
            <w:vAlign w:val="bottom"/>
          </w:tcPr>
          <w:p>
            <w:pPr>
              <w:spacing w:after="0"/>
              <w:rPr>
                <w:sz w:val="21"/>
                <w:szCs w:val="21"/>
                <w:color w:val="auto"/>
              </w:rPr>
            </w:pPr>
          </w:p>
        </w:tc>
        <w:tc>
          <w:tcPr>
            <w:tcW w:w="270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Hedging Relationships: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 Asset</w:t>
            </w: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2,749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4,708</w:t>
            </w:r>
          </w:p>
        </w:tc>
        <w:tc>
          <w:tcPr>
            <w:tcW w:w="100" w:type="dxa"/>
            <w:vAlign w:val="bottom"/>
            <w:tcBorders>
              <w:top w:val="single" w:sz="8" w:color="auto"/>
            </w:tcBorders>
            <w:shd w:val="clear" w:color="auto" w:fill="CCEEFF"/>
          </w:tcPr>
          <w:p>
            <w:pPr>
              <w:spacing w:after="0"/>
              <w:rPr>
                <w:sz w:val="18"/>
                <w:szCs w:val="18"/>
                <w:color w:val="auto"/>
              </w:rPr>
            </w:pPr>
          </w:p>
        </w:tc>
      </w:tr>
      <w:tr>
        <w:trPr>
          <w:trHeight w:val="648"/>
        </w:trPr>
        <w:tc>
          <w:tcPr>
            <w:tcW w:w="810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Effect of Cash Flow Hedge Accounting on Accumulated Other Comprehensive Loss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tables below present the effect of cash flow hedge accounting on Accumulated Other Comprehensive Loss.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Gain</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1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Recognized in Other Comprehensive</w:t>
            </w:r>
          </w:p>
        </w:tc>
      </w:tr>
      <w:tr>
        <w:trPr>
          <w:trHeight w:val="245"/>
        </w:trPr>
        <w:tc>
          <w:tcPr>
            <w:tcW w:w="4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 on Derivatives</w:t>
            </w:r>
          </w:p>
        </w:tc>
        <w:tc>
          <w:tcPr>
            <w:tcW w:w="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7"/>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960" w:type="dxa"/>
            <w:vAlign w:val="bottom"/>
            <w:gridSpan w:val="6"/>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Derivatives in Cash flow</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gridSpan w:val="6"/>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Hedging Relationships:</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151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shd w:val="clear" w:color="auto" w:fill="CCEEFF"/>
          </w:tcPr>
          <w:p>
            <w:pPr>
              <w:spacing w:after="0"/>
              <w:rPr>
                <w:sz w:val="18"/>
                <w:szCs w:val="18"/>
                <w:color w:val="auto"/>
              </w:rPr>
            </w:pPr>
          </w:p>
        </w:tc>
      </w:tr>
      <w:tr>
        <w:trPr>
          <w:trHeight w:val="410"/>
        </w:trPr>
        <w:tc>
          <w:tcPr>
            <w:tcW w:w="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Amount of Gain</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1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r>
      <w:tr>
        <w:trPr>
          <w:trHeight w:val="245"/>
        </w:trPr>
        <w:tc>
          <w:tcPr>
            <w:tcW w:w="4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gridSpan w:val="1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Other Comprehensive Loss into Income</w:t>
            </w:r>
          </w:p>
        </w:tc>
      </w:tr>
      <w:tr>
        <w:trPr>
          <w:trHeight w:val="194"/>
        </w:trPr>
        <w:tc>
          <w:tcPr>
            <w:tcW w:w="4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7"/>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40" w:type="dxa"/>
            <w:vAlign w:val="bottom"/>
          </w:tcPr>
          <w:p>
            <w:pPr>
              <w:spacing w:after="0"/>
              <w:rPr>
                <w:sz w:val="21"/>
                <w:szCs w:val="21"/>
                <w:color w:val="auto"/>
              </w:rPr>
            </w:pPr>
          </w:p>
        </w:tc>
        <w:tc>
          <w:tcPr>
            <w:tcW w:w="27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Derivatives in Cash flow</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Income Statement</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40" w:type="dxa"/>
            <w:vAlign w:val="bottom"/>
          </w:tcPr>
          <w:p>
            <w:pPr>
              <w:spacing w:after="0"/>
              <w:rPr>
                <w:sz w:val="19"/>
                <w:szCs w:val="19"/>
                <w:color w:val="auto"/>
              </w:rPr>
            </w:pPr>
          </w:p>
        </w:tc>
        <w:tc>
          <w:tcPr>
            <w:tcW w:w="27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Hedging Relationships: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520" w:type="dxa"/>
            <w:vAlign w:val="bottom"/>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2,643</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reports revenue from nine segments, consisting of its seven geographic Nu Skin segments—Americas, Southeast Asia/Pacific, Mainland China, Japan, Europe &amp; Africa, South Korea, and Hong Kong/Taiwan—and two Rhyz segments—Manufacturing and Rhyz Other. The Nu Skin Other category includes miscellaneous corporate revenue and related adjustments. The Rhyz Other segment includes two operating segments that are aggregated into one reporting segment and includes other investments by our Rhyz business arm. The Chief Executive Officer is the chief operating decision maker (“CODM”). These segments reflect the way the CODM evaluates the Company’s business performance and allocates resources. Reported revenue includes only the revenue generated by sales to external customers.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“Summary of Significant Accounting Policies.” The Company evaluates the performance of its segments based on segment contribution. Each segment records direct expenses related to its employees and its operations.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20"/>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Nu Skin</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Rhyz</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Southeast Asia/ Mainland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7"/>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Europe &amp;</w:t>
            </w:r>
          </w:p>
        </w:tc>
        <w:tc>
          <w:tcPr>
            <w:tcW w:w="80" w:type="dxa"/>
            <w:vAlign w:val="bottom"/>
          </w:tcPr>
          <w:p>
            <w:pPr>
              <w:spacing w:after="0"/>
              <w:rPr>
                <w:sz w:val="16"/>
                <w:szCs w:val="16"/>
                <w:color w:val="auto"/>
              </w:rPr>
            </w:pPr>
          </w:p>
        </w:tc>
        <w:tc>
          <w:tcPr>
            <w:tcW w:w="740" w:type="dxa"/>
            <w:vAlign w:val="bottom"/>
            <w:gridSpan w:val="3"/>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South</w:t>
            </w:r>
          </w:p>
        </w:tc>
        <w:tc>
          <w:tcPr>
            <w:tcW w:w="960" w:type="dxa"/>
            <w:vAlign w:val="bottom"/>
            <w:gridSpan w:val="5"/>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Hong Kong/</w:t>
            </w:r>
          </w:p>
        </w:tc>
        <w:tc>
          <w:tcPr>
            <w:tcW w:w="80" w:type="dxa"/>
            <w:vAlign w:val="bottom"/>
          </w:tcPr>
          <w:p>
            <w:pPr>
              <w:spacing w:after="0"/>
              <w:rPr>
                <w:sz w:val="16"/>
                <w:szCs w:val="16"/>
                <w:color w:val="auto"/>
              </w:rPr>
            </w:pPr>
          </w:p>
        </w:tc>
        <w:tc>
          <w:tcPr>
            <w:tcW w:w="14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Manufacturing </w:t>
            </w:r>
            <w:r>
              <w:rPr>
                <w:rFonts w:ascii="Times New Roman" w:cs="Times New Roman" w:eastAsia="Times New Roman" w:hAnsi="Times New Roman"/>
                <w:sz w:val="29"/>
                <w:szCs w:val="29"/>
                <w:b w:val="1"/>
                <w:bCs w:val="1"/>
                <w:color w:val="auto"/>
                <w:w w:val="99"/>
                <w:vertAlign w:val="superscript"/>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Rhyz</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Pacific</w:t>
            </w:r>
          </w:p>
        </w:tc>
        <w:tc>
          <w:tcPr>
            <w:tcW w:w="120" w:type="dxa"/>
            <w:vAlign w:val="bottom"/>
          </w:tcPr>
          <w:p>
            <w:pPr>
              <w:spacing w:after="0"/>
              <w:rPr>
                <w:sz w:val="21"/>
                <w:szCs w:val="21"/>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Africa</w:t>
            </w:r>
          </w:p>
        </w:tc>
        <w:tc>
          <w:tcPr>
            <w:tcW w:w="80" w:type="dxa"/>
            <w:vAlign w:val="bottom"/>
          </w:tcPr>
          <w:p>
            <w:pPr>
              <w:spacing w:after="0"/>
              <w:rPr>
                <w:sz w:val="21"/>
                <w:szCs w:val="21"/>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Korea</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Taiwan</w:t>
            </w:r>
          </w:p>
        </w:tc>
        <w:tc>
          <w:tcPr>
            <w:tcW w:w="1460" w:type="dxa"/>
            <w:vAlign w:val="bottom"/>
            <w:gridSpan w:val="6"/>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$ 69,058</w:t>
            </w: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52,172</w:t>
            </w:r>
          </w:p>
        </w:tc>
        <w:tc>
          <w:tcPr>
            <w:tcW w:w="80" w:type="dxa"/>
            <w:vAlign w:val="bottom"/>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$ 47,775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$ 42,765</w:t>
            </w:r>
          </w:p>
        </w:tc>
        <w:tc>
          <w:tcPr>
            <w:tcW w:w="80" w:type="dxa"/>
            <w:vAlign w:val="bottom"/>
            <w:shd w:val="clear" w:color="auto" w:fill="CCEEFF"/>
          </w:tcPr>
          <w:p>
            <w:pPr>
              <w:spacing w:after="0"/>
              <w:rPr>
                <w:sz w:val="18"/>
                <w:szCs w:val="18"/>
                <w:color w:val="auto"/>
              </w:rPr>
            </w:pPr>
          </w:p>
        </w:tc>
        <w:tc>
          <w:tcPr>
            <w:tcW w:w="7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$ 33,021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$ 32,515</w:t>
            </w: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55,290</w:t>
            </w: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2,918</w:t>
            </w:r>
          </w:p>
        </w:tc>
        <w:tc>
          <w:tcPr>
            <w:tcW w:w="80" w:type="dxa"/>
            <w:vAlign w:val="bottom"/>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$ 363,961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12,999</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8,988</w:t>
            </w:r>
          </w:p>
        </w:tc>
        <w:tc>
          <w:tcPr>
            <w:tcW w:w="9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8,755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8,374</w:t>
            </w:r>
          </w:p>
        </w:tc>
        <w:tc>
          <w:tcPr>
            <w:tcW w:w="2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6,441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44,975</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114,639</w:t>
            </w:r>
          </w:p>
        </w:tc>
        <w:tc>
          <w:tcPr>
            <w:tcW w:w="0" w:type="dxa"/>
            <w:vAlign w:val="bottom"/>
          </w:tcPr>
          <w:p>
            <w:pPr>
              <w:spacing w:after="0"/>
              <w:rPr>
                <w:sz w:val="1"/>
                <w:szCs w:val="1"/>
                <w:color w:val="auto"/>
              </w:rPr>
            </w:pPr>
          </w:p>
        </w:tc>
      </w:tr>
      <w:tr>
        <w:trPr>
          <w:trHeight w:val="201"/>
        </w:trPr>
        <w:tc>
          <w:tcPr>
            <w:tcW w:w="15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Other segment items</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27,023</w:t>
            </w:r>
          </w:p>
        </w:tc>
        <w:tc>
          <w:tcPr>
            <w:tcW w:w="8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28,235</w:t>
            </w:r>
          </w:p>
        </w:tc>
        <w:tc>
          <w:tcPr>
            <w:tcW w:w="900" w:type="dxa"/>
            <w:vAlign w:val="bottom"/>
            <w:gridSpan w:val="5"/>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22,156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19,985</w:t>
            </w:r>
          </w:p>
        </w:tc>
        <w:tc>
          <w:tcPr>
            <w:tcW w:w="20" w:type="dxa"/>
            <w:vAlign w:val="bottom"/>
            <w:shd w:val="clear" w:color="auto" w:fill="CCEEFF"/>
          </w:tcPr>
          <w:p>
            <w:pPr>
              <w:spacing w:after="0"/>
              <w:rPr>
                <w:sz w:val="17"/>
                <w:szCs w:val="17"/>
                <w:color w:val="auto"/>
              </w:rPr>
            </w:pPr>
          </w:p>
        </w:tc>
        <w:tc>
          <w:tcPr>
            <w:tcW w:w="82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15,321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13,705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8,536</w:t>
            </w:r>
          </w:p>
        </w:tc>
        <w:tc>
          <w:tcPr>
            <w:tcW w:w="82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174,515</w:t>
            </w:r>
          </w:p>
        </w:tc>
        <w:tc>
          <w:tcPr>
            <w:tcW w:w="0" w:type="dxa"/>
            <w:vAlign w:val="bottom"/>
          </w:tcPr>
          <w:p>
            <w:pPr>
              <w:spacing w:after="0"/>
              <w:rPr>
                <w:sz w:val="1"/>
                <w:szCs w:val="1"/>
                <w:color w:val="auto"/>
              </w:rPr>
            </w:pPr>
          </w:p>
        </w:tc>
      </w:tr>
      <w:tr>
        <w:trPr>
          <w:trHeight w:val="224"/>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w:t>
            </w:r>
          </w:p>
        </w:tc>
        <w:tc>
          <w:tcPr>
            <w:tcW w:w="7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00" w:type="dxa"/>
            <w:vAlign w:val="bottom"/>
            <w:gridSpan w:val="3"/>
            <w:vMerge w:val="continue"/>
            <w:shd w:val="clear" w:color="auto" w:fill="CCEEFF"/>
          </w:tcPr>
          <w:p>
            <w:pPr>
              <w:spacing w:after="0"/>
              <w:rPr>
                <w:sz w:val="19"/>
                <w:szCs w:val="19"/>
                <w:color w:val="auto"/>
              </w:rPr>
            </w:pPr>
          </w:p>
        </w:tc>
        <w:tc>
          <w:tcPr>
            <w:tcW w:w="900" w:type="dxa"/>
            <w:vAlign w:val="bottom"/>
            <w:gridSpan w:val="5"/>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4"/>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3"/>
            <w:vMerge w:val="continue"/>
            <w:shd w:val="clear" w:color="auto" w:fill="CCEEFF"/>
          </w:tcPr>
          <w:p>
            <w:pPr>
              <w:spacing w:after="0"/>
              <w:rPr>
                <w:sz w:val="19"/>
                <w:szCs w:val="19"/>
                <w:color w:val="auto"/>
              </w:rPr>
            </w:pPr>
          </w:p>
        </w:tc>
        <w:tc>
          <w:tcPr>
            <w:tcW w:w="82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4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$ 15,747</w:t>
            </w:r>
          </w:p>
        </w:tc>
        <w:tc>
          <w:tcPr>
            <w:tcW w:w="80" w:type="dxa"/>
            <w:vAlign w:val="bottom"/>
          </w:tcPr>
          <w:p>
            <w:pPr>
              <w:spacing w:after="0"/>
              <w:rPr>
                <w:sz w:val="20"/>
                <w:szCs w:val="20"/>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12,150</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$ 10,552</w:t>
            </w:r>
          </w:p>
        </w:tc>
        <w:tc>
          <w:tcPr>
            <w:tcW w:w="9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$ 11,854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4,662</w:t>
            </w:r>
          </w:p>
        </w:tc>
        <w:tc>
          <w:tcPr>
            <w:tcW w:w="20" w:type="dxa"/>
            <w:vAlign w:val="bottom"/>
          </w:tcPr>
          <w:p>
            <w:pPr>
              <w:spacing w:after="0"/>
              <w:rPr>
                <w:sz w:val="20"/>
                <w:szCs w:val="20"/>
                <w:color w:val="auto"/>
              </w:rPr>
            </w:pP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$ 10,753</w:t>
            </w: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9,690</w:t>
            </w:r>
          </w:p>
        </w:tc>
        <w:tc>
          <w:tcPr>
            <w:tcW w:w="5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1,779</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(2,380)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74,807</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0"/>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Nu Skin</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Rhyz</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Southeast Asia/ Mainland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7"/>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Europe &amp;</w:t>
            </w:r>
          </w:p>
        </w:tc>
        <w:tc>
          <w:tcPr>
            <w:tcW w:w="80" w:type="dxa"/>
            <w:vAlign w:val="bottom"/>
          </w:tcPr>
          <w:p>
            <w:pPr>
              <w:spacing w:after="0"/>
              <w:rPr>
                <w:sz w:val="16"/>
                <w:szCs w:val="16"/>
                <w:color w:val="auto"/>
              </w:rPr>
            </w:pPr>
          </w:p>
        </w:tc>
        <w:tc>
          <w:tcPr>
            <w:tcW w:w="74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South</w:t>
            </w:r>
          </w:p>
        </w:tc>
        <w:tc>
          <w:tcPr>
            <w:tcW w:w="940" w:type="dxa"/>
            <w:vAlign w:val="bottom"/>
            <w:gridSpan w:val="4"/>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Hong Kong/</w:t>
            </w:r>
          </w:p>
        </w:tc>
        <w:tc>
          <w:tcPr>
            <w:tcW w:w="100" w:type="dxa"/>
            <w:vAlign w:val="bottom"/>
            <w:gridSpan w:val="2"/>
          </w:tcPr>
          <w:p>
            <w:pPr>
              <w:spacing w:after="0"/>
              <w:rPr>
                <w:sz w:val="16"/>
                <w:szCs w:val="16"/>
                <w:color w:val="auto"/>
              </w:rPr>
            </w:pPr>
          </w:p>
        </w:tc>
        <w:tc>
          <w:tcPr>
            <w:tcW w:w="14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Manufacturing </w:t>
            </w:r>
            <w:r>
              <w:rPr>
                <w:rFonts w:ascii="Times New Roman" w:cs="Times New Roman" w:eastAsia="Times New Roman" w:hAnsi="Times New Roman"/>
                <w:sz w:val="29"/>
                <w:szCs w:val="29"/>
                <w:b w:val="1"/>
                <w:bCs w:val="1"/>
                <w:color w:val="auto"/>
                <w:w w:val="99"/>
                <w:vertAlign w:val="superscript"/>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Rhyz</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Pacific</w:t>
            </w:r>
          </w:p>
        </w:tc>
        <w:tc>
          <w:tcPr>
            <w:tcW w:w="120" w:type="dxa"/>
            <w:vAlign w:val="bottom"/>
          </w:tcPr>
          <w:p>
            <w:pPr>
              <w:spacing w:after="0"/>
              <w:rPr>
                <w:sz w:val="21"/>
                <w:szCs w:val="21"/>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Africa</w:t>
            </w:r>
          </w:p>
        </w:tc>
        <w:tc>
          <w:tcPr>
            <w:tcW w:w="80" w:type="dxa"/>
            <w:vAlign w:val="bottom"/>
          </w:tcPr>
          <w:p>
            <w:pPr>
              <w:spacing w:after="0"/>
              <w:rPr>
                <w:sz w:val="21"/>
                <w:szCs w:val="21"/>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Korea</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Taiwan</w:t>
            </w:r>
          </w:p>
        </w:tc>
        <w:tc>
          <w:tcPr>
            <w:tcW w:w="1460" w:type="dxa"/>
            <w:vAlign w:val="bottom"/>
            <w:gridSpan w:val="6"/>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$ 75,031</w:t>
            </w: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60,065</w:t>
            </w:r>
          </w:p>
        </w:tc>
        <w:tc>
          <w:tcPr>
            <w:tcW w:w="80" w:type="dxa"/>
            <w:vAlign w:val="bottom"/>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$ 61,067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$ 44,236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$ 42,273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$ 40,963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$ 12,231</w:t>
            </w:r>
          </w:p>
        </w:tc>
        <w:tc>
          <w:tcPr>
            <w:tcW w:w="80" w:type="dxa"/>
            <w:vAlign w:val="bottom"/>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$ 416,634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15,173</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10,582</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8,707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38,841</w:t>
            </w:r>
          </w:p>
        </w:tc>
        <w:tc>
          <w:tcPr>
            <w:tcW w:w="8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121,232</w:t>
            </w:r>
          </w:p>
        </w:tc>
        <w:tc>
          <w:tcPr>
            <w:tcW w:w="0" w:type="dxa"/>
            <w:vAlign w:val="bottom"/>
          </w:tcPr>
          <w:p>
            <w:pPr>
              <w:spacing w:after="0"/>
              <w:rPr>
                <w:sz w:val="1"/>
                <w:szCs w:val="1"/>
                <w:color w:val="auto"/>
              </w:rPr>
            </w:pPr>
          </w:p>
        </w:tc>
      </w:tr>
      <w:tr>
        <w:trPr>
          <w:trHeight w:val="201"/>
        </w:trPr>
        <w:tc>
          <w:tcPr>
            <w:tcW w:w="15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Other segment items</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33,808</w:t>
            </w:r>
          </w:p>
        </w:tc>
        <w:tc>
          <w:tcPr>
            <w:tcW w:w="8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38,232</w:t>
            </w:r>
          </w:p>
        </w:tc>
        <w:tc>
          <w:tcPr>
            <w:tcW w:w="82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26,877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17,454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9,494</w:t>
            </w:r>
          </w:p>
        </w:tc>
        <w:tc>
          <w:tcPr>
            <w:tcW w:w="80" w:type="dxa"/>
            <w:vAlign w:val="bottom"/>
            <w:shd w:val="clear" w:color="auto" w:fill="CCEEFF"/>
          </w:tcPr>
          <w:p>
            <w:pPr>
              <w:spacing w:after="0"/>
              <w:rPr>
                <w:sz w:val="17"/>
                <w:szCs w:val="17"/>
                <w:color w:val="auto"/>
              </w:rPr>
            </w:pPr>
          </w:p>
        </w:tc>
        <w:tc>
          <w:tcPr>
            <w:tcW w:w="82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226,232</w:t>
            </w:r>
          </w:p>
        </w:tc>
        <w:tc>
          <w:tcPr>
            <w:tcW w:w="0" w:type="dxa"/>
            <w:vAlign w:val="bottom"/>
          </w:tcPr>
          <w:p>
            <w:pPr>
              <w:spacing w:after="0"/>
              <w:rPr>
                <w:sz w:val="1"/>
                <w:szCs w:val="1"/>
                <w:color w:val="auto"/>
              </w:rPr>
            </w:pPr>
          </w:p>
        </w:tc>
      </w:tr>
      <w:tr>
        <w:trPr>
          <w:trHeight w:val="224"/>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w:t>
            </w:r>
          </w:p>
        </w:tc>
        <w:tc>
          <w:tcPr>
            <w:tcW w:w="7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00" w:type="dxa"/>
            <w:vAlign w:val="bottom"/>
            <w:gridSpan w:val="3"/>
            <w:vMerge w:val="continue"/>
            <w:shd w:val="clear" w:color="auto" w:fill="CCEEFF"/>
          </w:tcPr>
          <w:p>
            <w:pPr>
              <w:spacing w:after="0"/>
              <w:rPr>
                <w:sz w:val="19"/>
                <w:szCs w:val="19"/>
                <w:color w:val="auto"/>
              </w:rPr>
            </w:pPr>
          </w:p>
        </w:tc>
        <w:tc>
          <w:tcPr>
            <w:tcW w:w="820" w:type="dxa"/>
            <w:vAlign w:val="bottom"/>
            <w:gridSpan w:val="4"/>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4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$ 14,976</w:t>
            </w:r>
          </w:p>
        </w:tc>
        <w:tc>
          <w:tcPr>
            <w:tcW w:w="80" w:type="dxa"/>
            <w:vAlign w:val="bottom"/>
          </w:tcPr>
          <w:p>
            <w:pPr>
              <w:spacing w:after="0"/>
              <w:rPr>
                <w:sz w:val="20"/>
                <w:szCs w:val="20"/>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11,084</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$ 12,253</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$ 12,006</w:t>
            </w:r>
          </w:p>
        </w:tc>
        <w:tc>
          <w:tcPr>
            <w:tcW w:w="8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$ 12,183</w:t>
            </w:r>
          </w:p>
        </w:tc>
        <w:tc>
          <w:tcPr>
            <w:tcW w:w="80" w:type="dxa"/>
            <w:vAlign w:val="bottom"/>
          </w:tcPr>
          <w:p>
            <w:pPr>
              <w:spacing w:after="0"/>
              <w:rPr>
                <w:sz w:val="20"/>
                <w:szCs w:val="20"/>
                <w:color w:val="auto"/>
              </w:rPr>
            </w:pPr>
          </w:p>
        </w:tc>
        <w:tc>
          <w:tcPr>
            <w:tcW w:w="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7,367</w:t>
            </w:r>
          </w:p>
        </w:tc>
        <w:tc>
          <w:tcPr>
            <w:tcW w:w="80" w:type="dxa"/>
            <w:vAlign w:val="bottom"/>
          </w:tcPr>
          <w:p>
            <w:pPr>
              <w:spacing w:after="0"/>
              <w:rPr>
                <w:sz w:val="20"/>
                <w:szCs w:val="20"/>
                <w:color w:val="auto"/>
              </w:rPr>
            </w:pPr>
          </w:p>
        </w:tc>
        <w:tc>
          <w:tcPr>
            <w:tcW w:w="5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1,967</w:t>
            </w:r>
          </w:p>
        </w:tc>
        <w:tc>
          <w:tcPr>
            <w:tcW w:w="80" w:type="dxa"/>
            <w:vAlign w:val="bottom"/>
          </w:tcPr>
          <w:p>
            <w:pPr>
              <w:spacing w:after="0"/>
              <w:rPr>
                <w:sz w:val="20"/>
                <w:szCs w:val="20"/>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(5,942)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69,170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segment had $8.9 million and $8.6 million of intersegment revenue for the three months ended March 31, 2025 and 2024, respectively. Intersegment revenue is eliminated in the consolidated financial statements and in the table above.</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primarily include selling expenses and 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363,961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416,634</w:t>
            </w:r>
          </w:p>
        </w:tc>
        <w:tc>
          <w:tcPr>
            <w:tcW w:w="100" w:type="dxa"/>
            <w:vAlign w:val="bottom"/>
            <w:shd w:val="clear" w:color="auto" w:fill="CCEEFF"/>
          </w:tcPr>
          <w:p>
            <w:pPr>
              <w:spacing w:after="0"/>
              <w:rPr>
                <w:sz w:val="18"/>
                <w:szCs w:val="18"/>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Core Nu Skin Adjustments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r>
      <w:tr>
        <w:trPr>
          <w:trHeight w:val="257"/>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364,490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417,306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42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2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Contribution</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69,170</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(84,710)</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(60,348)</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7,325</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business</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(28,375)</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w:t>
            </w:r>
          </w:p>
        </w:tc>
      </w:tr>
      <w:tr>
        <w:trPr>
          <w:trHeight w:val="256"/>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280" w:type="dxa"/>
            <w:vAlign w:val="bottom"/>
          </w:tcPr>
          <w:p>
            <w:pPr>
              <w:spacing w:after="0"/>
              <w:rPr>
                <w:sz w:val="24"/>
                <w:szCs w:val="24"/>
                <w:color w:val="auto"/>
              </w:rPr>
            </w:pPr>
          </w:p>
        </w:tc>
        <w:tc>
          <w:tcPr>
            <w:tcW w:w="4400" w:type="dxa"/>
            <w:vAlign w:val="bottom"/>
          </w:tcPr>
          <w:p>
            <w:pPr>
              <w:jc w:val="right"/>
              <w:ind w:right="2908"/>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280" w:type="dxa"/>
            <w:vAlign w:val="bottom"/>
            <w:tcBorders>
              <w:bottom w:val="single" w:sz="8" w:color="auto"/>
            </w:tcBorders>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18,437</w:t>
            </w: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13,584</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w:t>
      </w:r>
    </w:p>
    <w:p>
      <w:pPr>
        <w:ind w:firstLine="8"/>
        <w:spacing w:after="0" w:line="260" w:lineRule="auto"/>
        <w:tabs>
          <w:tab w:leader="none" w:pos="2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spacing w:after="0" w:line="177"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2023, the Company adopted a strategic plan (“2023 Plan”) to focus resources on the Company’s global priorities and optimize future growth and profitability. The global program includes workforce reductions and fixed asset impairments associated with our consolidation of technology assets. Total charges under the program included approximately $27.9 million in cash charges of severance, approximately $1.0 million in other cash charges and approximately $38.8 million in non-cash charges, including approximately $36.6 million in fixed asset impairments. The Company has incurred all expected charges under the 2023 Plan, and anticipates making the remaining payments in the first half of 2025.</w:t>
      </w:r>
    </w:p>
    <w:p>
      <w:pPr>
        <w:spacing w:after="0" w:line="183" w:lineRule="exact"/>
        <w:rPr>
          <w:sz w:val="20"/>
          <w:szCs w:val="20"/>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2023, the Company incurred charges to be settled in cash of $10.0 million in severance charges. During the fourth quarter of 2023, the Company made cash payments of $0.3 million, leaving an ending restructuring accrual of $9.7 million.</w:t>
      </w:r>
    </w:p>
    <w:p>
      <w:pPr>
        <w:jc w:val="both"/>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2024, the Company incurred charges to be settled in cash of $4.1 million in severance charges and $2.0 million in other associated cost, and non-cash charges of $1.0 million in write-down of assets. During the first quarter of 2024, the Company made cash payments of $7.0 million, leaving an ending restructuring accrual of $8.8 million.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2024, the Company incurred charges to be settled in cash of $1.0 million in severance charges and $0.1 million in other cash charges. In the second quarter of 2024, the Company incurred non-cash charges of $7.2 million, consisting of $6.4 million in fixed asset impairments and $0.8 million in other asset write-downs. During the second quarter of 2024, the Company made cash payments of $2.8 million, leaving an ending restructuring accrual of $7.1 million.</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2024, the Company incurred no additional charges and made cash payments of $3.9 leaving an ending restructuring accrual of $3.2 million.</w:t>
      </w:r>
    </w:p>
    <w:p>
      <w:pPr>
        <w:jc w:val="both"/>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2024, the Company incurred charges to be settled in cash of $12.8 million in severance charges and $(1.1) million in other cash charges. In the fourth quarter of 2024, the Company incurred non-cash charges of $30.2 million of fixed asset impairments and $0.4 million of other non-cash charges. During the fourth quarter of 2024, the Company made cash payments of $8.7 million, leaving an ending restructuring accrual of $6.2 million.</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2025, the Company incurred no further charges, made cash payments of $4.7 million leaving an ending restructuring accrual of $1.5 million.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expense by segment – 2023 Plan</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620" w:type="dxa"/>
            <w:vAlign w:val="bottom"/>
          </w:tcPr>
          <w:p>
            <w:pPr>
              <w:spacing w:after="0"/>
              <w:rPr>
                <w:sz w:val="16"/>
                <w:szCs w:val="16"/>
                <w:color w:val="auto"/>
              </w:rPr>
            </w:pPr>
          </w:p>
        </w:tc>
        <w:tc>
          <w:tcPr>
            <w:tcW w:w="1380" w:type="dxa"/>
            <w:vAlign w:val="bottom"/>
            <w:gridSpan w:val="3"/>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6"/>
                <w:szCs w:val="16"/>
                <w:color w:val="auto"/>
              </w:rPr>
            </w:pPr>
          </w:p>
        </w:tc>
        <w:tc>
          <w:tcPr>
            <w:tcW w:w="1200" w:type="dxa"/>
            <w:vAlign w:val="bottom"/>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6"/>
                <w:szCs w:val="16"/>
                <w:color w:val="auto"/>
              </w:rPr>
            </w:pPr>
          </w:p>
        </w:tc>
        <w:tc>
          <w:tcPr>
            <w:tcW w:w="120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120" w:type="dxa"/>
            <w:vAlign w:val="bottom"/>
          </w:tcPr>
          <w:p>
            <w:pPr>
              <w:spacing w:after="0"/>
              <w:rPr>
                <w:sz w:val="21"/>
                <w:szCs w:val="21"/>
                <w:color w:val="auto"/>
              </w:rPr>
            </w:pPr>
          </w:p>
        </w:tc>
        <w:tc>
          <w:tcPr>
            <w:tcW w:w="10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4,169</w:t>
            </w: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Southeast Asia/Pacific</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2,948</w:t>
            </w: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Mainland China</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7,214</w:t>
            </w: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Europe &amp; Africa</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South Korea</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1,646</w:t>
            </w: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Hong Kong/Taiwan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w:t>
            </w: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19,735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Rhyz Other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1,080</w:t>
            </w: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w:t>
            </w: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32,887</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42,217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8,364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67,718</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 introductions and offerings, growth of our Rhyz business, acquisitions, and the integration of acquired companies, growth,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and beliefs regarding our markets and global economic conditions; statements regarding the payment of future dividends and stock repurchases; statements regarding the outcome of litigation, audits, investigations or other regulatory actions; statements regarding government policies and regulations relating to our industry, including government policies and regulations in or related to the United States and Mainland China; statements regarding tariffs and trade policies; accounting estimates and assumptions; statements of belief; and statements of assumptions underlying any of the foregoing. In some cases, you can identify these statements by forward-looking words such as “believe,” “expect,” “optimistic,” “project,” “anticipate,” “determine,” “estimate,”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these risks, see the risk factors included in our Annual Report on Form 10-K for the 2024 fiscal year and in any of our subsequent Securities and Exchange Commission filings, including this Quarterly Report.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should be read in conjunction with our consolidated financial statements and related notes and Management’s Discussion and Analysis included in our Annual Report on Form 10-K for the 2024 fiscal year, and our other reports filed with the Securities and Exchange Commission through the date of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three-month period ended March 31, 2025 decreased 12.7% to $364.5 million, compared to $417.3 million in the prior-year period. Our revenue in the first quarter of 2025 was negatively impacted 3.0% from foreign-currency fluctuations. Our Customers, Paid Affiliates and Sales Leaders declined 11%, 15% and 20%, respectively, on a year-over-year basis.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declines for the three-month period ended March 31, 2025 were largely driven by the continued macroeconomic challenges we’ve been facing in our markets, which have negatively impacted consumer spending and customer acquisition. In addition, while we continue to make progress on our long-term vision, we have experienced headwinds from the transformation process. Our priorities for 2025 focus on business model optimization, driven by the continued rollout of enhancements to our sales performance plan, the introduction of our next connected device the </w:t>
      </w:r>
      <w:r>
        <w:rPr>
          <w:rFonts w:ascii="Times New Roman" w:cs="Times New Roman" w:eastAsia="Times New Roman" w:hAnsi="Times New Roman"/>
          <w:sz w:val="18"/>
          <w:szCs w:val="18"/>
          <w:i w:val="1"/>
          <w:iCs w:val="1"/>
          <w:color w:val="auto"/>
        </w:rPr>
        <w:t>Prysm iO</w:t>
      </w:r>
      <w:r>
        <w:rPr>
          <w:rFonts w:ascii="Times New Roman" w:cs="Times New Roman" w:eastAsia="Times New Roman" w:hAnsi="Times New Roman"/>
          <w:sz w:val="18"/>
          <w:szCs w:val="18"/>
          <w:color w:val="auto"/>
        </w:rPr>
        <w:t xml:space="preserve"> and business expansion into India. We are currently anticipating nominal revenue from our fourth quarter India market pre-opening, as we are preparing for the formal launch in mid-2026.</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per share for the first quarter of 2025 increased to $2.14, compared to $(0.01) in the prior-year period. The increase in earnings per share for the quarter is primarily driven by the sale of our Mavely business, which generated a pre-tax gain of approximately $176.2 million, partially offset by the associated taxes, an intangible impairment of $25.1 million in our Rhyz Other segment, a non-cash loss on investment of $28.1 million and the decline in revenue.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business in nine segments to reflect our current management approach. These segments consist of our seven geographic Nu Skin segments—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 Mainland China, Southeast Asia/Pacific, Japan, Europe &amp; Africa, South Korea and Hong Kong/Taiwan—and our two Rhyz segments—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and Rhyz Other. The Nu Skin Other category includes miscellaneous corporate revenue and related adjustments.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revenue for the three-month periods ended March 31, 2025 and 2024 for each of our reportable segments (U.S.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Constant-</w:t>
            </w:r>
          </w:p>
        </w:tc>
      </w:t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23"/>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6"/>
                <w:szCs w:val="16"/>
                <w:b w:val="1"/>
                <w:bCs w:val="1"/>
                <w:color w:val="auto"/>
              </w:rPr>
              <w:t>Change</w:t>
            </w:r>
            <w:r>
              <w:rPr>
                <w:rFonts w:ascii="Times New Roman" w:cs="Times New Roman" w:eastAsia="Times New Roman" w:hAnsi="Times New Roman"/>
                <w:sz w:val="25"/>
                <w:szCs w:val="25"/>
                <w:b w:val="1"/>
                <w:bCs w:val="1"/>
                <w:color w:val="auto"/>
                <w:vertAlign w:val="superscript"/>
              </w:rPr>
              <w:t>(1)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69,058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75,031</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52,172</w:t>
            </w:r>
          </w:p>
        </w:tc>
        <w:tc>
          <w:tcPr>
            <w:tcW w:w="3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60,065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47,775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61,067</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42,765</w:t>
            </w:r>
          </w:p>
        </w:tc>
        <w:tc>
          <w:tcPr>
            <w:tcW w:w="3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44,236</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33,021</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42,273</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32,515</w:t>
            </w:r>
          </w:p>
        </w:tc>
        <w:tc>
          <w:tcPr>
            <w:tcW w:w="3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40,963</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28,447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30,466</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w:t>
            </w:r>
          </w:p>
        </w:tc>
        <w:tc>
          <w:tcPr>
            <w:tcW w:w="3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306,282</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354,773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55,290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50,302</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12,231</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23"/>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58,208</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62,533</w:t>
            </w:r>
          </w:p>
        </w:tc>
        <w:tc>
          <w:tcPr>
            <w:tcW w:w="2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364,490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417,306</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Constant-currency revenue change is a non-GAAP financial measure. See “Non-GAAP Financial Measures,” below.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tables below set forth summarized financial information for each of our reportable segments for the three-month periods ended March 31, 2025 and 2024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For additional information regarding our segments and the calculation of segment contribution, see Note 11 to the consolidated financial statements contained in this report.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1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 Skin</w:t>
            </w: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Rhyz</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Southeast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Europe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Hong</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Asia /</w:t>
            </w:r>
          </w:p>
        </w:tc>
        <w:tc>
          <w:tcPr>
            <w:tcW w:w="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Mainland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&amp;</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South</w:t>
            </w: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Kong /</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Rhyz</w:t>
            </w: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Pacific</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20" w:type="dxa"/>
            <w:vAlign w:val="bottom"/>
          </w:tcPr>
          <w:p>
            <w:pPr>
              <w:spacing w:after="0"/>
              <w:rPr>
                <w:sz w:val="21"/>
                <w:szCs w:val="21"/>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Africa</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Korea</w:t>
            </w: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Taiwan</w:t>
            </w:r>
          </w:p>
        </w:tc>
        <w:tc>
          <w:tcPr>
            <w:tcW w:w="40" w:type="dxa"/>
            <w:vAlign w:val="bottom"/>
          </w:tcPr>
          <w:p>
            <w:pPr>
              <w:spacing w:after="0"/>
              <w:rPr>
                <w:sz w:val="21"/>
                <w:szCs w:val="21"/>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$ 42,765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$ 33,021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$ 32,515</w:t>
            </w: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$ 28,447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$ 363,961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8,988</w:t>
            </w:r>
          </w:p>
        </w:tc>
        <w:tc>
          <w:tcPr>
            <w:tcW w:w="9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8,755</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8,374</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6,441</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5,052</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44,975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114,639</w:t>
            </w: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segment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35,545</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27,023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28,235</w:t>
            </w:r>
          </w:p>
        </w:tc>
        <w:tc>
          <w:tcPr>
            <w:tcW w:w="9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22,156</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19,985</w:t>
            </w:r>
          </w:p>
        </w:tc>
        <w:tc>
          <w:tcPr>
            <w:tcW w:w="9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15,321</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13,705</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8,536</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4,009</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174,515</w:t>
            </w:r>
          </w:p>
        </w:tc>
        <w:tc>
          <w:tcPr>
            <w:tcW w:w="0" w:type="dxa"/>
            <w:vAlign w:val="bottom"/>
          </w:tcPr>
          <w:p>
            <w:pPr>
              <w:spacing w:after="0"/>
              <w:rPr>
                <w:sz w:val="1"/>
                <w:szCs w:val="1"/>
                <w:color w:val="auto"/>
              </w:rPr>
            </w:pPr>
          </w:p>
        </w:tc>
      </w:tr>
      <w:tr>
        <w:trPr>
          <w:trHeight w:val="198"/>
        </w:trPr>
        <w:tc>
          <w:tcPr>
            <w:tcW w:w="156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200" w:type="dxa"/>
            <w:vAlign w:val="bottom"/>
          </w:tcPr>
          <w:p>
            <w:pPr>
              <w:spacing w:after="0"/>
              <w:rPr>
                <w:sz w:val="20"/>
                <w:szCs w:val="20"/>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12,150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10,552</w:t>
            </w:r>
          </w:p>
        </w:tc>
        <w:tc>
          <w:tcPr>
            <w:tcW w:w="9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$ 11,854</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4,662</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$ 10,753</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9,690</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1,779</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74,807</w:t>
            </w: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as 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percentage of</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22.1%</w:t>
            </w:r>
          </w:p>
        </w:tc>
        <w:tc>
          <w:tcPr>
            <w:tcW w:w="920" w:type="dxa"/>
            <w:vAlign w:val="bottom"/>
            <w:gridSpan w:val="5"/>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27.7%</w:t>
            </w:r>
          </w:p>
        </w:tc>
        <w:tc>
          <w:tcPr>
            <w:tcW w:w="8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14.1%</w:t>
            </w:r>
          </w:p>
        </w:tc>
        <w:tc>
          <w:tcPr>
            <w:tcW w:w="92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33.1%</w:t>
            </w:r>
          </w:p>
        </w:tc>
        <w:tc>
          <w:tcPr>
            <w:tcW w:w="8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34.1%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(81.6)%</w:t>
            </w:r>
          </w:p>
        </w:tc>
        <w:tc>
          <w:tcPr>
            <w:tcW w:w="12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20.6%</w:t>
            </w: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920" w:type="dxa"/>
            <w:vAlign w:val="bottom"/>
            <w:gridSpan w:val="5"/>
            <w:vMerge w:val="continue"/>
            <w:shd w:val="clear" w:color="auto" w:fill="CCEEFF"/>
          </w:tcPr>
          <w:p>
            <w:pPr>
              <w:spacing w:after="0"/>
              <w:rPr>
                <w:sz w:val="20"/>
                <w:szCs w:val="20"/>
                <w:color w:val="auto"/>
              </w:rPr>
            </w:pPr>
          </w:p>
        </w:tc>
        <w:tc>
          <w:tcPr>
            <w:tcW w:w="840" w:type="dxa"/>
            <w:vAlign w:val="bottom"/>
            <w:gridSpan w:val="3"/>
            <w:vMerge w:val="continue"/>
            <w:shd w:val="clear" w:color="auto" w:fill="CCEEFF"/>
          </w:tcPr>
          <w:p>
            <w:pPr>
              <w:spacing w:after="0"/>
              <w:rPr>
                <w:sz w:val="20"/>
                <w:szCs w:val="20"/>
                <w:color w:val="auto"/>
              </w:rPr>
            </w:pPr>
          </w:p>
        </w:tc>
        <w:tc>
          <w:tcPr>
            <w:tcW w:w="920" w:type="dxa"/>
            <w:vAlign w:val="bottom"/>
            <w:gridSpan w:val="4"/>
            <w:vMerge w:val="continue"/>
            <w:shd w:val="clear" w:color="auto" w:fill="CCEEFF"/>
          </w:tcPr>
          <w:p>
            <w:pPr>
              <w:spacing w:after="0"/>
              <w:rPr>
                <w:sz w:val="20"/>
                <w:szCs w:val="20"/>
                <w:color w:val="auto"/>
              </w:rPr>
            </w:pPr>
          </w:p>
        </w:tc>
        <w:tc>
          <w:tcPr>
            <w:tcW w:w="84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 Skin</w:t>
            </w: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Rhyz</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4"/>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Southeast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Europe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Hong</w:t>
            </w:r>
          </w:p>
        </w:tc>
        <w:tc>
          <w:tcPr>
            <w:tcW w:w="2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Asia /</w:t>
            </w:r>
          </w:p>
        </w:tc>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Mainland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&amp;</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South</w:t>
            </w: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Kong /</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Rhyz</w:t>
            </w: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1560" w:type="dxa"/>
            <w:vAlign w:val="bottom"/>
          </w:tcPr>
          <w:p>
            <w:pPr>
              <w:spacing w:after="0"/>
              <w:rPr>
                <w:sz w:val="21"/>
                <w:szCs w:val="21"/>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Pacific</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7"/>
              </w:rPr>
              <w:t>China</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20" w:type="dxa"/>
            <w:vAlign w:val="bottom"/>
          </w:tcPr>
          <w:p>
            <w:pPr>
              <w:spacing w:after="0"/>
              <w:rPr>
                <w:sz w:val="21"/>
                <w:szCs w:val="2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Africa</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Korea</w:t>
            </w: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Taiwan</w:t>
            </w: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$ 44,236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$ 42,273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$ 40,963</w:t>
            </w:r>
          </w:p>
        </w:tc>
        <w:tc>
          <w:tcPr>
            <w:tcW w:w="2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$ 30,466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$ 416,634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10,582</w:t>
            </w:r>
          </w:p>
        </w:tc>
        <w:tc>
          <w:tcPr>
            <w:tcW w:w="18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8,707</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2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2,621</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121,232</w:t>
            </w: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segment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40,709</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33,808</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38,232</w:t>
            </w:r>
          </w:p>
        </w:tc>
        <w:tc>
          <w:tcPr>
            <w:tcW w:w="18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23,523</w:t>
            </w:r>
          </w:p>
        </w:tc>
        <w:tc>
          <w:tcPr>
            <w:tcW w:w="2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2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20,583</w:t>
            </w: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17,454</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15,552</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226,232</w:t>
            </w:r>
          </w:p>
        </w:tc>
        <w:tc>
          <w:tcPr>
            <w:tcW w:w="0" w:type="dxa"/>
            <w:vAlign w:val="bottom"/>
          </w:tcPr>
          <w:p>
            <w:pPr>
              <w:spacing w:after="0"/>
              <w:rPr>
                <w:sz w:val="1"/>
                <w:szCs w:val="1"/>
                <w:color w:val="auto"/>
              </w:rPr>
            </w:pPr>
          </w:p>
        </w:tc>
      </w:tr>
      <w:tr>
        <w:trPr>
          <w:trHeight w:val="198"/>
        </w:trPr>
        <w:tc>
          <w:tcPr>
            <w:tcW w:w="156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24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12,253</w:t>
            </w:r>
          </w:p>
        </w:tc>
        <w:tc>
          <w:tcPr>
            <w:tcW w:w="180" w:type="dxa"/>
            <w:vAlign w:val="bottom"/>
          </w:tcPr>
          <w:p>
            <w:pPr>
              <w:spacing w:after="0"/>
              <w:rPr>
                <w:sz w:val="20"/>
                <w:szCs w:val="20"/>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$ 12,006</w:t>
            </w:r>
          </w:p>
        </w:tc>
        <w:tc>
          <w:tcPr>
            <w:tcW w:w="2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3,276</w:t>
            </w:r>
          </w:p>
        </w:tc>
        <w:tc>
          <w:tcPr>
            <w:tcW w:w="2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$ 12,183</w:t>
            </w:r>
          </w:p>
        </w:tc>
        <w:tc>
          <w:tcPr>
            <w:tcW w:w="2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7,367</w:t>
            </w:r>
          </w:p>
        </w:tc>
        <w:tc>
          <w:tcPr>
            <w:tcW w:w="18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00" w:type="dxa"/>
            <w:vAlign w:val="bottom"/>
          </w:tcPr>
          <w:p>
            <w:pPr>
              <w:spacing w:after="0"/>
              <w:rPr>
                <w:sz w:val="20"/>
                <w:szCs w:val="20"/>
                <w:color w:val="auto"/>
              </w:rPr>
            </w:pP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69,170</w:t>
            </w: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as 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percentage of</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20.1%</w:t>
            </w:r>
          </w:p>
        </w:tc>
        <w:tc>
          <w:tcPr>
            <w:tcW w:w="920" w:type="dxa"/>
            <w:vAlign w:val="bottom"/>
            <w:gridSpan w:val="5"/>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27.1%</w:t>
            </w:r>
          </w:p>
        </w:tc>
        <w:tc>
          <w:tcPr>
            <w:tcW w:w="8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7.7%</w:t>
            </w:r>
          </w:p>
        </w:tc>
        <w:tc>
          <w:tcPr>
            <w:tcW w:w="92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29.7%</w:t>
            </w:r>
          </w:p>
        </w:tc>
        <w:tc>
          <w:tcPr>
            <w:tcW w:w="8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24.2%</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(48.6)%</w:t>
            </w:r>
          </w:p>
        </w:tc>
        <w:tc>
          <w:tcPr>
            <w:tcW w:w="12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16.6%</w:t>
            </w: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920" w:type="dxa"/>
            <w:vAlign w:val="bottom"/>
            <w:gridSpan w:val="5"/>
            <w:vMerge w:val="continue"/>
            <w:shd w:val="clear" w:color="auto" w:fill="CCEEFF"/>
          </w:tcPr>
          <w:p>
            <w:pPr>
              <w:spacing w:after="0"/>
              <w:rPr>
                <w:sz w:val="20"/>
                <w:szCs w:val="20"/>
                <w:color w:val="auto"/>
              </w:rPr>
            </w:pPr>
          </w:p>
        </w:tc>
        <w:tc>
          <w:tcPr>
            <w:tcW w:w="840" w:type="dxa"/>
            <w:vAlign w:val="bottom"/>
            <w:gridSpan w:val="3"/>
            <w:vMerge w:val="continue"/>
            <w:shd w:val="clear" w:color="auto" w:fill="CCEEFF"/>
          </w:tcPr>
          <w:p>
            <w:pPr>
              <w:spacing w:after="0"/>
              <w:rPr>
                <w:sz w:val="20"/>
                <w:szCs w:val="20"/>
                <w:color w:val="auto"/>
              </w:rPr>
            </w:pPr>
          </w:p>
        </w:tc>
        <w:tc>
          <w:tcPr>
            <w:tcW w:w="920" w:type="dxa"/>
            <w:vAlign w:val="bottom"/>
            <w:gridSpan w:val="4"/>
            <w:vMerge w:val="continue"/>
            <w:shd w:val="clear" w:color="auto" w:fill="CCEEFF"/>
          </w:tcPr>
          <w:p>
            <w:pPr>
              <w:spacing w:after="0"/>
              <w:rPr>
                <w:sz w:val="20"/>
                <w:szCs w:val="20"/>
                <w:color w:val="auto"/>
              </w:rPr>
            </w:pPr>
          </w:p>
        </w:tc>
        <w:tc>
          <w:tcPr>
            <w:tcW w:w="84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336"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336"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the number of Customers, Paid Affiliates and Sales Leaders in our core Nu Skin business for the three-month periods ended March 31, 2025 and 2024.</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Leaders” are the three-month average of our monthly Brand Affiliates, as well as sales employees and independent marketers in Mainland China, who achieved certain qualification requirements as of the end of each month of the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6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36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36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36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4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227,514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199,399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4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74,584</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93,411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4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122,474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162,239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4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107,742</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108,808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4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130,154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163,481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4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71,721</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100,230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3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47,693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368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Customers</w:t>
            </w:r>
          </w:p>
        </w:tc>
        <w:tc>
          <w:tcPr>
            <w:tcW w:w="3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776,712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875,261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6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Paid Affiliates</w:t>
            </w:r>
          </w:p>
        </w:tc>
        <w:tc>
          <w:tcPr>
            <w:tcW w:w="3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4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26,936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29,081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4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22,296</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29,778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4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19,859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24,405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4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21,073</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21,679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4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18,313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4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16,548</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20,594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3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368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Paid Affiliates</w:t>
            </w:r>
          </w:p>
        </w:tc>
        <w:tc>
          <w:tcPr>
            <w:tcW w:w="3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131,518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6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Leaders</w:t>
            </w:r>
          </w:p>
        </w:tc>
        <w:tc>
          <w:tcPr>
            <w:tcW w:w="3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4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4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4,542</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4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4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6,210</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4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4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2,850</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3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368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Sales Leaders</w:t>
            </w:r>
          </w:p>
        </w:tc>
        <w:tc>
          <w:tcPr>
            <w:tcW w:w="3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38,609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570"/>
        </w:trPr>
        <w:tc>
          <w:tcPr>
            <w:tcW w:w="3680" w:type="dxa"/>
            <w:vAlign w:val="bottom"/>
          </w:tcPr>
          <w:p>
            <w:pPr>
              <w:spacing w:after="0"/>
              <w:rPr>
                <w:sz w:val="24"/>
                <w:szCs w:val="24"/>
                <w:color w:val="auto"/>
              </w:rPr>
            </w:pPr>
          </w:p>
        </w:tc>
        <w:tc>
          <w:tcPr>
            <w:tcW w:w="3600" w:type="dxa"/>
            <w:vAlign w:val="bottom"/>
          </w:tcPr>
          <w:p>
            <w:pPr>
              <w:jc w:val="right"/>
              <w:ind w:right="1491"/>
              <w:spacing w:after="0"/>
              <w:rPr>
                <w:sz w:val="20"/>
                <w:szCs w:val="20"/>
                <w:color w:val="auto"/>
              </w:rPr>
            </w:pPr>
            <w:r>
              <w:rPr>
                <w:rFonts w:ascii="Times New Roman" w:cs="Times New Roman" w:eastAsia="Times New Roman" w:hAnsi="Times New Roman"/>
                <w:sz w:val="14"/>
                <w:szCs w:val="14"/>
                <w:color w:val="auto"/>
              </w:rPr>
              <w:t>20</w:t>
            </w: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
        </w:trPr>
        <w:tc>
          <w:tcPr>
            <w:tcW w:w="368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narrative discussion of our results in each segment, which supplements the tables above.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The results in our Americas segment reflect a continued decline in our North America markets, while our Latin America markets grew year-over-year. We also introduced enhancements to the sales performance plan in North America starting in November 2024, which has caused disruption as our sales force adapts to the enhancements. In addition, our reported revenue reflects a negative impact from unfavorable foreign currency fluctuations of 6.7% for the first quarter of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2024, we launched our developing market strategy in Argentina, with a revised operating model with a focused product portfolio and modified business model that has enabled us to reach a broader demographic. During early 2025, we continued to roll out this strategy in additional Latin America markets. For the first quarter of 2025, our Latin America markets revenue increased from $8.9 million to $21.8 million, a 144% increase; in addition, Latin America Customers increased 133%, Paid Affiliates increased 40%, and Sales Leaders increased 62%.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year-over-year increase in segment contribution primarily reflects increased profitability in Latin America, partially offset by the overall decline in 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Southeast Asia/Pacific</w:t>
      </w:r>
      <w:r>
        <w:rPr>
          <w:rFonts w:ascii="Times New Roman" w:cs="Times New Roman" w:eastAsia="Times New Roman" w:hAnsi="Times New Roman"/>
          <w:sz w:val="18"/>
          <w:szCs w:val="18"/>
          <w:color w:val="auto"/>
        </w:rPr>
        <w:t>. The decline in revenue, Customers, Paid Affiliates and Sales Leaders for the first quarter of 2025 is partially attributable to slowing momentum from the general macroeconomic factors in the markets. We continued to see stabilization in many of our markets, but our Indonesia market remained challenging.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year-over-year increase in segment contribution is primarily attributable to a 2.3 percentage point decrease in selling expenses as a percentage of revenue and a 2.1 percentage point decrease in general and administrative expenses as a percentage of revenue attributable to cost savings efforts during 2025 all partially offset by the decline in revenue.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Mainland China</w:t>
      </w:r>
      <w:r>
        <w:rPr>
          <w:rFonts w:ascii="Times New Roman" w:cs="Times New Roman" w:eastAsia="Times New Roman" w:hAnsi="Times New Roman"/>
          <w:sz w:val="18"/>
          <w:szCs w:val="18"/>
          <w:color w:val="auto"/>
        </w:rPr>
        <w:t>. Our Mainland China market continued to be challenged during the first quarter of 2025, with ongoing macroeconomic factors, the associated decrease in consumer spending and a negative sentiment towards U.S. brands leading to declines in 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year-over-year decrease in segment contribution for the first quarter of 2025 primarily reflects lower revenue and a 1.5 percentage point decrease in gross margin attributable to pressure from fixed cost in cost of sales on depressed revenue, partially offset by a 3.0 percentage point decrease in selling expense as a percent of revenue.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Japan</w:t>
      </w:r>
      <w:r>
        <w:rPr>
          <w:rFonts w:ascii="Times New Roman" w:cs="Times New Roman" w:eastAsia="Times New Roman" w:hAnsi="Times New Roman"/>
          <w:sz w:val="18"/>
          <w:szCs w:val="18"/>
          <w:color w:val="auto"/>
        </w:rPr>
        <w:t>. The 3.3% decline in revenue is primarily attributable to a 2.5% negative impact from unfavorable foreign-currency fluctuations as well as consumer inflationary pressures which depressed spending. On a local currency basis, revenue decreased 0.8%.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decline in segment contribution reflects the decreased revenue, partially offset by a 1.4 percentage point decline in selling expenses.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Europe &amp; Africa</w:t>
      </w:r>
      <w:r>
        <w:rPr>
          <w:rFonts w:ascii="Times New Roman" w:cs="Times New Roman" w:eastAsia="Times New Roman" w:hAnsi="Times New Roman"/>
          <w:sz w:val="18"/>
          <w:szCs w:val="18"/>
          <w:color w:val="auto"/>
        </w:rPr>
        <w:t>. The reduction in revenue, Customers, Paid Affiliates and Sales Leaders reflects the softening of momentum, as well as the macroeconomic factors that have led to a decline in the purchasing power of our customers. We introduced enhancements to the sales performance plan in Europe &amp; Africa starting in March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year-over-year increase in segment contribution reflects the cost-saving efforts in the segment which benefited gross margin through automation and other initiatives, which resulted in a 3.3 percentage point increase in gross margin. In addition, selling expenses as a percent of revenue decreased 3.3 percentage points primarily from higher sales force events cost in the first quarter of 2024, partially offset by the decline in revenue.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South Korea</w:t>
      </w:r>
      <w:r>
        <w:rPr>
          <w:rFonts w:ascii="Times New Roman" w:cs="Times New Roman" w:eastAsia="Times New Roman" w:hAnsi="Times New Roman"/>
          <w:sz w:val="18"/>
          <w:szCs w:val="18"/>
          <w:color w:val="auto"/>
        </w:rPr>
        <w:t>. Our South Korea market was challenged by difficult macroeconomic trends, including inflationary pressures, political instability, and our associated price increases which negatively impacted our revenue, Customers, Paid Affiliates and Sales Leaders for the quarter ended March 31, 2025. During the fourth quarter of 2024, we introduced our enhancements to the sales performance plan in South Korea.</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year-over-year decline in segment contribution primarily reflects the decline in revenue partially offset by a 3.0 percentage point decrease in general and administrative expenses from our cost saving efforts.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Hong Kong/Taiwan</w:t>
      </w:r>
      <w:r>
        <w:rPr>
          <w:rFonts w:ascii="Times New Roman" w:cs="Times New Roman" w:eastAsia="Times New Roman" w:hAnsi="Times New Roman"/>
          <w:sz w:val="18"/>
          <w:szCs w:val="18"/>
          <w:color w:val="auto"/>
        </w:rPr>
        <w:t>. The declines in our Hong Kong/Taiwan segment for the first quarter of 2025 are attributable to macroeconomic issues, which are resulting in less purchasing power for our consumers.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segment contribution was primarily driven by a 3.8 percentage point decrease in selling expenses and a 5.3 percentage point decrease in general and administrative expense from our recent cost saving efforts, partially offset by the decline in revenue.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Our Manufacturing segment revenue increased 9.9% for the first quarter of 2025, primarily driven by our Elevate Manufacturing entity.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segment contribution for the first quarter of 2025 is primarily from the revenue mix amongst our manufacturing entities as well as product mix, which resulted in less profitability for the periods presented.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Rhyz Other</w:t>
      </w:r>
      <w:r>
        <w:rPr>
          <w:rFonts w:ascii="Times New Roman" w:cs="Times New Roman" w:eastAsia="Times New Roman" w:hAnsi="Times New Roman"/>
          <w:sz w:val="18"/>
          <w:szCs w:val="18"/>
          <w:color w:val="auto"/>
        </w:rPr>
        <w:t>. The decrease in revenue of our Rhyz Other segment is primarily driven by the January 2, 2025 sale of Mavely, Mavely recognized $7.0 million of revenue in the first quarter of 2024. In addition, our BeautyBio entity remains challenging, with a 72% decline in revenue as we look to change the strategy to minimize future losses and position the brand for growth.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segment contribution is primarily from the sale of Mavely, which operated at a loss during the first quarter of 2024, as well as our cost saving efforts at BeautyBio, which had smaller losses for the first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the three-month period ended March 31, 2025 decreased 12.7% to $364.5 million, compared to $417.3 million in the prior-year period. For a discussion and analysis of this decrease in revenue, see “Overview” and “Segment Results,”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as a percentage of revenue was 67.8% for the first quarter of 2025 compared to 70.5% for the prior-year period. The gross margin of our core Nu Skin business decreased 0.2 percentage points to 76.7%. Our gross margin was also impacted by the gross margin of our owned manufacturing entities, which as previously disclosed, is significantly lower than the gross margin of our core Nu Skin business. With the year-over-year growth within our Manufacturing segment, their revenue represented a higher proportion of our overall consolidated revenue for the quarter.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monitor macroeconomic trends and uncertainties related to international trade relations and trade policy, including those related to tariffs. Incremental tariffs did not have a significant impact on our financial results for the first quarter of 2025 but could adversely impact our results in the future. While we remain focused on mitigating the impact of the tariffs, we currently estimate up to $5 million of incremental cost pressure for the remainder of 2025. We continue to monitor and plan to take proactive measures to minimize the potential impact.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expenses as a percentage of revenue was 32.5% for the first quarter of 2025, compared to 36.8% for the prior-year period. Selling expenses for our core Nu Skin business as a percentage of revenue decreased 3.0 percentage points to 38.7% for the first quarter of 2025. Selling expenses for our core Nu Skin business are driven by the specific performance of our individual Sales Leaders. Given the size of our sales force and the various components of our compensation and incentive programs, selling expenses as a percentage of revenue typically approximates 40% and fluctuates plus or minus approximately 100 basis points from period to period. Our first quarter of 2025 core Nu Skin selling expenses decrease is partially attributable to the sequential decline in revenue and Sales Leaders, which resulted in a decline in those qualifying for increased sales compensation. In addition, approximately 0.7 percentage points of the decline in selling expenses as a percentage of revenue are attributable to the January 2, 2025 sale of Mavely.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and administrative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to $113.2 million in the first quarter of 2025, compared to $124.6 million in the prior-year period. The $11.4 million decline is primarily from a $5.6 million contraction in labor expenses, $2.4 million from Mavely and a decrease in promotional expenses in connection with our prior year product launches. General and administrative expenses as a percentage of revenue increased to 31.1% for the first quarter of 2025 from 29.9% for the prior-year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and impairment expenses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2023 restructuring plan.</w:t>
      </w:r>
      <w:r>
        <w:rPr>
          <w:rFonts w:ascii="Times New Roman" w:cs="Times New Roman" w:eastAsia="Times New Roman" w:hAnsi="Times New Roman"/>
          <w:sz w:val="18"/>
          <w:szCs w:val="18"/>
          <w:color w:val="auto"/>
        </w:rPr>
        <w:t xml:space="preserve"> In the fourth quarter of 2023, we adopted a strategic plan to focus resources on our global priorities and optimize future growth and profitability. The global program includes workforce reductions and fixed asset impairments associated with our consolidation of technology assets. Total charges under the program included approximately $27.9 million in cash charges of severance, approximately $1.0 million in other cash charges and approximately $38.8 million in non-cash charges, including approximately $36.6 million in fixed asset impairments. We have incurred all expected charges under the 2023 plan and anticipate making the remaining payments in the first half of 2025. During the fourth quarter of 2023, we incurred charges to be settled in cash of $10.0 million in severance charges. During the first quarter of 2024, we incurred charges to be settled in cash of $4.1 million in severance charges and $2.0 million in other associated cost, and non-cash charges of $1.0 million in write-down of assets. During the second quarter of 2024, we incurred charges to be settled in cash of $1.0 million in severance charges and $0.1 million in other cash charges, and non-cash charges of $6.4 million in fixed asset impairments and $0.8 million in other write-downs. In the fourth quarter of 2024, we incurred charges to be settled in cash of $12.8 million in severance charges and $(1.1) million in other cash charges, and non-cash charges of $30.2 million of fixed asset impairments and $0.4 million of other non-cash charges. During the first quarter of 2025, we incurred no further charges.</w:t>
      </w:r>
    </w:p>
    <w:p>
      <w:pPr>
        <w:sectPr>
          <w:pgSz w:w="11900" w:h="16838" w:orient="portrait"/>
          <w:cols w:equalWidth="0" w:num="1">
            <w:col w:w="11240"/>
          </w:cols>
          <w:pgMar w:left="320" w:top="115"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Intangibles and fixed asset impairment.</w:t>
      </w:r>
      <w:r>
        <w:rPr>
          <w:rFonts w:ascii="Times New Roman" w:cs="Times New Roman" w:eastAsia="Times New Roman" w:hAnsi="Times New Roman"/>
          <w:sz w:val="18"/>
          <w:szCs w:val="18"/>
          <w:color w:val="auto"/>
        </w:rPr>
        <w:t xml:space="preserve"> During the three months ended March 31, 2025, we determined that the continued operating losses, further decline in forecasted revenue and an overall change in strategy associated with our BeautyBio asset groups were an interim triggering event that required us to perform an interim impairment analysis on our BeautyBio asset groups. We assessed the recoverability of the related asset groups comparing the carrying value to the undiscounted cash flows expected to be generated. The recoverability test indicated the asset groups were impaired. We concluded that the carrying value of the asset groups exceeded the estimated fair value which resulted in an impairment charge of $25.1 million in our Rhyz Other segment during the three months ended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decreased to $3.3 million in the first quarter of 2025, compared to $7.3 million in the prior-year period. The decrease in interest expense was primarily due to the debt payments made in the first quarter of 2025 using a portion of the proceeds from the Mavely sale. Our interest rate swap arrangements that we entered into in 2020 have a maturity date of July 31, 2025, at which time our effective interest rate will increase.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Gain on sale of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we completed the sale of our Mavely entity for $230 million in cash and shares of the purchaser’s common stock, subject to certain adjustments as set forth in the purchase agreement, including post-closing determination of net working capital and other elements of purchase price. Following the completion of certain payments to other equity holders in Mavely, we received $193.7 million of cash and equity interest with an estimated fair value of $6.1 million. Approximately $4.4 million of additional payments are expected to be received following the finalization of net working capital. In the first quarter of 2025, we recorded a pre-tax gain on disposition of $176.2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expense,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net for the first quarter of 2025 was $28.4 million compared to $0.4 million for the first quarter of 2024. The increase in other expense for the first quarter of 2025 is primarily from a $28.1 million unrealized loss on investment. See Note 8 to the consolidated financial statements contained in this report for more information on the unrealized equity investment and the associated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for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for income taxes for the first quarter of 2025 was $27.1 million, compared to $1.6 million for the prior-year period. The effective tax rate was 20.1% of income before provision for income taxes during the first quarter of 2025 compared to 148.4% in the prior-year period. Our first quarter of 2025 effective tax rate benefited from the sale of Mavely, while our first quarter of 2024 tax rate was negatively impacted by the decline in profitability for the quarter as well as the vesting of our employee stock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factors, net income for the first quarter of 2025 was $107.5 million compared to $(0.5) million in the prior-year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In the first three months of 2025, we generated $0.4 million in cash from operations, compared to $3.3 million during the prior-year period. The decrease in cash flow from operations primarily reflects cash payments made in the first quarter of 2025 related to expenses accrued as of year-end, which included restructuring and other accrued expenses. Cash and cash equivalents, including current investments, as of March 31, 2025 and December 31, 2024 were $213.6 million and $198.0 million, respectively, with the increase being driven by the proceeds from the sale of Mavely, partially offset by $155.0 million in debt payments.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As of March 31, 2025, working capital was $264.6 million, compared to $242.0 million as of December 31, 2024. Our increase in working capital is primarily attributable to proceeds from the sale of Mavely, partially offset by $115.0 million payment on our term loan. In addition, in the first quarter we paid $30.0 million towards our revolving credit facility.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Capital expenditures for the three months ended March 31, 2025 were $13.6 million. We expect that our capital expenditures in 2025 will be primarily related to:</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Rhyz plant expansion to increase capacity and capabilities;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expenditures for computer systems and equipment, software, and application development;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and upgrade of facilities in our various 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capital expenditures for the uses listed above will total approximately $45–65 million for 2025.</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Both facilities bear interest at the SOFR, plus a margin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March 31, 2025 and December 31, 2024, we had $0 and $35.0 million of outstanding borrowings under our revolving credit facility, and $240.0 million and $360.0 million on our term loan facility. The carrying value of the debt also reflects debt issuance costs of $1.2 million and $1.4 million as of March 31, 2025 and December 31, 2024, respectively, related to the Credit Agreement. The Credit Agreement requires us to maintain a consolidated leverage ratio not exceeding 2.75 to 1.00 and a consolidated interest coverage ratio of no less than 3.00 to 1.00. As of March 31, 2025, we were in compliance with all debt covenants under the Credit Agreement.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As of March 31, 2025, we had four interest rate swaps, with a total notional principal amount of $200 million and a maturity date of July 31, 2025. We entered into these interest rate swap arrangements during the third quarter of 2020 to hedge the variable cash flows associated with our variable-rate debt under the Credit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Stock repurchase plan</w:t>
      </w:r>
      <w:r>
        <w:rPr>
          <w:rFonts w:ascii="Times New Roman" w:cs="Times New Roman" w:eastAsia="Times New Roman" w:hAnsi="Times New Roman"/>
          <w:sz w:val="18"/>
          <w:szCs w:val="18"/>
          <w:color w:val="auto"/>
        </w:rPr>
        <w:t>. In 2018, our board of directors approved a stock repurchase plan authorizing us to repurchase up to $500.0 million of our outstanding shares of Class A common stock on the open market or in private transactions. During the first quarter of 2025, we repurchased 0.6 million shares of our Class A common stock under the plan for $5.0 million. As of March 31, 2025, $157.4 million was available for repurchases under the plan. Our stock repurchases are used primarily to offset dilution from our equity incentive plans and for strategic initiatives.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In February 2025, our board of directors a declared quarterly cash dividend of $0.06 per share. The quarterly cash dividend of $3.0 million was paid on March 5, 2025 to stockholders of record on February 24, 2025. In May 2025, our board of directors declared a quarterly cash dividend of $0.06 per share to be paid on June 11, 2025 to stockholders of record on May 30, 2025.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Cash from foreign subsidiaries</w:t>
      </w:r>
      <w:r>
        <w:rPr>
          <w:rFonts w:ascii="Times New Roman" w:cs="Times New Roman" w:eastAsia="Times New Roman" w:hAnsi="Times New Roman"/>
          <w:sz w:val="18"/>
          <w:szCs w:val="18"/>
          <w:color w:val="auto"/>
        </w:rPr>
        <w:t>. As of March 31, 2025 and December 31, 2024, we held $213.6 million and $198.0 million, respectively, in cash and cash equivalents, including current investments. These amounts include $175.6 million and $154.1 million as of March 31, 2025 and December 31, 2024,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March 31, 2025, we had $30.9 million in cash denominated in Chinese RMB. We also have experienced delays in repatriating cash from Argentina. As of March 31, 2025 and December 31, 2024, we had $24.0 million and $22.4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12 to the consolidated financial statements contained in this Quarterly Report for information regarding our contingent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our critical accounting policies or estimates during the first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can skew year-over-year and sequential comparisons.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 and Exchange Rate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March 31, 2025, our subsidiary in Argentina had a small net peso monetary position. Net sales of our subsidiary in Argentina were less than 4% of our consolidated net sales for the three-month periods ended March 31, 2025 and 2024.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March 31, 2025 and 2024, we did not hold material non-designated mark-to-market forward derivative contracts to hedge foreign denominated intercompany positions or third party foreign debt. As of March 31, 2025, and 2024 we did not hold any material forward contracts designated as foreign currency cash flow hedges. We continue to evaluate our foreign currency hedging policy.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market risk see Note 10 to the consolidated financial statements contained in this Quarterly Report.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made no changes in our internal control over financial reporting (as defined in Rule 13a-15(f) under the Exchange Act) during the fiscal quarter ended March 31, 2025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are involved in legal proceedings arising in the ordinary course of business.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presented below supplements and should be read in conjunction with the detailed discussion of risks associated with our business in our recent SEC filings, including our Annual Report on Form 10-K for the 2024 fiscal year and subsequent reports.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Changes to tariff and import/export regulations, and trade disputes between the United States and other jurisdictions have had a negative effect on global economic conditions and could negatively affect our business, financial results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United States and other foreign jurisdictions have changed customs regulations or tariff rates that are applied to our imports or exports, and they could make further changes at any time. Tariff changes are difficult to predict and may cause us material short-term or long-term cost fluctuations. The new political administration in the United States has implemented new tariffs, some of which have been paused but may continue in the future, and has expressed an intention to continue using tariffs more robustly in pursuing government policy. When increases are made to U.S. duty rates or tariffs, retaliatory action by other countries has occurred and could continue occurring. Any increases could impact the price of our products and cause a decline in the demand for our products, as well as cause disruptions in our supply chain. We rely on the use of Free Trade Agreements, where available, that may experience alterations, suspensions or cancellations, which could increase our customs expenses or otherwise harm our business. Although we may take actions in response to tariffs, such as shifting our sourcing and production to alternate locations, there is no assurance that such actions would be successful in mitigating the additional tariffs.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duties and tariffs, any actions taken by the United States or by foreign countries to further implement trade policy changes, including limiting foreign investment or trade, banning imports from particular countries, increasing regulatory requirements, other actions that impact our ability to obtain necessary licenses or approvals, or any other restrictions on international trade, could negatively impact our business. These actions are unpredictable, and any of them could also have a material adverse effect on global economic conditions and the stability of global financial markets, significantly reduce global trade, or restrict our access to suppliers or customers, any of which would have a material adverse effect on our business, financial condition and results of operations.</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4"/>
                <w:szCs w:val="2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194"/>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100" w:type="dxa"/>
            <w:vAlign w:val="bottom"/>
          </w:tcPr>
          <w:p>
            <w:pPr>
              <w:spacing w:after="0"/>
              <w:rPr>
                <w:sz w:val="16"/>
                <w:szCs w:val="16"/>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1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Value of Shares that May</w:t>
            </w: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Yet Be Purchased Under</w:t>
            </w:r>
          </w:p>
        </w:tc>
      </w:tr>
      <w:tr>
        <w:trPr>
          <w:trHeight w:val="210"/>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r>
      <w:tr>
        <w:trPr>
          <w:trHeight w:val="251"/>
        </w:trPr>
        <w:tc>
          <w:tcPr>
            <w:tcW w:w="490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10"/>
              <w:spacing w:after="0" w:line="243" w:lineRule="exact"/>
              <w:rPr>
                <w:sz w:val="20"/>
                <w:szCs w:val="20"/>
                <w:color w:val="auto"/>
              </w:rPr>
            </w:pPr>
            <w:r>
              <w:rPr>
                <w:rFonts w:ascii="Times New Roman" w:cs="Times New Roman" w:eastAsia="Times New Roman" w:hAnsi="Times New Roman"/>
                <w:sz w:val="17"/>
                <w:szCs w:val="17"/>
                <w:color w:val="auto"/>
                <w:w w:val="99"/>
              </w:rPr>
              <w:t>(in millions)</w:t>
            </w:r>
            <w:r>
              <w:rPr>
                <w:rFonts w:ascii="Times New Roman" w:cs="Times New Roman" w:eastAsia="Times New Roman" w:hAnsi="Times New Roman"/>
                <w:sz w:val="28"/>
                <w:szCs w:val="28"/>
                <w:color w:val="auto"/>
                <w:w w:val="99"/>
                <w:vertAlign w:val="superscript"/>
              </w:rPr>
              <w:t>(1)</w:t>
            </w:r>
          </w:p>
        </w:tc>
        <w:tc>
          <w:tcPr>
            <w:tcW w:w="100" w:type="dxa"/>
            <w:vAlign w:val="bottom"/>
          </w:tcPr>
          <w:p>
            <w:pPr>
              <w:spacing w:after="0"/>
              <w:rPr>
                <w:sz w:val="21"/>
                <w:szCs w:val="21"/>
                <w:color w:val="auto"/>
              </w:rPr>
            </w:pPr>
          </w:p>
        </w:tc>
      </w:tr>
      <w:tr>
        <w:trPr>
          <w:trHeight w:val="216"/>
        </w:trPr>
        <w:tc>
          <w:tcPr>
            <w:tcW w:w="502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940" w:type="dxa"/>
            <w:vAlign w:val="bottom"/>
            <w:gridSpan w:val="2"/>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1 - 31, 2025</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1 - 28, 2025</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1 - 31,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621,099</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w:t>
            </w:r>
          </w:p>
        </w:tc>
      </w:tr>
      <w:tr>
        <w:trPr>
          <w:trHeight w:val="27"/>
        </w:trPr>
        <w:tc>
          <w:tcPr>
            <w:tcW w:w="4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621,099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621,099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18, 2025, Emma Battle and Edwina Woodbury, members of our Board of Directors, each adopted a trading plan intended to satisfy the affirmative defense conditions of Rule 10b5-1(c) to sell 40% of the shares of Class A common stock underlying their 11,330 restricted stock units that will vest on May 29, 2025. The sales are scheduled to occur on the vesting date of May 29, 2025 or the next possible business day.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April 7, 2025, the Compensation and Human Capital Committee of our Board of Directors approved increasing the base salary of Justin Keisel, our Executive Vice President and President of Global Sales, to $465,000.</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20" w:type="dxa"/>
            <w:vAlign w:val="bottom"/>
            <w:gridSpan w:val="3"/>
          </w:tcPr>
          <w:p>
            <w:pPr>
              <w:spacing w:after="0"/>
              <w:rPr>
                <w:sz w:val="13"/>
                <w:szCs w:val="13"/>
                <w:color w:val="auto"/>
              </w:rPr>
            </w:pPr>
          </w:p>
        </w:tc>
        <w:tc>
          <w:tcPr>
            <w:tcW w:w="9200" w:type="dxa"/>
            <w:vAlign w:val="bottom"/>
          </w:tcPr>
          <w:p>
            <w:pPr>
              <w:spacing w:after="0"/>
              <w:rPr>
                <w:sz w:val="13"/>
                <w:szCs w:val="13"/>
                <w:color w:val="auto"/>
              </w:rPr>
            </w:pPr>
          </w:p>
        </w:tc>
      </w:tr>
      <w:tr>
        <w:trPr>
          <w:trHeight w:val="344"/>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20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430"/>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Exhibits</w:t>
            </w:r>
          </w:p>
        </w:tc>
        <w:tc>
          <w:tcPr>
            <w:tcW w:w="9200" w:type="dxa"/>
            <w:vAlign w:val="bottom"/>
          </w:tcPr>
          <w:p>
            <w:pPr>
              <w:spacing w:after="0"/>
              <w:rPr>
                <w:sz w:val="24"/>
                <w:szCs w:val="24"/>
                <w:color w:val="auto"/>
              </w:rPr>
            </w:pPr>
          </w:p>
        </w:tc>
      </w:tr>
      <w:tr>
        <w:trPr>
          <w:trHeight w:val="216"/>
        </w:trPr>
        <w:tc>
          <w:tcPr>
            <w:tcW w:w="204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Regulation S-K</w:t>
            </w:r>
          </w:p>
        </w:tc>
        <w:tc>
          <w:tcPr>
            <w:tcW w:w="9200" w:type="dxa"/>
            <w:vAlign w:val="bottom"/>
          </w:tcPr>
          <w:p>
            <w:pPr>
              <w:spacing w:after="0"/>
              <w:rPr>
                <w:sz w:val="18"/>
                <w:szCs w:val="18"/>
                <w:color w:val="auto"/>
              </w:rPr>
            </w:pPr>
          </w:p>
        </w:tc>
      </w:tr>
      <w:tr>
        <w:trPr>
          <w:trHeight w:val="245"/>
        </w:trPr>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320" w:type="dxa"/>
            <w:vAlign w:val="bottom"/>
            <w:tcBorders>
              <w:top w:val="single" w:sz="8" w:color="auto"/>
            </w:tcBorders>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20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Unit Purchase Agreement, dated as of January 2, 2025, by and among Mavely Seller LLC, Mavely LLC, Clout.io Holdings,</w:t>
            </w:r>
          </w:p>
        </w:tc>
      </w:tr>
      <w:tr>
        <w:trPr>
          <w:trHeight w:val="218"/>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 and Mavrck LLC (incorporated by reference to Exhibit 2.1 to the Company’s Current Report on Form 8-K filed January 3,</w:t>
            </w:r>
          </w:p>
        </w:tc>
      </w:tr>
      <w:tr>
        <w:trPr>
          <w:trHeight w:val="234"/>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Certification by Ryan S. Napierski, Chief Executive Officer, pursuant to Rule 13a-14(a) of the Securities Exchange Act of</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1934, as adopted pursuant to Section 302 of the Sarbanes-Oxley Act of 2002.</w:t>
            </w:r>
          </w:p>
        </w:tc>
      </w:tr>
      <w:tr>
        <w:trPr>
          <w:trHeight w:val="176"/>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by James D. Thomas, Chief Financial Officer, pursuant to Rule 13a-14(a) of the Securities Exchange Act of 1934,</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r>
      <w:tr>
        <w:trPr>
          <w:trHeight w:val="176"/>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Certification by Ryan S. Napierski, Chief Executive Officer, pursuant to Section 1350, Chapter 63 of Title 18, United States</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Code, as adopted pursuant to Section 906 of the Sarbanes-Oxley Act of 2002.</w:t>
            </w:r>
          </w:p>
        </w:tc>
      </w:tr>
      <w:tr>
        <w:trPr>
          <w:trHeight w:val="175"/>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by James D. Thomas, Chief Financial Officer, pursuant to Section 1350, Chapter 63 of Title 18, United States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Code, as adopted pursuant to Section 906 of the Sarbanes-Oxley Act of 2002.</w:t>
            </w:r>
          </w:p>
        </w:tc>
      </w:tr>
      <w:tr>
        <w:trPr>
          <w:trHeight w:val="198"/>
        </w:trPr>
        <w:tc>
          <w:tcPr>
            <w:tcW w:w="9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 Interactive Data File because its XBRL tags are</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5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29</w:t>
            </w:r>
          </w:p>
        </w:tc>
      </w:tr>
      <w:tr>
        <w:trPr>
          <w:trHeight w:val="44"/>
        </w:trPr>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1375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S. Napierski,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 Skin Enterprises,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7"/>
          <w:szCs w:val="17"/>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17830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D. Thomas,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 Skin Enterprises,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7"/>
          <w:szCs w:val="17"/>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17830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OF CHIEF EXECUTIVE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Nu Skin Enterprises, Inc. (the “Company”) on Form 10-Q for the period ended March 31, 2025 (the “Report”), I, Ryan S. Napierski, Chief Executive Officer of the Company, certify, pursuant to 18 U.S.C.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7"/>
          <w:szCs w:val="17"/>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17830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OF CHIEF FINANCIAL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Nu Skin Enterprises, Inc. (the “Company”) on Form 10-Q for the period ended March 31, 2025 (the “Report”), I, James D. Thomas, Chief Financial Officer of the Company, certify, pursuant to 18 U.S.C. §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7"/>
          <w:szCs w:val="17"/>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17830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5"/>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8"/>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1."/>
      <w:numFmt w:val="decimal"/>
      <w:start w:val="10"/>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1)"/>
      <w:numFmt w:val="lowerRoman"/>
      <w:start w:val="1"/>
    </w:lvl>
  </w:abstractNum>
  <w:abstractNum w:abstractNumId="15">
    <w:nsid w:val="62BBD95A"/>
    <w:multiLevelType w:val="hybridMultilevel"/>
    <w:lvl w:ilvl="0">
      <w:lvlJc w:val="left"/>
      <w:lvlText w:val="%1."/>
      <w:numFmt w:val="decimal"/>
      <w:start w:val="13"/>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38" Type="http://schemas.openxmlformats.org/officeDocument/2006/relationships/hyperlink" Target="https://www.sec.gov/Archives/edgar/data/1021561/000114036125000113/ef20041017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2025-05-09T05:15:32Z</dcterms:created>
  <dcterms:modified xsi:type="dcterms:W3CDTF">2025-05-09T05:15:32Z</dcterms:modified>
</cp:coreProperties>
</file>