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500" w:right="760" w:hanging="492"/>
        <w:spacing w:after="0" w:line="286"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500" w:right="740" w:hanging="492"/>
        <w:spacing w:after="0" w:line="286" w:lineRule="auto"/>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 TO ____________</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001-12421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u w:val="single" w:color="auto"/>
          <w:color w:val="auto"/>
        </w:rPr>
        <w:t>NU SKIN ENTERPRISES, INC.</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8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87-0565309</w:t>
            </w:r>
          </w:p>
        </w:tc>
      </w:tr>
      <w:tr>
        <w:trPr>
          <w:trHeight w:val="234"/>
        </w:trPr>
        <w:tc>
          <w:tcPr>
            <w:tcW w:w="43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1"/>
        </w:trPr>
        <w:tc>
          <w:tcPr>
            <w:tcW w:w="3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75 West Center Street</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45"/>
        </w:trPr>
        <w:tc>
          <w:tcPr>
            <w:tcW w:w="316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Provo, Utah 84601</w:t>
            </w: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140" w:type="dxa"/>
            <w:vAlign w:val="bottom"/>
          </w:tcPr>
          <w:p>
            <w:pPr>
              <w:spacing w:after="0"/>
              <w:rPr>
                <w:sz w:val="21"/>
                <w:szCs w:val="21"/>
                <w:color w:val="auto"/>
              </w:rPr>
            </w:pPr>
          </w:p>
        </w:tc>
      </w:tr>
      <w:tr>
        <w:trPr>
          <w:trHeight w:val="234"/>
        </w:trPr>
        <w:tc>
          <w:tcPr>
            <w:tcW w:w="316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3140" w:type="dxa"/>
            <w:vAlign w:val="bottom"/>
          </w:tcPr>
          <w:p>
            <w:pPr>
              <w:spacing w:after="0"/>
              <w:rPr>
                <w:sz w:val="20"/>
                <w:szCs w:val="20"/>
                <w:color w:val="auto"/>
              </w:rPr>
            </w:pPr>
          </w:p>
        </w:tc>
      </w:tr>
      <w:tr>
        <w:trPr>
          <w:trHeight w:val="421"/>
        </w:trPr>
        <w:tc>
          <w:tcPr>
            <w:tcW w:w="31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(801) 345-1000</w:t>
            </w: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4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400" w:type="dxa"/>
            <w:vAlign w:val="bottom"/>
            <w:gridSpan w:val="6"/>
          </w:tcPr>
          <w:p>
            <w:pPr>
              <w:jc w:val="center"/>
              <w:ind w:left="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4"/>
        </w:trPr>
        <w:tc>
          <w:tcPr>
            <w:tcW w:w="4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39"/>
        </w:trPr>
        <w:tc>
          <w:tcPr>
            <w:tcW w:w="43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80" w:type="dxa"/>
            <w:vAlign w:val="bottom"/>
          </w:tcPr>
          <w:p>
            <w:pPr>
              <w:spacing w:after="0"/>
              <w:rPr>
                <w:sz w:val="24"/>
                <w:szCs w:val="24"/>
                <w:color w:val="auto"/>
              </w:rPr>
            </w:pPr>
          </w:p>
        </w:tc>
        <w:tc>
          <w:tcPr>
            <w:tcW w:w="31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8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NUS</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tcPr>
          <w:p>
            <w:pPr>
              <w:jc w:val="center"/>
              <w:ind w:right="89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70" w:right="339" w:bottom="1440" w:gutter="0" w:footer="0" w:header="0"/>
        </w:sectPr>
      </w:pPr>
    </w:p>
    <w:p>
      <w:pPr>
        <w:spacing w:after="0" w:line="17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ind w:left="100"/>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4">
            <w:col w:w="1620" w:space="40"/>
            <w:col w:w="3240" w:space="720"/>
            <w:col w:w="1980" w:space="80"/>
            <w:col w:w="3560"/>
          </w:cols>
          <w:pgMar w:left="320" w:top="570" w:right="339" w:bottom="1440" w:gutter="0" w:footer="0" w:header="0"/>
          <w:type w:val="continuous"/>
        </w:sectPr>
      </w:pPr>
    </w:p>
    <w:p>
      <w:pPr>
        <w:spacing w:after="0" w:line="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30, 2026, 48,550,543 shares of the registrant’s Class A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 – FIRST QUARTER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120" w:type="dxa"/>
            <w:vAlign w:val="bottom"/>
            <w:tcBorders>
              <w:bottom w:val="single" w:sz="8" w:color="CCEEFF"/>
            </w:tcBorders>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1072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2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520" w:type="dxa"/>
            <w:vAlign w:val="bottom"/>
          </w:tcPr>
          <w:p>
            <w:pPr>
              <w:spacing w:after="0"/>
              <w:rPr>
                <w:sz w:val="18"/>
                <w:szCs w:val="18"/>
                <w:color w:val="auto"/>
              </w:rPr>
            </w:pPr>
          </w:p>
        </w:tc>
      </w:tr>
      <w:tr>
        <w:trPr>
          <w:trHeight w:val="175"/>
        </w:trPr>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w:t>
            </w:r>
          </w:p>
        </w:tc>
        <w:tc>
          <w:tcPr>
            <w:tcW w:w="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w:t>
            </w:r>
          </w:p>
        </w:tc>
        <w:tc>
          <w:tcPr>
            <w:tcW w:w="5540" w:type="dxa"/>
            <w:vAlign w:val="bottom"/>
            <w:tcBorders>
              <w:bottom w:val="single" w:sz="8" w:color="CCEEFF"/>
            </w:tcBorders>
            <w:gridSpan w:val="4"/>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6"/>
        </w:trPr>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680" w:type="dxa"/>
            <w:vAlign w:val="bottom"/>
          </w:tcPr>
          <w:p>
            <w:pPr>
              <w:spacing w:after="0"/>
              <w:rPr>
                <w:sz w:val="15"/>
                <w:szCs w:val="15"/>
                <w:color w:val="auto"/>
              </w:rPr>
            </w:pPr>
          </w:p>
        </w:tc>
        <w:tc>
          <w:tcPr>
            <w:tcW w:w="7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6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107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520" w:type="dxa"/>
            <w:vAlign w:val="bottom"/>
          </w:tcPr>
          <w:p>
            <w:pPr>
              <w:spacing w:after="0"/>
              <w:rPr>
                <w:sz w:val="18"/>
                <w:szCs w:val="18"/>
                <w:color w:val="auto"/>
              </w:rPr>
            </w:pPr>
          </w:p>
        </w:tc>
      </w:tr>
      <w:tr>
        <w:trPr>
          <w:trHeight w:val="196"/>
        </w:trPr>
        <w:tc>
          <w:tcPr>
            <w:tcW w:w="6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940" w:type="dxa"/>
            <w:vAlign w:val="bottom"/>
            <w:tcBorders>
              <w:bottom w:val="single" w:sz="8" w:color="CCEEFF"/>
            </w:tcBorders>
            <w:gridSpan w:val="12"/>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680" w:type="dxa"/>
            <w:vAlign w:val="bottom"/>
          </w:tcPr>
          <w:p>
            <w:pPr>
              <w:spacing w:after="0"/>
              <w:rPr>
                <w:sz w:val="15"/>
                <w:szCs w:val="15"/>
                <w:color w:val="auto"/>
              </w:rPr>
            </w:pPr>
          </w:p>
        </w:tc>
        <w:tc>
          <w:tcPr>
            <w:tcW w:w="7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68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940" w:type="dxa"/>
            <w:vAlign w:val="bottom"/>
            <w:tcBorders>
              <w:top w:val="single" w:sz="8" w:color="CCEEFF"/>
            </w:tcBorders>
            <w:gridSpan w:val="2"/>
          </w:tcPr>
          <w:p>
            <w:pPr>
              <w:spacing w:after="0"/>
              <w:rPr>
                <w:sz w:val="15"/>
                <w:szCs w:val="15"/>
                <w:color w:val="auto"/>
              </w:rPr>
            </w:pPr>
          </w:p>
        </w:tc>
        <w:tc>
          <w:tcPr>
            <w:tcW w:w="5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68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520" w:type="dxa"/>
            <w:vAlign w:val="bottom"/>
            <w:tcBorders>
              <w:top w:val="single" w:sz="8" w:color="CCEEFF"/>
            </w:tcBorders>
            <w:gridSpan w:val="11"/>
          </w:tcPr>
          <w:p>
            <w:pPr>
              <w:spacing w:after="0"/>
              <w:rPr>
                <w:sz w:val="15"/>
                <w:szCs w:val="15"/>
                <w:color w:val="auto"/>
              </w:rPr>
            </w:pPr>
          </w:p>
        </w:tc>
        <w:tc>
          <w:tcPr>
            <w:tcW w:w="5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6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r>
      <w:tr>
        <w:trPr>
          <w:trHeight w:val="176"/>
        </w:trPr>
        <w:tc>
          <w:tcPr>
            <w:tcW w:w="6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references to “dollars” and “$” are to United States (“U.S.”) dollars.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 Skin, Pharmanex, and ageLOC are our trademarks. The italicized product names used in this Quarterly Report on Form 10-Q are product names and also, in certain cases, our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6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Table of Contents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570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98"/>
        </w:trPr>
        <w:tc>
          <w:tcPr>
            <w:tcW w:w="86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238,630</w:t>
            </w: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Current investments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r>
      <w:tr>
        <w:trPr>
          <w:trHeight w:val="216"/>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39,544</w:t>
            </w: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178,643</w:t>
            </w:r>
          </w:p>
        </w:tc>
      </w:tr>
      <w:tr>
        <w:trPr>
          <w:trHeight w:val="223"/>
        </w:trPr>
        <w:tc>
          <w:tcPr>
            <w:tcW w:w="868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547,698</w:t>
            </w:r>
          </w:p>
        </w:tc>
      </w:tr>
      <w:tr>
        <w:trPr>
          <w:trHeight w:val="216"/>
        </w:trPr>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377,168</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74,021</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83,625</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42,614</w:t>
            </w: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279,035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280,187</w:t>
            </w:r>
          </w:p>
        </w:tc>
      </w:tr>
      <w:tr>
        <w:trPr>
          <w:trHeight w:val="256"/>
        </w:trPr>
        <w:tc>
          <w:tcPr>
            <w:tcW w:w="86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1,376,798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1,405,313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26,183</w:t>
            </w: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217,551</w:t>
            </w:r>
          </w:p>
        </w:tc>
      </w:tr>
      <w:tr>
        <w:trPr>
          <w:trHeight w:val="223"/>
        </w:trPr>
        <w:tc>
          <w:tcPr>
            <w:tcW w:w="868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263,734</w:t>
            </w:r>
          </w:p>
        </w:tc>
      </w:tr>
      <w:tr>
        <w:trPr>
          <w:trHeight w:val="216"/>
        </w:trPr>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57,640</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204,187</w:t>
            </w: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74,512</w:t>
            </w:r>
          </w:p>
        </w:tc>
      </w:tr>
      <w:tr>
        <w:trPr>
          <w:trHeight w:val="223"/>
        </w:trPr>
        <w:tc>
          <w:tcPr>
            <w:tcW w:w="86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582,711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600,073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(Notes 6 and 12)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Class A common stock – 500 million shares authorized, $0.001 par value, 90.6 million shares issued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635,994</w:t>
            </w: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Treasury stock, at cost – 42.0 million and 42.4 million shares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(1,560,799)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(1,575,059)</w:t>
            </w:r>
          </w:p>
        </w:tc>
      </w:tr>
      <w:tr>
        <w:trPr>
          <w:trHeight w:val="216"/>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(118,377)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(116,105)</w:t>
            </w:r>
          </w:p>
        </w:tc>
      </w:tr>
      <w:tr>
        <w:trPr>
          <w:trHeight w:val="223"/>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1,860,319</w:t>
            </w:r>
          </w:p>
        </w:tc>
      </w:tr>
      <w:tr>
        <w:trPr>
          <w:trHeight w:val="223"/>
        </w:trPr>
        <w:tc>
          <w:tcPr>
            <w:tcW w:w="86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794,087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1,376,798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1,405,313</w:t>
            </w: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auto"/>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 except per share amounts)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364,490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117,529</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214,463</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110,054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118,546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98,544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113,204</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25,114</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210,437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(9,903)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176,162</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(28,375)</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134,601</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27,086</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107,515</w:t>
            </w:r>
          </w:p>
        </w:tc>
      </w:tr>
      <w:tr>
        <w:trPr>
          <w:trHeight w:val="209"/>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(Note 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(000s):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48,202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49,764</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49,422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50,328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auto"/>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2,443</w:t>
            </w: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unrealized gains/(losses) on cash flow hedges, net of taxes of $0 and $(32) for the three months ended March 31,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 and 2025,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losses/(gains) in current earnings, net of taxes of $0 and $456 for the three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months ended March 31, 2026 and 2025, respectively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(1,654)</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108,423</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360" w:type="dxa"/>
            <w:vAlign w:val="bottom"/>
            <w:tcBorders>
              <w:bottom w:val="single" w:sz="8" w:color="auto"/>
            </w:tcBorders>
            <w:gridSpan w:val="8"/>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2026</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635,994</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(1,575,059)</w:t>
            </w: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(116,105)</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1,860,319</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805,240</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(2,272)</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7)</w:t>
            </w: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(5,011)</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(5,011)</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(0.9</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19,271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(4,157)</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(2,873)</w:t>
            </w:r>
          </w:p>
        </w:tc>
      </w:tr>
      <w:tr>
        <w:trPr>
          <w:trHeight w:val="27"/>
        </w:trPr>
        <w:tc>
          <w:tcPr>
            <w:tcW w:w="32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940" w:type="dxa"/>
            <w:vAlign w:val="bottom"/>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613,890</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(1,560,799)</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(118,377)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1,859,282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794,087</w:t>
            </w:r>
          </w:p>
        </w:tc>
      </w:tr>
      <w:tr>
        <w:trPr>
          <w:trHeight w:val="21"/>
        </w:trPr>
        <w:tc>
          <w:tcPr>
            <w:tcW w:w="3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2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8"/>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627,787</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(1,563,614)</w:t>
            </w: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(124,758)</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1,711,949</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651,455</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107,515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7)</w:t>
            </w: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(5,012)</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(5,012)</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(0.3</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6,415</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3,267</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(3,002)</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94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623,477</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(1,562,211)</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1,816,462</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753,969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auto"/>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107,515</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(176,162)</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Impairment of goodwill, fixed assets and other intangibles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25,114</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losses on equity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28,077</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12,342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14,206</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6,438</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9,308</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write-down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3,085</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losses (gains)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(5,737)</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(5,878)</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(9,138)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9,612</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1,796</w:t>
            </w: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(1,439)</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(14,696)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(21,016)</w:t>
            </w:r>
          </w:p>
        </w:tc>
      </w:tr>
      <w:tr>
        <w:trPr>
          <w:trHeight w:val="223"/>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(2,967)</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(1,855)</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(13,714)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(13,584)</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on investment sales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business,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193,725</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(14,287)</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181,544</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 of employee stock options and taxes paid related to the net shares settlement of stock awards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(1,162)</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Payment of cash dividends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(2,873)</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(3,002)</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Repurchases of shares of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(5,012)</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Finance lease principal payments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Payments of debt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(225,000)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(155,000)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(6,500)</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(1,498)</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(1,371)</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(39,976)</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16,887</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238,630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186,883</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198,654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203,770</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Nu Skin Enterprises, Inc. (the “Company”) is a holding company, with Nu Skin being the primary operating unit. Nu Skin develops and distributes premium-quality, innovative beauty and wellness products that are sold worldwide. The Company reports revenue from nine segments, consisting of its seven geographic Nu Skin segments—Americas, which includes Canada, Latin America and the United States; Southeast Asia/Pacific, which includes Indonesia, Malaysia, the Philippines, Singapore, Thailand, Vietnam, Australia, New Zealand, and other markets; Mainland China; Japan; Europe and Africa, which includes markets in Europe as well as South Africa; South Korea; and Hong Kong/Taiwan, which also includes Macau—and two Rhyz segments—Manufacturing, which includes manufacturing and packaging subsidiaries it has acquired; and Rhyz Other, which includes other investments by its Rhyz strategic investment arm (the Company’s subsidiaries operating within each segment are collectively referred to as the “Subsidiaries”). During the fourth quarter of 2025, the Company began pre-market activities in India, setting the operational foundation and infrastructure ahead of a full market opening anticipated in late 2026. This market’s financial results, which are included in the Southeast Asia/Pacific segment in this report, were insignificant for the first quarter of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("US GAAP") for interim financial information and with the instructions to Form 10-Q and Rule 10-01 of Regulation S-X. Accordingly, they do not include all of the information and footnotes required by US GAAP for complete financial statements. The unaudited consolidated financial statements include the accounts of the Company and its Subsidiaries. All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March 31, 2026, and for the three-month periods ended March 31, 2026 and 2025. The results of operations of any interim period are not necessarily indicative of the results of operations to be expected for the fiscal year. The consolidated balance sheet as of December 31, 2025 has been prepared using information from the audited financial statements at that date. For further information, refer to the consolidated financial statements and accompanying footnotes included in the Company’s Annual Report on Form 10-K for the year ended December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noncontrolling interest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acquired the remaining 30% equity interest in LifeDNA, Inc. (“LifeDNA”), for cash consideration of $6.5 million. The carrying amount of noncontrolling interest, which was previously included in other liabilities on the consolidated balance sheet, was reduced by $4.1 million, with the difference of $2.4 million recorded in additional paid-in capital. Following this transaction, LifeDNA became a wholly owned subsidiary. Due to the noncontrolling interest’s immaterial balance, the Company has historically not separately disclosed the noncontrolling interest balance or activity.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(Topic 220). This standard requires disclosure of specific information about costs and expenses. ASU 2024-03 is effective for fiscal years beginning after December 15, 2026 and interim reporting periods beginning after December 15, 2027. The Company is currently evaluating the potential effect that the updated standard will have on its financial statement disclosures.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The amendments remove references to development “stages,” clarify the probable-to-complete threshold for capitalization of internal-use software costs, relocate website development guidance into Subtopic 350-40, and require that capitalized internal-use software costs follow Topic 360 disclosure requirements regardless of balance-sheet presentation. The amendments are effective for annual periods beginning after December 15, 2027, and interim periods within those annual periods; early adoption is permitted as of the beginning of an annual period. Entities may adopt the guidance prospectively, retrospectively, or using a modified prospective transition approach. The Company is evaluating the impact of this guidance and the available transition alternatives on its consolidated financial statements and disclosures.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Inventories,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 consist of the following (U.S. dollars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83,699</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178,600</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178,643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Reserves of inventories consist of the following (U.S. dollars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3,085</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(12,533)</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(7,682)</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50,175</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79,409</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 – Customer Loyalty Programs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balance of deferred revenue related to contract liabilities as of March 31, 2026 and December 31, 2025 was $6.2 million and $7.2 million, respectively. The contract liabilities' impact to revenue for the three-month periods ended March 31, 2026 and 2025 was an increase of $1.0 million and an increase of $0.3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Gain on Sale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 2025, the Company completed the sale of its Mavely entity to Clout.io Holdings, Inc. for $230 million in cash and shares of the purchaser’s common stock, subject to certain adjustments as set forth in the purchase agreement, including post-closing determination of net working capital and other elements of the purchase price. Following the completion of certain payments to other equity holders in Mavely and the payment of certain transaction expenses, the Company received net proceeds of $193.7 million and equity interest with an estimated fair value of $6.1 million. In the second quarter of 2025, the Company received an additional payment of $2.7 million and in the third quarter of 2025 received an additional $1.7 million. The estimated fair value was based on observable price changes and is classified as a level 3 fair value measurement and is accounted for under the measurement alternative described in ASC 321-10-35-2 for equity securities that lack readily determinable fair values. In the first quarter of 2025, the Company recorded a gain on sale of $176.2 million.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the Company recorded $5.2 million of stock-based compensation expense related to profit interest units issued to the Mavely founders. This expense should have been recorded in the fourth quarter of 2024 when the performance conditions became probable of vesting. The impact of the adjustment to correct this item was immaterial to the current and prior period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reporting units for goodwill are its operating segments, which are also its reportable segments, with the exception of Rhyz Other. The Rhyz Other segment is made up of two reporting units, which had goodwill of $4.7 million and $0.0, respectively, as of both March 31, 2026 and December 31,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 in carrying amount of goodwill by reporting unit for the three months ended March 31, 2026 (U.S.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Nu Skin</w:t>
            </w:r>
          </w:p>
        </w:tc>
        <w:tc>
          <w:tcPr>
            <w:tcW w:w="6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Rhyz</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8"/>
                <w:szCs w:val="18"/>
                <w:b w:val="1"/>
                <w:bCs w:val="1"/>
                <w:color w:val="auto"/>
              </w:rPr>
              <w:t>Southeast</w:t>
            </w:r>
          </w:p>
        </w:tc>
        <w:tc>
          <w:tcPr>
            <w:tcW w:w="880" w:type="dxa"/>
            <w:vAlign w:val="bottom"/>
            <w:gridSpan w:val="5"/>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Mainland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Europe &amp;</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w w:val="94"/>
              </w:rPr>
              <w:t>Hong Kong/</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Rhyz</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6"/>
              </w:rPr>
              <w:t>Asia/Pacific</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Africa</w:t>
            </w:r>
          </w:p>
        </w:tc>
        <w:tc>
          <w:tcPr>
            <w:tcW w:w="4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South Korea</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Taiwan</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Segments</w:t>
            </w: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Goodwill as of</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1"/>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78,875</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4,750</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83,625</w:t>
            </w:r>
          </w:p>
        </w:tc>
      </w:tr>
      <w:tr>
        <w:trPr>
          <w:trHeight w:val="198"/>
        </w:trPr>
        <w:tc>
          <w:tcPr>
            <w:tcW w:w="142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Goodwill as of</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gridSpan w:val="2"/>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78,875</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4,750</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83,625</w:t>
            </w:r>
          </w:p>
        </w:tc>
      </w:tr>
      <w:tr>
        <w:trPr>
          <w:trHeight w:val="27"/>
        </w:trPr>
        <w:tc>
          <w:tcPr>
            <w:tcW w:w="1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right w:val="single" w:sz="8" w:color="auto"/>
            </w:tcBorders>
            <w:gridSpan w:val="2"/>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760" w:type="dxa"/>
            <w:vAlign w:val="bottom"/>
            <w:tcBorders>
              <w:right w:val="single" w:sz="8" w:color="auto"/>
            </w:tcBorders>
            <w:gridSpan w:val="2"/>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980" w:type="dxa"/>
            <w:vAlign w:val="bottom"/>
            <w:tcBorders>
              <w:right w:val="single" w:sz="8" w:color="auto"/>
            </w:tcBorders>
            <w:gridSpan w:val="2"/>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920" w:type="dxa"/>
            <w:vAlign w:val="bottom"/>
            <w:tcBorders>
              <w:right w:val="single" w:sz="8" w:color="auto"/>
            </w:tcBorders>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432"/>
        </w:trPr>
        <w:tc>
          <w:tcPr>
            <w:tcW w:w="826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Accumulated impairment losses for each segment as of March 31, 2026 and December 31, 2025 are as follows: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Nu Skin</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Rhyz</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5"/>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Southeast</w:t>
            </w:r>
          </w:p>
        </w:tc>
        <w:tc>
          <w:tcPr>
            <w:tcW w:w="8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Mainland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6"/>
              </w:rPr>
              <w:t>Europe &amp;</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Hong Kong/</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Rhyz</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1420" w:type="dxa"/>
            <w:vAlign w:val="bottom"/>
          </w:tcPr>
          <w:p>
            <w:pPr>
              <w:spacing w:after="0"/>
              <w:rPr>
                <w:sz w:val="21"/>
                <w:szCs w:val="21"/>
                <w:color w:val="auto"/>
              </w:rPr>
            </w:pPr>
          </w:p>
        </w:tc>
        <w:tc>
          <w:tcPr>
            <w:tcW w:w="9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10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00" w:type="dxa"/>
            <w:vAlign w:val="bottom"/>
          </w:tcPr>
          <w:p>
            <w:pPr>
              <w:spacing w:after="0"/>
              <w:rPr>
                <w:sz w:val="21"/>
                <w:szCs w:val="21"/>
                <w:color w:val="auto"/>
              </w:rPr>
            </w:pPr>
          </w:p>
        </w:tc>
        <w:tc>
          <w:tcPr>
            <w:tcW w:w="7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20" w:type="dxa"/>
            <w:vAlign w:val="bottom"/>
          </w:tcPr>
          <w:p>
            <w:pPr>
              <w:spacing w:after="0"/>
              <w:rPr>
                <w:sz w:val="21"/>
                <w:szCs w:val="21"/>
                <w:color w:val="auto"/>
              </w:rPr>
            </w:pPr>
          </w:p>
        </w:tc>
        <w:tc>
          <w:tcPr>
            <w:tcW w:w="8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3"/>
              </w:rPr>
              <w:t>Africa</w:t>
            </w: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South Korea</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6"/>
              </w:rPr>
              <w:t>Taiwan</w:t>
            </w:r>
          </w:p>
        </w:tc>
        <w:tc>
          <w:tcPr>
            <w:tcW w:w="13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Segments</w:t>
            </w: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Accumulated</w:t>
            </w: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9,449</w:t>
            </w: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32,179</w:t>
            </w:r>
          </w:p>
        </w:tc>
        <w:tc>
          <w:tcPr>
            <w:tcW w:w="4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$ 16,019</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29,261</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80" w:type="dxa"/>
            <w:vAlign w:val="bottom"/>
            <w:shd w:val="clear" w:color="auto" w:fill="CCEEFF"/>
          </w:tcPr>
          <w:p>
            <w:pPr>
              <w:spacing w:after="0"/>
              <w:rPr>
                <w:sz w:val="20"/>
                <w:szCs w:val="20"/>
                <w:color w:val="auto"/>
              </w:rPr>
            </w:pP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$ 19,587</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$ 134,541</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for impairment when performance expectations, events or change in circumstances indicate that the assets’ carrying value may not be recoverable. The evaluation is performed at the lowest level of identifiable cash flows by comparing the carrying value of the asset group to the net undiscounted cash flows. If the evaluation indicates that the carrying amount of the assets may not be recoverable, any potential impairment is measured based upon the fair value of the related asset group.</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quarter of 2025, the Company decided to make a strategic shift in how it operates the BeautyBio asset group. These strategy changes included exiting certain sales channels, which reduced the forecasted revenues for BeautyBio. The Company concluded these actions were an interim impairment triggering event. As a result, the Company performed an interim impairment test of the asset group and assessed the recoverability of the related asset group by comparing the carrying value of the asset group to the net undiscounted cash flow expected to be generated. The recoverability test indicated that the asset group was impaired. The Company concluded the asset group’s carrying value exceeded its estimated fair value, which was determined utilizing the discounted projected future cash flows, which resulted in an impairment charge. The estimated fair value was based on expected future cash flows using level 3 inputs and utilized management estimates related to revenue growth rates, profitability margins and discount rates. As a result, during the three months ended March 31, 2025, the Company recorded an impairment charge of $25.1 million on the BeautyBio asset group, which is part of its Rhyz Other segment within impairment expenses on the consolidated statement of income. As of the impairment date, the BeautyBio asset group had a remaining carrying value of $2.3 million with a remaining weighted-average amortization period of approximately 7 years.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the Company decided to wind down its separate BeautyBio business. As a result of this decision, the Company recorded an impairment charge of $1.8 million on the BeautyBio asset group, which is part of its Rhyz Other segment within impairment expenses on the consolidated statement of income. As of March 31, 2026, the BeautyBio asset group has no remaining carrying value.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14, 2022, the Company entered into an Amended and Restated Credit Agreement (the “2022 Credit Agreement”) with several financial institutions as lenders and Bank of America, N.A., as administrative agent, which amended and restated the 2018 Credit Agreement. The 2022 Credit Agreement provided for a $400 million term loan facility and a $500 million revolving credit facility, each with a term of five years. Both facilities bore interest at the SOFR, plus a margin based on the Company’s consolidated leverage ratio. Commitment fees payable under the 2022 Credit Agreement were also based on the consolidated leverage ratio as defined in the 2022 Credit Agreement and range from 0.175% to 0.30% on the unused portion of the total lender commitments then in effect. The term loan facility amortized in quarterly installments in amounts resulting in an annual amortization of 2.5% during the first year and 5.0% during the second, third, fourth and fifth years after the closing date of the 2022 Credit Agreement, with the remainder payable at final maturity. The 2022 Credit Agreement was guaranteed by certain of the Company’s domestic subsidiaries and collateralized by assets of such subsidiaries, including a pledge of 65% of the capital stock of certain foreign subsidiaries. The 2022 Credit Agreement required the Company to maintain a consolidated leverage ratio not exceeding 2.75 to 1.00 and a consolidated interest coverage ratio of no less than 3.00 to 1.00.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27, 2026, the Company entered into an Amended and Restated Credit Agreement (the “Credit Agreement”) with several financial institutions as lenders and Bank of America, N.A., as administrative agent, which amended and restated the 2022 Credit Agreement. The Credit Agreement provides for a $175 million term loan facility and a $75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will amortize in equal quarterly installments in amounts resulting in an annual amortization of $20 million per annum,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2.25 to 1.00 and a consolidated interest coverage ratio of no less than 3.00 to 1.00. As of March 31, 2026, the Company was in compliance with all covenants under the Credit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debt facilities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06"/>
        </w:trPr>
        <w:tc>
          <w:tcPr>
            <w:tcW w:w="24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Facility or</w:t>
            </w: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55"/>
        </w:trPr>
        <w:tc>
          <w:tcPr>
            <w:tcW w:w="24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120" w:type="dxa"/>
            <w:vAlign w:val="bottom"/>
          </w:tcPr>
          <w:p>
            <w:pPr>
              <w:spacing w:after="0"/>
              <w:rPr>
                <w:sz w:val="22"/>
                <w:szCs w:val="22"/>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Pr>
          <w:p>
            <w:pPr>
              <w:jc w:val="center"/>
              <w:spacing w:after="0" w:line="247" w:lineRule="exact"/>
              <w:rPr>
                <w:sz w:val="20"/>
                <w:szCs w:val="20"/>
                <w:color w:val="auto"/>
              </w:rPr>
            </w:pPr>
            <w:r>
              <w:rPr>
                <w:rFonts w:ascii="Times New Roman" w:cs="Times New Roman" w:eastAsia="Times New Roman" w:hAnsi="Times New Roman"/>
                <w:sz w:val="28"/>
                <w:szCs w:val="28"/>
                <w:b w:val="1"/>
                <w:bCs w:val="1"/>
                <w:color w:val="auto"/>
                <w:vertAlign w:val="subscript"/>
              </w:rPr>
              <w:t>2026</w:t>
            </w:r>
            <w:r>
              <w:rPr>
                <w:rFonts w:ascii="Times New Roman" w:cs="Times New Roman" w:eastAsia="Times New Roman" w:hAnsi="Times New Roman"/>
                <w:sz w:val="13"/>
                <w:szCs w:val="13"/>
                <w:b w:val="1"/>
                <w:bCs w:val="1"/>
                <w:color w:val="auto"/>
              </w:rPr>
              <w:t>(1)(2)</w:t>
            </w:r>
          </w:p>
        </w:tc>
        <w:tc>
          <w:tcPr>
            <w:tcW w:w="220" w:type="dxa"/>
            <w:vAlign w:val="bottom"/>
          </w:tcPr>
          <w:p>
            <w:pPr>
              <w:spacing w:after="0"/>
              <w:rPr>
                <w:sz w:val="22"/>
                <w:szCs w:val="22"/>
                <w:color w:val="auto"/>
              </w:rPr>
            </w:pPr>
          </w:p>
        </w:tc>
        <w:tc>
          <w:tcPr>
            <w:tcW w:w="1240" w:type="dxa"/>
            <w:vAlign w:val="bottom"/>
          </w:tcPr>
          <w:p>
            <w:pPr>
              <w:jc w:val="center"/>
              <w:spacing w:after="0" w:line="247" w:lineRule="exact"/>
              <w:rPr>
                <w:sz w:val="20"/>
                <w:szCs w:val="20"/>
                <w:color w:val="auto"/>
              </w:rPr>
            </w:pPr>
            <w:r>
              <w:rPr>
                <w:rFonts w:ascii="Times New Roman" w:cs="Times New Roman" w:eastAsia="Times New Roman" w:hAnsi="Times New Roman"/>
                <w:sz w:val="28"/>
                <w:szCs w:val="28"/>
                <w:b w:val="1"/>
                <w:bCs w:val="1"/>
                <w:color w:val="auto"/>
                <w:vertAlign w:val="subscript"/>
              </w:rPr>
              <w:t>2025</w:t>
            </w:r>
            <w:r>
              <w:rPr>
                <w:rFonts w:ascii="Times New Roman" w:cs="Times New Roman" w:eastAsia="Times New Roman" w:hAnsi="Times New Roman"/>
                <w:sz w:val="13"/>
                <w:szCs w:val="13"/>
                <w:b w:val="1"/>
                <w:bCs w:val="1"/>
                <w:color w:val="auto"/>
              </w:rPr>
              <w:t>(1)(2)</w:t>
            </w:r>
          </w:p>
        </w:tc>
        <w:tc>
          <w:tcPr>
            <w:tcW w:w="22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322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Repayment Terms</w:t>
            </w:r>
          </w:p>
        </w:tc>
      </w:tr>
      <w:tr>
        <w:trPr>
          <w:trHeight w:val="194"/>
        </w:trPr>
        <w:tc>
          <w:tcPr>
            <w:tcW w:w="24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2022 Credit Agreement term</w:t>
            </w:r>
          </w:p>
        </w:tc>
        <w:tc>
          <w:tcPr>
            <w:tcW w:w="1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w w:val="98"/>
              </w:rPr>
              <w:t>$400.0 million</w:t>
            </w:r>
          </w:p>
        </w:tc>
        <w:tc>
          <w:tcPr>
            <w:tcW w:w="12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$225.0 million</w:t>
            </w:r>
          </w:p>
        </w:tc>
        <w:tc>
          <w:tcPr>
            <w:tcW w:w="22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Principal amount was paid in full during</w:t>
            </w:r>
          </w:p>
        </w:tc>
      </w:tr>
      <w:tr>
        <w:trPr>
          <w:trHeight w:val="238"/>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loan facility</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2026.</w:t>
            </w:r>
          </w:p>
        </w:tc>
      </w:tr>
      <w:tr>
        <w:trPr>
          <w:trHeight w:val="194"/>
        </w:trPr>
        <w:tc>
          <w:tcPr>
            <w:tcW w:w="24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2022 Credit Agreement</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Principal amount was paid in full during</w:t>
            </w:r>
          </w:p>
        </w:tc>
      </w:tr>
      <w:tr>
        <w:trPr>
          <w:trHeight w:val="220"/>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2025 and credit line was closed</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during March 2026.</w:t>
            </w:r>
          </w:p>
        </w:tc>
      </w:tr>
      <w:tr>
        <w:trPr>
          <w:trHeight w:val="194"/>
        </w:trPr>
        <w:tc>
          <w:tcPr>
            <w:tcW w:w="24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Credit Agreement term loan</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$175.0 million</w:t>
            </w:r>
          </w:p>
        </w:tc>
        <w:tc>
          <w:tcPr>
            <w:tcW w:w="1460" w:type="dxa"/>
            <w:vAlign w:val="bottom"/>
            <w:gridSpan w:val="2"/>
            <w:shd w:val="clear" w:color="auto" w:fill="CCEEFF"/>
          </w:tcPr>
          <w:p>
            <w:pPr>
              <w:jc w:val="right"/>
              <w:ind w:right="200"/>
              <w:spacing w:after="0" w:line="194" w:lineRule="exact"/>
              <w:rPr>
                <w:sz w:val="20"/>
                <w:szCs w:val="20"/>
                <w:color w:val="auto"/>
              </w:rPr>
            </w:pPr>
            <w:r>
              <w:rPr>
                <w:rFonts w:ascii="Times New Roman" w:cs="Times New Roman" w:eastAsia="Times New Roman" w:hAnsi="Times New Roman"/>
                <w:sz w:val="18"/>
                <w:szCs w:val="18"/>
                <w:color w:val="auto"/>
              </w:rPr>
              <w:t>$175.0 million</w:t>
            </w: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color w:val="auto"/>
              </w:rPr>
              <w:t>Variable 30 day:</w:t>
            </w:r>
          </w:p>
        </w:tc>
        <w:tc>
          <w:tcPr>
            <w:tcW w:w="3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54.3% of the principal amount is payable in</w:t>
            </w:r>
          </w:p>
        </w:tc>
      </w:tr>
      <w:tr>
        <w:trPr>
          <w:trHeight w:val="220"/>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installments  over  a  five-year</w:t>
            </w:r>
          </w:p>
        </w:tc>
      </w:tr>
      <w:tr>
        <w:trPr>
          <w:trHeight w:val="216"/>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that begins on June 30, 2026, with</w:t>
            </w:r>
          </w:p>
        </w:tc>
      </w:tr>
      <w:tr>
        <w:trPr>
          <w:trHeight w:val="216"/>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remainder payable at the end of the five-</w:t>
            </w:r>
          </w:p>
        </w:tc>
      </w:tr>
      <w:tr>
        <w:trPr>
          <w:trHeight w:val="234"/>
        </w:trPr>
        <w:tc>
          <w:tcPr>
            <w:tcW w:w="2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term.</w:t>
            </w:r>
          </w:p>
        </w:tc>
      </w:tr>
      <w:tr>
        <w:trPr>
          <w:trHeight w:val="194"/>
        </w:trPr>
        <w:tc>
          <w:tcPr>
            <w:tcW w:w="24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Credit Agreement revolving</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color w:val="auto"/>
              </w:rPr>
              <w:t>$50.0 million</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Variable 30 day:</w:t>
            </w:r>
          </w:p>
        </w:tc>
        <w:tc>
          <w:tcPr>
            <w:tcW w:w="32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Revolving line of credit expires March 27,</w:t>
            </w:r>
          </w:p>
        </w:tc>
      </w:tr>
      <w:tr>
        <w:trPr>
          <w:trHeight w:val="238"/>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r>
    </w:tbl>
    <w:p>
      <w:pPr>
        <w:spacing w:after="0" w:line="198"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and December 31, 2025, the current portion of the Company’s debt (i.e., becoming due in the next 12 months) included $20.0 million and $20.0 million, respectively, of the balance of its term loan under the Credit Agreement and 2022 Credit Agreement.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debt reflects the amounts stated in the above table, less debt issuance costs of $1.4 million and $0.8 million as of March 31, 2026 and December 31, 2025, respectively, related to the Credit Agreement and 2022 Credit Agreement, which are not reflected in this table.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the weighted-average remaining lease term was 6.2 and 3.6 years for operating and finance leases, respectively. As of March 31, 2026, the weighted-average discount rate was 3.8% and 6.6% for operating and finance leases,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(U.S. dollars 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7,575</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(U.S. dollars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outflow from 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outflow from finance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were as follows (U.S. dollars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8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Finance Charges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Principal Liability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additional lease liabilities of $37.6 million which have not yet commenced as of March 31, 2026, and as such, have not been recognized on the consolidated balance sheets.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Capital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For the three-month periods ended March 31, 2026 and 2025, stock awards and options of 1.1 million and 2.4 million, respectively, were excluded from the calculation of diluted earnings per share because they were anti-dilutive.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February 2026, the Company’s board of directors declared quarterly cash dividends of $0.06 per share. This quarterly cash dividend of $2.9 million was paid on March 11, 2026 to stockholders of record on February 27, 2026. In May 2026, the Company’s board of directors declared a quarterly cash dividend of $0.06 per share to be paid on June 10, 2026 to stockholders of record on May 29,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common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three-month periods ended March 31, 2026 and 2025, the Company repurchased 0.5 million and 0.6 million shares of its Class A common stock under its stock repurchase plan for $5.0 million and $5.0 million, respectively. As of March 31, 2026, $137.3 million was available for repurchases under the Company’s stock repurchase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and Equity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carrying value of financial instruments including cash and cash equivalents, accounts receivable and accounts payable approximates fair values due to the short-term nature of these instruments. The carrying value of debt approximates fair value due to the variable 30-day interest rate. Fair value estimates are made at a specific point in time, based on relevant market information.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0" w:lineRule="exact"/>
        <w:rPr>
          <w:sz w:val="20"/>
          <w:szCs w:val="20"/>
          <w:color w:val="auto"/>
        </w:rPr>
      </w:pPr>
    </w:p>
    <w:p>
      <w:pPr>
        <w:ind w:left="660" w:right="2280"/>
        <w:spacing w:after="0" w:line="352"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and Level 3 – unobservable inputs based on the Company’s own assumptions.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those assets and liabilities measured at fair value on a recurring basis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Fair Value at March 31, 2026</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current investments</w:t>
            </w:r>
          </w:p>
        </w:tc>
        <w:tc>
          <w:tcPr>
            <w:tcW w:w="18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16,127</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16,127</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Life insurance contracts</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47,276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47,276</w:t>
            </w:r>
          </w:p>
        </w:tc>
      </w:tr>
      <w:tr>
        <w:trPr>
          <w:trHeight w:val="256"/>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280" w:type="dxa"/>
            <w:vAlign w:val="bottom"/>
          </w:tcPr>
          <w:p>
            <w:pPr>
              <w:spacing w:after="0"/>
              <w:rPr>
                <w:sz w:val="24"/>
                <w:szCs w:val="24"/>
                <w:color w:val="auto"/>
              </w:rPr>
            </w:pPr>
          </w:p>
        </w:tc>
        <w:tc>
          <w:tcPr>
            <w:tcW w:w="1700" w:type="dxa"/>
            <w:vAlign w:val="bottom"/>
          </w:tcPr>
          <w:p>
            <w:pPr>
              <w:jc w:val="right"/>
              <w:ind w:right="199"/>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2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Table of Contents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Fair Value at December 31, 2025</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current investments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39,084</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39,084</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contracts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48,410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48,410</w:t>
            </w:r>
          </w:p>
        </w:tc>
      </w:tr>
      <w:tr>
        <w:trPr>
          <w:trHeight w:val="257"/>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Company’s Level 3 life insurance contracts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(1,617)</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at March 31</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Life insurance contracts</w:t>
      </w:r>
      <w:r>
        <w:rPr>
          <w:rFonts w:ascii="Times New Roman" w:cs="Times New Roman" w:eastAsia="Times New Roman" w:hAnsi="Times New Roman"/>
          <w:sz w:val="18"/>
          <w:szCs w:val="18"/>
          <w:color w:val="auto"/>
        </w:rPr>
        <w:t>: Accounting Standards Codification ("ASC") 820 preserves practicability exceptions to fair value measurements provided by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provisions of U.S. GAAP. 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equity investments in companies which are accounted for under the measurement alternative described in ASC 321-10-35-2 for equity securities that lack readily determinable fair values. The carrying amount of an equity security held by the Company without readily determinable fair values was $0 both as of March 31, 2026 and December 31, 2025, respectively. In prior years, the Company recognized $18.1 million of cumulative upward fair value adjustments, based on the valuation of additional equity issued by the investee which was deemed to be an observable transaction of a similar investment under ASC 321. During the year ended December 31, 2025, based on significant deterioration of the business prospects of the investment, the Company recorded a $28.1 million impairment of the investment. These charges were recorded within Other income (expense), net on the Consolidated Statement of Income. The 2025 estimated fair value was determined using a market-based method with level 3 inputs, including revenue and earnings multiples. The Company also had equity securities held without readily determinable fair values of $14.3 million as of both March 31, 2026 and December 31, 2025,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for income taxes for the first quarter of 2026 was $0.8 million, compared to $27.1 million for the prior-year period. The effective tax rates for the first quarter 2026 was 29.4% of pre-tax income compared to 20.1% in the prior-year period. The first quarter of 2026 effective tax rate is higher than the prior-year period due to the tax rate benefit from the sale of Mavely in the first quarter of 2025.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Topic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$171.8 million and $171.4 million as of March 31, 2026 and December 31, 2025, respectively.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its indefinite reinvestment assertions with respect to foreign earnings for each quarter. For all foreign earnings, the Company accrues the applicable foreign income taxes. For the earnings that have been indefinitely reinvested, the Company does not accrue foreign withholding taxes. Undistributed earnings that the Company has indefinitely reinvested, for which no foreign withholding taxes have been provided, aggregate to $60.0 million as of December 31, 2025. If the amount designated as indefinitely reinvested as of December 31, 2025 were repatriated to the United States, the amount of incremental taxes would be approximately $6.0 million. The Company intends to utilize the indefinitely reinvested offshore earnings to fund foreign investments, specifically capital expenditures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in various state and foreign jurisdictions. In 2009, the Company entered into a voluntary program with the IRS called Compliance Assurance Process (“CAP”). The objective of CAP is to contemporaneously work with the IRS to achieve federal tax compliance and resolve all or most of the issues prior to filing of the tax return. As of March 31, 2026, all tax years through 2024, with the exception of 2021, have been audited and are effectively closed to further examination. For tax year 2021, the Company was in the Bridge phase of the CAP program, pursuant to which the IRS will not accept disclosures, will not conduct reviews and will not provide letters of assurance for the Bridge years. There are limited circumstances that tax years in the Bridge phase will be opened for examination. For tax years 2025 and 2026, the Company has been accepted in the IRS's Bridge Plus program. The Company may elect to continue participating in CAP for future tax years; the Company may withdraw from the program at any time. With a few exceptions, the Company is no longer subject to state and local income tax examination by tax authorities for the years before 2022. Foreign jurisdictions have varying lengths of statutes of limitations for income tax examinations. Some statutes are as short as three years and in certain markets may be as long as ten years. The Company is currently under examination in certain foreign jurisdictions; however, the outcomes of those reviews are not yet determinable.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2021, as part of the Organization for Economic Co-operation and Development's ("OECD") Inclusive Framework, 140 member countries agreed to the implementation of the Pillar Two Global Minimum Tax ("Pillar Two") of 15%. The OECD continues to release additional guidance, including administrative guidance on how Pillar Two rules should be interpreted and applied by jurisdictions as they adopt Pillar Two. A number of countries have utilized the administrative guidance as a starting point for legislation that went into effect January 1, 2024. On January 5, 2026, the OECD announced the acceptance of a “side-by-side” safe harbor election that exempts U.S.-parented multinational groups from certain minimum taxes prescribed under the Pillar Two rules. Based on current enacted legislation, the Company anticipates the impact of Pillar Two to be immaterial for 2026.</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U.S. legislation formally titled “An Act to Provide for Reconciliation Pursuant to Title II of H. Con. Res. 14” (“the Act”) and commonly referred to as the One Big Beautiful Bill Act was signed into law. The Act, among other things, extended key provisions of the 2017 Tax Cuts and Jobs Act and introduced targeted changes to the U.S. federal income tax regime. The Act has not materially impacted the Company’s effective tax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 and Hedging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Objective of Using Derivatives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 of Interest Rate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2025, such derivatives were used to hedge the variable cash flows associated with existing variable-rate debt.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July of 2025, the Company’s four interest rate derivatives with a total notional amount of $200 million matured, leaving no outstanding derivatives as of March 31, 2026 and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Cash Flow Hedge Accounting on Accumulated Other Comprehensive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effect of cash flow hedge accounting on Accumulated Other Comprehensive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40" w:type="dxa"/>
            <w:vAlign w:val="bottom"/>
            <w:gridSpan w:val="8"/>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Amount of Gain Recognized in</w:t>
            </w:r>
          </w:p>
        </w:tc>
      </w:tr>
      <w:tr>
        <w:trPr>
          <w:trHeight w:val="245"/>
        </w:trPr>
        <w:tc>
          <w:tcPr>
            <w:tcW w:w="3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gridSpan w:val="9"/>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Other Comprehensive Income on Derivatives</w:t>
            </w:r>
          </w:p>
        </w:tc>
      </w:tr>
      <w:tr>
        <w:trPr>
          <w:trHeight w:val="194"/>
        </w:trPr>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6"/>
          </w:tcPr>
          <w:p>
            <w:pPr>
              <w:jc w:val="center"/>
              <w:ind w:right="3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3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tc>
        <w:tc>
          <w:tcPr>
            <w:tcW w:w="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10"/>
        </w:trPr>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40" w:type="dxa"/>
            <w:vAlign w:val="bottom"/>
            <w:gridSpan w:val="10"/>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Amount of Gain Reclassified from</w:t>
            </w:r>
          </w:p>
        </w:tc>
      </w:tr>
      <w:tr>
        <w:trPr>
          <w:trHeight w:val="245"/>
        </w:trPr>
        <w:tc>
          <w:tcPr>
            <w:tcW w:w="3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380" w:type="dxa"/>
            <w:vAlign w:val="bottom"/>
            <w:gridSpan w:val="11"/>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Accumulated Other Comprehensive Income into Income</w:t>
            </w:r>
          </w:p>
        </w:tc>
      </w:tr>
      <w:tr>
        <w:trPr>
          <w:trHeight w:val="194"/>
        </w:trPr>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5"/>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3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tc>
        <w:tc>
          <w:tcPr>
            <w:tcW w:w="80" w:type="dxa"/>
            <w:vAlign w:val="bottom"/>
          </w:tcPr>
          <w:p>
            <w:pPr>
              <w:spacing w:after="0"/>
              <w:rPr>
                <w:sz w:val="19"/>
                <w:szCs w:val="19"/>
                <w:color w:val="auto"/>
              </w:rPr>
            </w:pPr>
          </w:p>
        </w:tc>
        <w:tc>
          <w:tcPr>
            <w:tcW w:w="28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Income Statement Location</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80" w:type="dxa"/>
            <w:vAlign w:val="bottom"/>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Borders>
              <w:top w:val="single" w:sz="8" w:color="auto"/>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reports revenue from nine segments, consisting of its seven geographic Nu Skin segments—Americas, Southeast Asia/Pacific, Mainland China, Japan, Europe &amp; Africa, South Korea, and Hong Kong/Taiwan—and two Rhyz segments—Manufacturing and Rhyz Other. The Nu Skin Other category includes miscellaneous corporate revenue and related adjustments. The Rhyz Other segment includes two operating segments that are aggregated into one reporting segment and includes other investments by our Rhyz business arm. The Chief Executive Officer is the chief operating decision maker (“CODM”). These segments reflect the way the CODM evaluates the Company's business performance and allocates resources. Reported revenue includes only the revenue generated by sales to external customers.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“Summary of Significant Accounting Policies.” The Company evaluates the performance of its segments based on segment contribution. Each segment records direct expenses related to its employees and its operations.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19"/>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5"/>
              </w:rPr>
              <w:t>Nu Skin</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Rhyz</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Southeast Asia/</w:t>
            </w:r>
          </w:p>
        </w:tc>
        <w:tc>
          <w:tcPr>
            <w:tcW w:w="840" w:type="dxa"/>
            <w:vAlign w:val="bottom"/>
            <w:gridSpan w:val="5"/>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Mainland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6"/>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Europe &amp;</w:t>
            </w:r>
          </w:p>
        </w:tc>
        <w:tc>
          <w:tcPr>
            <w:tcW w:w="1160" w:type="dxa"/>
            <w:vAlign w:val="bottom"/>
            <w:gridSpan w:val="6"/>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Hong Kong/</w:t>
            </w:r>
          </w:p>
        </w:tc>
        <w:tc>
          <w:tcPr>
            <w:tcW w:w="20" w:type="dxa"/>
            <w:vAlign w:val="bottom"/>
          </w:tcPr>
          <w:p>
            <w:pPr>
              <w:spacing w:after="0"/>
              <w:rPr>
                <w:sz w:val="16"/>
                <w:szCs w:val="16"/>
                <w:color w:val="auto"/>
              </w:rPr>
            </w:pPr>
          </w:p>
        </w:tc>
        <w:tc>
          <w:tcPr>
            <w:tcW w:w="62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South</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gridSpan w:val="6"/>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29"/>
                <w:szCs w:val="29"/>
                <w:b w:val="1"/>
                <w:bCs w:val="1"/>
                <w:color w:val="auto"/>
                <w:vertAlign w:val="superscript"/>
              </w:rPr>
              <w:t>(1)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Rhyz</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138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20" w:type="dxa"/>
            <w:vAlign w:val="bottom"/>
          </w:tcPr>
          <w:p>
            <w:pPr>
              <w:spacing w:after="0"/>
              <w:rPr>
                <w:sz w:val="21"/>
                <w:szCs w:val="21"/>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Pacific</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Africa</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Taiwan</w:t>
            </w:r>
          </w:p>
        </w:tc>
        <w:tc>
          <w:tcPr>
            <w:tcW w:w="20" w:type="dxa"/>
            <w:vAlign w:val="bottom"/>
          </w:tcPr>
          <w:p>
            <w:pPr>
              <w:spacing w:after="0"/>
              <w:rPr>
                <w:sz w:val="21"/>
                <w:szCs w:val="21"/>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Korea</w:t>
            </w:r>
          </w:p>
        </w:tc>
        <w:tc>
          <w:tcPr>
            <w:tcW w:w="1540" w:type="dxa"/>
            <w:vAlign w:val="bottom"/>
            <w:gridSpan w:val="6"/>
            <w:vMerge w:val="continue"/>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57,818</w:t>
            </w: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$ 39,739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$ 320,842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4,354</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103,054</w:t>
            </w:r>
          </w:p>
        </w:tc>
        <w:tc>
          <w:tcPr>
            <w:tcW w:w="0" w:type="dxa"/>
            <w:vAlign w:val="bottom"/>
          </w:tcPr>
          <w:p>
            <w:pPr>
              <w:spacing w:after="0"/>
              <w:rPr>
                <w:sz w:val="1"/>
                <w:szCs w:val="1"/>
                <w:color w:val="auto"/>
              </w:rPr>
            </w:pPr>
          </w:p>
        </w:tc>
      </w:tr>
      <w:tr>
        <w:trPr>
          <w:trHeight w:val="188"/>
        </w:trPr>
        <w:tc>
          <w:tcPr>
            <w:tcW w:w="13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Other segment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3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items</w:t>
            </w:r>
            <w:r>
              <w:rPr>
                <w:rFonts w:ascii="Times New Roman" w:cs="Times New Roman" w:eastAsia="Times New Roman" w:hAnsi="Times New Roman"/>
                <w:sz w:val="28"/>
                <w:szCs w:val="28"/>
                <w:color w:val="auto"/>
                <w:vertAlign w:val="superscript"/>
              </w:rPr>
              <w:t>(2)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32,591</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27,320</w:t>
            </w:r>
          </w:p>
        </w:tc>
        <w:tc>
          <w:tcPr>
            <w:tcW w:w="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19,792</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19,460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14,489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12,560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6,118</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7,088</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164,405</w:t>
            </w:r>
          </w:p>
        </w:tc>
        <w:tc>
          <w:tcPr>
            <w:tcW w:w="0" w:type="dxa"/>
            <w:vAlign w:val="bottom"/>
          </w:tcPr>
          <w:p>
            <w:pPr>
              <w:spacing w:after="0"/>
              <w:rPr>
                <w:sz w:val="1"/>
                <w:szCs w:val="1"/>
                <w:color w:val="auto"/>
              </w:rPr>
            </w:pPr>
          </w:p>
        </w:tc>
      </w:tr>
      <w:tr>
        <w:trPr>
          <w:trHeight w:val="198"/>
        </w:trPr>
        <w:tc>
          <w:tcPr>
            <w:tcW w:w="138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8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$ 11,364</w:t>
            </w:r>
          </w:p>
        </w:tc>
        <w:tc>
          <w:tcPr>
            <w:tcW w:w="80" w:type="dxa"/>
            <w:vAlign w:val="bottom"/>
          </w:tcPr>
          <w:p>
            <w:pPr>
              <w:spacing w:after="0"/>
              <w:rPr>
                <w:sz w:val="20"/>
                <w:szCs w:val="20"/>
                <w:color w:val="auto"/>
              </w:rPr>
            </w:pPr>
          </w:p>
        </w:tc>
        <w:tc>
          <w:tcPr>
            <w:tcW w:w="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3,751</w:t>
            </w:r>
          </w:p>
        </w:tc>
        <w:tc>
          <w:tcPr>
            <w:tcW w:w="80" w:type="dxa"/>
            <w:vAlign w:val="bottom"/>
          </w:tcPr>
          <w:p>
            <w:pPr>
              <w:spacing w:after="0"/>
              <w:rPr>
                <w:sz w:val="20"/>
                <w:szCs w:val="20"/>
                <w:color w:val="auto"/>
              </w:rPr>
            </w:pPr>
          </w:p>
        </w:tc>
        <w:tc>
          <w:tcPr>
            <w:tcW w:w="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8,648</w:t>
            </w:r>
          </w:p>
        </w:tc>
        <w:tc>
          <w:tcPr>
            <w:tcW w:w="1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7,283</w:t>
            </w:r>
          </w:p>
        </w:tc>
        <w:tc>
          <w:tcPr>
            <w:tcW w:w="60" w:type="dxa"/>
            <w:vAlign w:val="bottom"/>
          </w:tcPr>
          <w:p>
            <w:pPr>
              <w:spacing w:after="0"/>
              <w:rPr>
                <w:sz w:val="20"/>
                <w:szCs w:val="20"/>
                <w:color w:val="auto"/>
              </w:rPr>
            </w:pP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(7,708)</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53,383</w:t>
            </w:r>
          </w:p>
        </w:tc>
        <w:tc>
          <w:tcPr>
            <w:tcW w:w="0" w:type="dxa"/>
            <w:vAlign w:val="bottom"/>
          </w:tcPr>
          <w:p>
            <w:pPr>
              <w:spacing w:after="0"/>
              <w:rPr>
                <w:sz w:val="1"/>
                <w:szCs w:val="1"/>
                <w:color w:val="auto"/>
              </w:rPr>
            </w:pPr>
          </w:p>
        </w:tc>
      </w:tr>
      <w:tr>
        <w:trPr>
          <w:trHeight w:val="21"/>
        </w:trPr>
        <w:tc>
          <w:tcPr>
            <w:tcW w:w="1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9"/>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5"/>
              </w:rPr>
              <w:t>Nu Skin</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Rhyz</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Southeast Asia/</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7"/>
          </w:tcPr>
          <w:p>
            <w:pPr>
              <w:jc w:val="center"/>
              <w:ind w:right="8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Mainland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Europe &amp;</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4"/>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Hong Kong/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South</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29"/>
                <w:szCs w:val="29"/>
                <w:b w:val="1"/>
                <w:bCs w:val="1"/>
                <w:color w:val="auto"/>
                <w:vertAlign w:val="superscript"/>
              </w:rPr>
              <w:t>(1)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Rhyz</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2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Pacific</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Africa</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Taiwan</w:t>
            </w:r>
          </w:p>
        </w:tc>
        <w:tc>
          <w:tcPr>
            <w:tcW w:w="20" w:type="dxa"/>
            <w:vAlign w:val="bottom"/>
          </w:tcPr>
          <w:p>
            <w:pPr>
              <w:spacing w:after="0"/>
              <w:rPr>
                <w:sz w:val="21"/>
                <w:szCs w:val="21"/>
                <w:color w:val="auto"/>
              </w:rPr>
            </w:pPr>
          </w:p>
        </w:tc>
        <w:tc>
          <w:tcPr>
            <w:tcW w:w="7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Korea</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4"/>
            <w:vMerge w:val="continue"/>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69,058</w:t>
            </w: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52,172</w:t>
            </w: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47,775</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$ 42,765</w:t>
            </w: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33,021</w:t>
            </w: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32,515</w:t>
            </w: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$ 363,961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8,755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5,052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44,975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114,639</w:t>
            </w:r>
          </w:p>
        </w:tc>
        <w:tc>
          <w:tcPr>
            <w:tcW w:w="0" w:type="dxa"/>
            <w:vAlign w:val="bottom"/>
          </w:tcPr>
          <w:p>
            <w:pPr>
              <w:spacing w:after="0"/>
              <w:rPr>
                <w:sz w:val="1"/>
                <w:szCs w:val="1"/>
                <w:color w:val="auto"/>
              </w:rPr>
            </w:pPr>
          </w:p>
        </w:tc>
      </w:tr>
      <w:tr>
        <w:trPr>
          <w:trHeight w:val="188"/>
        </w:trPr>
        <w:tc>
          <w:tcPr>
            <w:tcW w:w="13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Other segment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3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items</w:t>
            </w:r>
            <w:r>
              <w:rPr>
                <w:rFonts w:ascii="Times New Roman" w:cs="Times New Roman" w:eastAsia="Times New Roman" w:hAnsi="Times New Roman"/>
                <w:sz w:val="28"/>
                <w:szCs w:val="28"/>
                <w:color w:val="auto"/>
                <w:vertAlign w:val="superscript"/>
              </w:rPr>
              <w:t>(2)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35,545</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27,023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28,235</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22,156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19,985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13,705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15,321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4,009</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174,515</w:t>
            </w:r>
          </w:p>
        </w:tc>
        <w:tc>
          <w:tcPr>
            <w:tcW w:w="0" w:type="dxa"/>
            <w:vAlign w:val="bottom"/>
          </w:tcPr>
          <w:p>
            <w:pPr>
              <w:spacing w:after="0"/>
              <w:rPr>
                <w:sz w:val="1"/>
                <w:szCs w:val="1"/>
                <w:color w:val="auto"/>
              </w:rPr>
            </w:pPr>
          </w:p>
        </w:tc>
      </w:tr>
      <w:tr>
        <w:trPr>
          <w:trHeight w:val="198"/>
        </w:trPr>
        <w:tc>
          <w:tcPr>
            <w:tcW w:w="138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12,150</w:t>
            </w:r>
          </w:p>
        </w:tc>
        <w:tc>
          <w:tcPr>
            <w:tcW w:w="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$ 11,854</w:t>
            </w:r>
          </w:p>
        </w:tc>
        <w:tc>
          <w:tcPr>
            <w:tcW w:w="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4,662</w:t>
            </w: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9,690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10,753</w:t>
            </w:r>
          </w:p>
        </w:tc>
        <w:tc>
          <w:tcPr>
            <w:tcW w:w="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1,779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74,807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hanging="312"/>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segment had $7.3 million and $8.9 million of intersegment revenue for the three months ended March 31, 2026 and 2025, respectively. Intersegment revenue is eliminated in the consolidated financial statements, as well as the reported segment revenue in the table above.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primarily include selling expenses and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320,842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363,961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Core Nu Skin Adjustments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42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2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contribution</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74,807</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(49,357)</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(84,710)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3,283</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business</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176,162</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(28,375)</w:t>
            </w:r>
          </w:p>
        </w:tc>
      </w:tr>
      <w:tr>
        <w:trPr>
          <w:trHeight w:val="256"/>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280" w:type="dxa"/>
            <w:vAlign w:val="bottom"/>
          </w:tcPr>
          <w:p>
            <w:pPr>
              <w:spacing w:after="0"/>
              <w:rPr>
                <w:sz w:val="24"/>
                <w:szCs w:val="24"/>
                <w:color w:val="auto"/>
              </w:rPr>
            </w:pPr>
          </w:p>
        </w:tc>
        <w:tc>
          <w:tcPr>
            <w:tcW w:w="4400" w:type="dxa"/>
            <w:vAlign w:val="bottom"/>
          </w:tcPr>
          <w:p>
            <w:pPr>
              <w:jc w:val="right"/>
              <w:ind w:right="2908"/>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280" w:type="dxa"/>
            <w:vAlign w:val="bottom"/>
            <w:tcBorders>
              <w:bottom w:val="single" w:sz="8" w:color="auto"/>
            </w:tcBorders>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auto"/>
              </w:rPr>
              <w:t>Table of Contents</w:t>
            </w:r>
          </w:p>
        </w:tc>
        <w:tc>
          <w:tcPr>
            <w:tcW w:w="28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4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5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47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223"/>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4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47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47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12,342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14,206</w:t>
            </w:r>
          </w:p>
        </w:tc>
        <w:tc>
          <w:tcPr>
            <w:tcW w:w="0" w:type="dxa"/>
            <w:vAlign w:val="bottom"/>
          </w:tcPr>
          <w:p>
            <w:pPr>
              <w:spacing w:after="0"/>
              <w:rPr>
                <w:sz w:val="1"/>
                <w:szCs w:val="1"/>
                <w:color w:val="auto"/>
              </w:rPr>
            </w:pPr>
          </w:p>
        </w:tc>
      </w:tr>
      <w:tr>
        <w:trPr>
          <w:trHeight w:val="21"/>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tc>
        <w:tc>
          <w:tcPr>
            <w:tcW w:w="4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900" w:type="dxa"/>
            <w:vAlign w:val="bottom"/>
            <w:gridSpan w:val="2"/>
            <w:vMerge w:val="continue"/>
          </w:tcPr>
          <w:p>
            <w:pPr>
              <w:spacing w:after="0"/>
              <w:rPr>
                <w:sz w:val="24"/>
                <w:szCs w:val="24"/>
                <w:color w:val="auto"/>
              </w:rPr>
            </w:pP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4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5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5,674</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47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4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5,690</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47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13,714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13,584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780" w:type="dxa"/>
            <w:vAlign w:val="bottom"/>
            <w:vMerge w:val="restart"/>
          </w:tcPr>
          <w:p>
            <w:pPr>
              <w:jc w:val="right"/>
              <w:ind w:right="2894"/>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Management believes that the ultimate liability arising from such claims and contingencies, if any, is not likely to have a material adverse effect on the Company’s consolidated financial condition, results of operations or cash flows.</w:t>
      </w:r>
    </w:p>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w:t>
      </w:r>
    </w:p>
    <w:p>
      <w:pPr>
        <w:ind w:firstLine="8"/>
        <w:spacing w:after="0" w:line="260" w:lineRule="auto"/>
        <w:tabs>
          <w:tab w:leader="none" w:pos="2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growth, initiatives, strategies, products, ingredients, product introductions and offerings, product portfolio optimization, restructuring and exit activities, acquisitions, the integration and performance of acquired companies, divestitures, opportunities and risks; statements of management’s expectations, plans and beliefs regarding global economic conditions and our markets (including India), sales force, sales compensation plan and customer base; statements regarding government policies and regulations relating to our industry, including government policies and regulations in or related to the United States and Mainland China; statements regarding tariffs and trade policies; statements regarding the outcome of litigation, audits, investigations, and other legal or regulatory matters; statements of projections and expectations regarding future sales, expenses, operating results, taxes, duties, capital expenditures, sources and uses of cash, foreign-currency fluctuations or devaluations, repatriation of undistributed earnings, and other financial items; statements regarding the payment of future dividends and stock repurchases; accounting estimates and assumptions; statements of belief; and statements of assumptions underlying any of the foregoing. In some cases, you can identify these statements by forward-looking words such as “believe,” “expect,” “enable,” “project,” “anticipate,” “determine,” “estimate,” “intend,” “plan,” “goal,” “objective,” “targets,” “become,”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important risks and uncertainties that could cause actual results to differ materially from the expectations and beliefs contained herein. For a summary of these risks, see the risk factors included in our Annual Report on Form 10-K for the 2025 fiscal year and in any of our subsequent Securities and Exchange Commission filings, including this Quarterly Report.</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should be read in conjunction with our consolidated financial statements and related notes and Management’s Discussion and Analysis included in our Annual Report on Form 10-K for the 2025 fiscal year, and our other reports filed with the Securities and Exchange Commission through the date of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three-month period ended March 31, 2026 decreased 12.0% to $320.6 million, compared to $364.5 million in the prior-year period. Our revenue in the first quarter of 2026 was positively impacted by 1.1% from foreign-currency fluctuations. Our Customers, Paid Affiliates and Sales Leaders declined 14%, 8% and 13%, respectively, on a year-over-year basis.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declines for the three-month period ended March 31, 2026 were largely driven by the continued macroeconomic challenges we have been facing in our markets, which have negatively impacted consumer spending and customer acquisition. In addition, while we continue to make progress on our long-term vision, we have experienced headwinds from the transformation process. Our priorities for 2026 focus on business model optimization, driven by the continued rollout of enhancements to our sales performance plan, the continued launch of our </w:t>
      </w:r>
      <w:r>
        <w:rPr>
          <w:rFonts w:ascii="Times New Roman" w:cs="Times New Roman" w:eastAsia="Times New Roman" w:hAnsi="Times New Roman"/>
          <w:sz w:val="18"/>
          <w:szCs w:val="18"/>
          <w:i w:val="1"/>
          <w:iCs w:val="1"/>
          <w:color w:val="auto"/>
        </w:rPr>
        <w:t>Prysm iO</w:t>
      </w:r>
      <w:r>
        <w:rPr>
          <w:rFonts w:ascii="Times New Roman" w:cs="Times New Roman" w:eastAsia="Times New Roman" w:hAnsi="Times New Roman"/>
          <w:sz w:val="18"/>
          <w:szCs w:val="18"/>
          <w:color w:val="auto"/>
        </w:rPr>
        <w:t xml:space="preserve"> intelligent wellness platform and business expansion into India. In the first quarter of 2026, we predominately completed the Sales Leader previews of </w:t>
      </w:r>
      <w:r>
        <w:rPr>
          <w:rFonts w:ascii="Times New Roman" w:cs="Times New Roman" w:eastAsia="Times New Roman" w:hAnsi="Times New Roman"/>
          <w:sz w:val="18"/>
          <w:szCs w:val="18"/>
          <w:i w:val="1"/>
          <w:iCs w:val="1"/>
          <w:color w:val="auto"/>
        </w:rPr>
        <w:t>Prysm iO</w:t>
      </w:r>
      <w:r>
        <w:rPr>
          <w:rFonts w:ascii="Times New Roman" w:cs="Times New Roman" w:eastAsia="Times New Roman" w:hAnsi="Times New Roman"/>
          <w:sz w:val="18"/>
          <w:szCs w:val="18"/>
          <w:color w:val="auto"/>
        </w:rPr>
        <w:t>. We remain focused on the associated Sales Leader activation to enable a successful launch.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per share for the first quarter of 2026 decreased to $0.04, compared to $2.14 in the prior-year period. Our first quarter of 2026 earnings per share was negatively impacted by the decline in revenue and $5.9 million of charges associated with our decision to wind down our separate BeautyBio business. Our 2025 earnings per share benefited from the January 2025 sale of our Mavely business, which generated a pre-tax gain of approximately $176.2 million, partially offset by the associated taxes, an intangible asset group impairment of $25.1 million in our Rhyz Other segment and a non-cash loss on equity investment of $28.1 million.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business in nine segments to reflect our current management approach. These segments consist of our seven geographic Nu Skin segments—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 Mainland China, Southeast Asia/Pacific, Japan, Europe &amp; Africa, South Korea and Hong Kong/Taiwan—and our two Rhyz segments—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and Rhyz Other. The Nu Skin Other category includes miscellaneous corporate revenue and related adjustments.</w:t>
      </w:r>
    </w:p>
    <w:p>
      <w:pPr>
        <w:spacing w:after="0" w:line="207"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revenue for the three-month periods ended March 31, 2026 and 2025 for each of our reportable segments (U.S.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Constant-</w:t>
            </w:r>
          </w:p>
        </w:tc>
      </w:t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23"/>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6"/>
                <w:szCs w:val="16"/>
                <w:b w:val="1"/>
                <w:bCs w:val="1"/>
                <w:color w:val="auto"/>
              </w:rPr>
              <w:t>Change</w:t>
            </w:r>
            <w:r>
              <w:rPr>
                <w:rFonts w:ascii="Times New Roman" w:cs="Times New Roman" w:eastAsia="Times New Roman" w:hAnsi="Times New Roman"/>
                <w:sz w:val="25"/>
                <w:szCs w:val="25"/>
                <w:b w:val="1"/>
                <w:bCs w:val="1"/>
                <w:color w:val="auto"/>
                <w:vertAlign w:val="superscript"/>
              </w:rPr>
              <w:t>(1)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57,818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69,058</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45,474</w:t>
            </w:r>
          </w:p>
        </w:tc>
        <w:tc>
          <w:tcPr>
            <w:tcW w:w="3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52,172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45,148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47,775</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39,739</w:t>
            </w:r>
          </w:p>
        </w:tc>
        <w:tc>
          <w:tcPr>
            <w:tcW w:w="3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42,765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31,218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33,021</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27,457</w:t>
            </w:r>
          </w:p>
        </w:tc>
        <w:tc>
          <w:tcPr>
            <w:tcW w:w="3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28,447</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25,329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32,515</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3"/>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 Skin Other</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3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529</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271,949</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306,282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44,925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55,290</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2,918</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r>
      <w:tr>
        <w:trPr>
          <w:trHeight w:val="223"/>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48,659</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58,208</w:t>
            </w:r>
          </w:p>
        </w:tc>
        <w:tc>
          <w:tcPr>
            <w:tcW w:w="2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320,608</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364,490</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Constant-currency revenue change is a non-GAAP financial measure. See “Non-GAAP Financial Measures,” below.</w:t>
      </w:r>
    </w:p>
    <w:p>
      <w:pPr>
        <w:spacing w:after="0" w:line="22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tables below set forth summarized financial information for each of our reportable segments for the three-month periods ended March 31, 2026 and 2025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For additional information regarding our segments and the calculation of segment contribution, see Note 11 to the consolidated financial statements contained in this report.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11"/>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1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Nu Skin</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Rhyz</w:t>
            </w: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4"/>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Southeast Asia/</w:t>
            </w:r>
          </w:p>
        </w:tc>
        <w:tc>
          <w:tcPr>
            <w:tcW w:w="980" w:type="dxa"/>
            <w:vAlign w:val="bottom"/>
            <w:gridSpan w:val="4"/>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Mainland</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Europe &amp;</w:t>
            </w:r>
          </w:p>
        </w:tc>
        <w:tc>
          <w:tcPr>
            <w:tcW w:w="11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Hong Kong/</w:t>
            </w:r>
          </w:p>
        </w:tc>
        <w:tc>
          <w:tcPr>
            <w:tcW w:w="40" w:type="dxa"/>
            <w:vAlign w:val="bottom"/>
          </w:tcPr>
          <w:p>
            <w:pPr>
              <w:spacing w:after="0"/>
              <w:rPr>
                <w:sz w:val="16"/>
                <w:szCs w:val="16"/>
                <w:color w:val="auto"/>
              </w:rPr>
            </w:pPr>
          </w:p>
        </w:tc>
        <w:tc>
          <w:tcPr>
            <w:tcW w:w="60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South</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2"/>
          </w:tcPr>
          <w:p>
            <w:pPr>
              <w:jc w:val="right"/>
              <w:ind w:right="80"/>
              <w:spacing w:after="0" w:line="194" w:lineRule="exact"/>
              <w:rPr>
                <w:sz w:val="20"/>
                <w:szCs w:val="20"/>
                <w:color w:val="auto"/>
              </w:rPr>
            </w:pPr>
            <w:r>
              <w:rPr>
                <w:rFonts w:ascii="Times New Roman" w:cs="Times New Roman" w:eastAsia="Times New Roman" w:hAnsi="Times New Roman"/>
                <w:sz w:val="18"/>
                <w:szCs w:val="18"/>
                <w:b w:val="1"/>
                <w:bCs w:val="1"/>
                <w:color w:val="auto"/>
              </w:rPr>
              <w:t>Rhyz</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4"/>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1120" w:type="dxa"/>
            <w:vAlign w:val="bottom"/>
          </w:tcPr>
          <w:p>
            <w:pPr>
              <w:spacing w:after="0"/>
              <w:rPr>
                <w:sz w:val="21"/>
                <w:szCs w:val="2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00" w:type="dxa"/>
            <w:vAlign w:val="bottom"/>
          </w:tcPr>
          <w:p>
            <w:pPr>
              <w:spacing w:after="0"/>
              <w:rPr>
                <w:sz w:val="21"/>
                <w:szCs w:val="21"/>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Pacific</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120" w:type="dxa"/>
            <w:vAlign w:val="bottom"/>
          </w:tcPr>
          <w:p>
            <w:pPr>
              <w:spacing w:after="0"/>
              <w:rPr>
                <w:sz w:val="21"/>
                <w:szCs w:val="21"/>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Africa</w:t>
            </w:r>
          </w:p>
        </w:tc>
        <w:tc>
          <w:tcPr>
            <w:tcW w:w="120" w:type="dxa"/>
            <w:vAlign w:val="bottom"/>
          </w:tcPr>
          <w:p>
            <w:pPr>
              <w:spacing w:after="0"/>
              <w:rPr>
                <w:sz w:val="21"/>
                <w:szCs w:val="21"/>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Taiwan</w:t>
            </w:r>
          </w:p>
        </w:tc>
        <w:tc>
          <w:tcPr>
            <w:tcW w:w="4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Korea</w:t>
            </w: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60" w:type="dxa"/>
            <w:vAlign w:val="bottom"/>
          </w:tcPr>
          <w:p>
            <w:pPr>
              <w:spacing w:after="0"/>
              <w:rPr>
                <w:sz w:val="21"/>
                <w:szCs w:val="21"/>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9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Segments</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45,148</w:t>
            </w: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$39,739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$25,329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$ 3,734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$ 320,842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8,005</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8,583</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8,007</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4,320</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5,486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38,889</w:t>
            </w: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4,354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103,054</w:t>
            </w:r>
          </w:p>
        </w:tc>
        <w:tc>
          <w:tcPr>
            <w:tcW w:w="40" w:type="dxa"/>
            <w:vAlign w:val="bottom"/>
          </w:tcPr>
          <w:p>
            <w:pPr>
              <w:spacing w:after="0"/>
              <w:rPr>
                <w:sz w:val="18"/>
                <w:szCs w:val="18"/>
                <w:color w:val="auto"/>
              </w:rPr>
            </w:pP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41"/>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items</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32,591</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24,987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27,320</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19,792</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19,460</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14,489</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12,560</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6,118</w:t>
            </w:r>
          </w:p>
        </w:tc>
        <w:tc>
          <w:tcPr>
            <w:tcW w:w="8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7,088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164,405</w:t>
            </w:r>
          </w:p>
        </w:tc>
        <w:tc>
          <w:tcPr>
            <w:tcW w:w="40" w:type="dxa"/>
            <w:vAlign w:val="bottom"/>
            <w:shd w:val="clear" w:color="auto" w:fill="CCEEFF"/>
          </w:tcPr>
          <w:p>
            <w:pPr>
              <w:spacing w:after="0"/>
              <w:rPr>
                <w:sz w:val="20"/>
                <w:szCs w:val="20"/>
                <w:color w:val="auto"/>
              </w:rPr>
            </w:pPr>
          </w:p>
        </w:tc>
      </w:tr>
      <w:tr>
        <w:trPr>
          <w:trHeight w:val="198"/>
        </w:trPr>
        <w:tc>
          <w:tcPr>
            <w:tcW w:w="112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4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9,303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9,823</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11,364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8,648</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$ 7,283</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(7,708)</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53,383</w:t>
            </w:r>
          </w:p>
        </w:tc>
        <w:tc>
          <w:tcPr>
            <w:tcW w:w="40" w:type="dxa"/>
            <w:vAlign w:val="bottom"/>
          </w:tcPr>
          <w:p>
            <w:pPr>
              <w:spacing w:after="0"/>
              <w:rPr>
                <w:sz w:val="20"/>
                <w:szCs w:val="20"/>
                <w:color w:val="auto"/>
              </w:rPr>
            </w:pP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percentage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revenue</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439"/>
        </w:trPr>
        <w:tc>
          <w:tcPr>
            <w:tcW w:w="1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1"/>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1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Nu Skin</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Rhyz</w:t>
            </w: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4"/>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Southeast Asia/</w:t>
            </w:r>
          </w:p>
        </w:tc>
        <w:tc>
          <w:tcPr>
            <w:tcW w:w="980" w:type="dxa"/>
            <w:vAlign w:val="bottom"/>
            <w:gridSpan w:val="4"/>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Mainland</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Europe &amp;</w:t>
            </w:r>
          </w:p>
        </w:tc>
        <w:tc>
          <w:tcPr>
            <w:tcW w:w="11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Hong Kong/</w:t>
            </w:r>
          </w:p>
        </w:tc>
        <w:tc>
          <w:tcPr>
            <w:tcW w:w="40" w:type="dxa"/>
            <w:vAlign w:val="bottom"/>
          </w:tcPr>
          <w:p>
            <w:pPr>
              <w:spacing w:after="0"/>
              <w:rPr>
                <w:sz w:val="16"/>
                <w:szCs w:val="16"/>
                <w:color w:val="auto"/>
              </w:rPr>
            </w:pPr>
          </w:p>
        </w:tc>
        <w:tc>
          <w:tcPr>
            <w:tcW w:w="60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South</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Rhyz</w:t>
            </w:r>
          </w:p>
        </w:tc>
        <w:tc>
          <w:tcPr>
            <w:tcW w:w="2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4"/>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1120" w:type="dxa"/>
            <w:vAlign w:val="bottom"/>
          </w:tcPr>
          <w:p>
            <w:pPr>
              <w:spacing w:after="0"/>
              <w:rPr>
                <w:sz w:val="21"/>
                <w:szCs w:val="2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00" w:type="dxa"/>
            <w:vAlign w:val="bottom"/>
          </w:tcPr>
          <w:p>
            <w:pPr>
              <w:spacing w:after="0"/>
              <w:rPr>
                <w:sz w:val="21"/>
                <w:szCs w:val="21"/>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Pacific</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120" w:type="dxa"/>
            <w:vAlign w:val="bottom"/>
          </w:tcPr>
          <w:p>
            <w:pPr>
              <w:spacing w:after="0"/>
              <w:rPr>
                <w:sz w:val="21"/>
                <w:szCs w:val="21"/>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Africa</w:t>
            </w:r>
          </w:p>
        </w:tc>
        <w:tc>
          <w:tcPr>
            <w:tcW w:w="120" w:type="dxa"/>
            <w:vAlign w:val="bottom"/>
          </w:tcPr>
          <w:p>
            <w:pPr>
              <w:spacing w:after="0"/>
              <w:rPr>
                <w:sz w:val="21"/>
                <w:szCs w:val="21"/>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Taiwan</w:t>
            </w:r>
          </w:p>
        </w:tc>
        <w:tc>
          <w:tcPr>
            <w:tcW w:w="4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Korea</w:t>
            </w: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8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Segments</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47,775</w:t>
            </w: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$42,765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$32,515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55,290</w:t>
            </w: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$ 2,918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$ 363,961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8,988</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8,755</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8,374</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5,052</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6,441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44,975</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1,289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114,639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items</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27,023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28,235</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22,156</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19,985</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13,705</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15,321</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8,536</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4,009</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174,515</w:t>
            </w: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112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12,150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10,552</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11,854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9,690</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10,753</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1,779</w:t>
            </w: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(2,380)</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74,807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percentage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revenue</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00"/>
          </w:cols>
          <w:pgMar w:left="320" w:top="115" w:right="279" w:bottom="336" w:gutter="0" w:footer="0" w:header="0"/>
        </w:sectPr>
      </w:pP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115" w:right="279" w:bottom="336"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the number of Customers, Paid Affiliates and Sales Leaders in our core Nu Skin business for the three-month periods ended March 31, 2026 and 2025.</w:t>
      </w:r>
    </w:p>
    <w:p>
      <w:pPr>
        <w:spacing w:after="0" w:line="162"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Leaders” are the three-month average of our monthly Brand Affiliates, as well as sales employees and independent marketers in Mainland China, who achieved certain qualification requirements as of the end of each month of the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6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37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37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35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4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227,514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4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67,461</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4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122,474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102,392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107,742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4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115,343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130,154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4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35,899</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3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71,721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370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Customers</w:t>
            </w:r>
          </w:p>
        </w:tc>
        <w:tc>
          <w:tcPr>
            <w:tcW w:w="3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669,535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776,712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Paid Affiliates</w:t>
            </w:r>
          </w:p>
        </w:tc>
        <w:tc>
          <w:tcPr>
            <w:tcW w:w="35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4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27,039</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26,936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4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18,163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22,296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4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18,064</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19,859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4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19,224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21,073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4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13,607</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4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4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15,212</w:t>
            </w: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16,548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Paid Affiliates</w:t>
            </w:r>
          </w:p>
        </w:tc>
        <w:tc>
          <w:tcPr>
            <w:tcW w:w="35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131,518</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Leaders</w:t>
            </w:r>
          </w:p>
        </w:tc>
        <w:tc>
          <w:tcPr>
            <w:tcW w:w="3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4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4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4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3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370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Sales Leaders</w:t>
            </w:r>
          </w:p>
        </w:tc>
        <w:tc>
          <w:tcPr>
            <w:tcW w:w="3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31,036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571"/>
        </w:trPr>
        <w:tc>
          <w:tcPr>
            <w:tcW w:w="3700" w:type="dxa"/>
            <w:vAlign w:val="bottom"/>
          </w:tcPr>
          <w:p>
            <w:pPr>
              <w:spacing w:after="0"/>
              <w:rPr>
                <w:sz w:val="24"/>
                <w:szCs w:val="24"/>
                <w:color w:val="auto"/>
              </w:rPr>
            </w:pPr>
          </w:p>
        </w:tc>
        <w:tc>
          <w:tcPr>
            <w:tcW w:w="3580" w:type="dxa"/>
            <w:vAlign w:val="bottom"/>
          </w:tcPr>
          <w:p>
            <w:pPr>
              <w:jc w:val="right"/>
              <w:ind w:right="1491"/>
              <w:spacing w:after="0"/>
              <w:rPr>
                <w:sz w:val="20"/>
                <w:szCs w:val="20"/>
                <w:color w:val="auto"/>
              </w:rPr>
            </w:pPr>
            <w:r>
              <w:rPr>
                <w:rFonts w:ascii="Times New Roman" w:cs="Times New Roman" w:eastAsia="Times New Roman" w:hAnsi="Times New Roman"/>
                <w:sz w:val="14"/>
                <w:szCs w:val="14"/>
                <w:color w:val="auto"/>
              </w:rPr>
              <w:t>20</w:t>
            </w: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
        </w:trPr>
        <w:tc>
          <w:tcPr>
            <w:tcW w:w="370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narrative discussion of our results in each segment, which supplements the tables above.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Americas</w:t>
      </w:r>
      <w:r>
        <w:rPr>
          <w:rFonts w:ascii="Times New Roman" w:cs="Times New Roman" w:eastAsia="Times New Roman" w:hAnsi="Times New Roman"/>
          <w:sz w:val="18"/>
          <w:szCs w:val="18"/>
          <w:color w:val="auto"/>
        </w:rPr>
        <w:t xml:space="preserve">. The results in our Americas segment reflect a continued decline in our North America markets, while our Latin America markets grew year-over-year. As our Sales Leaders prioritized </w:t>
      </w:r>
      <w:r>
        <w:rPr>
          <w:rFonts w:ascii="Times New Roman" w:cs="Times New Roman" w:eastAsia="Times New Roman" w:hAnsi="Times New Roman"/>
          <w:sz w:val="18"/>
          <w:szCs w:val="18"/>
          <w:i w:val="1"/>
          <w:iCs w:val="1"/>
          <w:color w:val="auto"/>
        </w:rPr>
        <w:t>Prysm iO</w:t>
      </w:r>
      <w:r>
        <w:rPr>
          <w:rFonts w:ascii="Times New Roman" w:cs="Times New Roman" w:eastAsia="Times New Roman" w:hAnsi="Times New Roman"/>
          <w:sz w:val="18"/>
          <w:szCs w:val="18"/>
          <w:color w:val="auto"/>
        </w:rPr>
        <w:t xml:space="preserve"> and associated wellness products, we experienced switching costs in the first quarter of 2026 as many of our Sales Leaders began adapting to a greater focus on wellness products than previously. In addition, our reported revenue reflects negative impacts from unfavorable foreign currency fluctuations of 3.7% for the first quarter of 2026.</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year-over-year decrease in segment contribution for the first quarter of 2026 primarily reflects the overall decline in revenue, as well as a 3.5 percentage-point increase in selling expenses from additional incentives aimed at assisting the transition to the sales performance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Southeast Asia/Pacific</w:t>
      </w:r>
      <w:r>
        <w:rPr>
          <w:rFonts w:ascii="Times New Roman" w:cs="Times New Roman" w:eastAsia="Times New Roman" w:hAnsi="Times New Roman"/>
          <w:sz w:val="18"/>
          <w:szCs w:val="18"/>
          <w:color w:val="auto"/>
        </w:rPr>
        <w:t>. The decline in revenue, Customers, Paid Affiliates and Sales Leaders for the first quarter of 2026 is primarily attributable to slowing momentum from the general macroeconomic factors in the markets. We remain focused on expansion of our developing market strategy in this region. In addition, our reported revenue reflects a benefit from favorable foreign currency fluctuations of 3.8% for the first quarter of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year-over-year decrease in segment contribution for the first quarter of 2026 primarily reflects the decline in revenue as well as a slight increase in general and administrative cost associated with our pre-market activities in India in preparation for the full market opening in late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Mainland China</w:t>
      </w:r>
      <w:r>
        <w:rPr>
          <w:rFonts w:ascii="Times New Roman" w:cs="Times New Roman" w:eastAsia="Times New Roman" w:hAnsi="Times New Roman"/>
          <w:sz w:val="18"/>
          <w:szCs w:val="18"/>
          <w:color w:val="auto"/>
        </w:rPr>
        <w:t>. Our Mainland China market continued to be challenged during the first quarter of 2026, with ongoing macroeconomic factors, the associated decrease in consumer spending and a continued shift of market consumer awareness and demand to online product marketplaces. In addition, our reported revenue reflects a benefit from favorable foreign currency fluctuations of 4.5% for the first quarter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segment contribution for the first quarter of 2026 primarily reflects the decline in revenue.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Japan</w:t>
      </w:r>
      <w:r>
        <w:rPr>
          <w:rFonts w:ascii="Times New Roman" w:cs="Times New Roman" w:eastAsia="Times New Roman" w:hAnsi="Times New Roman"/>
          <w:sz w:val="18"/>
          <w:szCs w:val="18"/>
          <w:color w:val="auto"/>
        </w:rPr>
        <w:t>. The reduction in revenue, Customers, Paid Affiliates and Sales Leaders is partially attributable to consumer inflationary pressures which depressed spending. In addition, our reported revenue reflects negative impacts from unfavorable foreign currency fluctuations of 2.8% for the first quarter of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in segment contribution is primarily attributable to the decreased revenue.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Europe &amp; Africa</w:t>
      </w:r>
      <w:r>
        <w:rPr>
          <w:rFonts w:ascii="Times New Roman" w:cs="Times New Roman" w:eastAsia="Times New Roman" w:hAnsi="Times New Roman"/>
          <w:sz w:val="18"/>
          <w:szCs w:val="18"/>
          <w:color w:val="auto"/>
        </w:rPr>
        <w:t>. The reduction in revenue, Customers, Paid Affiliates and Sales Leaders reflects continued softness in these markets, as well as the macroeconomic factors that have led to a decline in the purchasing power of our customers. In addition, our reported revenue reflects a benefit from favorable foreign currency fluctuations of 9.3% for the first quarter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in segment contribution was primarily driven by an increase in general and administrative expenses with a decline in revenue.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Hong Kong/Taiwan</w:t>
      </w:r>
      <w:r>
        <w:rPr>
          <w:rFonts w:ascii="Times New Roman" w:cs="Times New Roman" w:eastAsia="Times New Roman" w:hAnsi="Times New Roman"/>
          <w:sz w:val="18"/>
          <w:szCs w:val="18"/>
          <w:color w:val="auto"/>
        </w:rPr>
        <w:t>. The declines in our Hong Kong/Taiwan segment for the first quarter of 2026 is attributable to macroeconomic issues, which are resulting in less purchasing power for our consumers. Our reported revenue reflects benefits from favorable foreign currency fluctuations of 2.4% for the first quarter of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segment contribution for the first quarter of 2026 is partially attributable to a 2.1 percentage-point increase in selling expenses associated with our recent compensation plan enhancements, as well as the decline in revenue paired with the fixed nature of general and administrative expenses, partially offset by a 2.0 percentage point improvement in gross margin from less product write-offs and product promotions.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South Korea</w:t>
      </w:r>
      <w:r>
        <w:rPr>
          <w:rFonts w:ascii="Times New Roman" w:cs="Times New Roman" w:eastAsia="Times New Roman" w:hAnsi="Times New Roman"/>
          <w:sz w:val="18"/>
          <w:szCs w:val="18"/>
          <w:color w:val="auto"/>
        </w:rPr>
        <w:t>. Our South Korea market was challenged by difficult macroeconomic trends, including inflationary pressures, political instability, and our associated price increases which negatively impacted our revenue, Customers, Paid Affiliates and Sales Leaders for the first quarter of 2026. In addition, in the first quarter of 2026, we lowered our commission to remain in compliance with the local law.</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year-over-year decline in segment contribution primarily reflects the decline in revenue, as well as a 1.9 percentage-point decrease in gross margin and a 1.5 percentage-point decrease in selling expenses from the reduction.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Our Manufacturing segment revenue decreased 18.7% for the first quarter of 2026. The decrease is partially due to a tough comparison with a strong first quarter of 2025, as well as customer order delays related to the tariff and associated economic uncertainty.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segment contribution is primarily due to the decline in revenue, as well as fixed cost pressure within cost of goods sold.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Rhyz Other</w:t>
      </w:r>
      <w:r>
        <w:rPr>
          <w:rFonts w:ascii="Times New Roman" w:cs="Times New Roman" w:eastAsia="Times New Roman" w:hAnsi="Times New Roman"/>
          <w:sz w:val="18"/>
          <w:szCs w:val="18"/>
          <w:color w:val="auto"/>
        </w:rPr>
        <w:t>. The increase in revenue for the first quarter of 2026 is primarily from our LifeDNA, Inc. (“LifeDNA”) entity, a DNA assessment and recommendation technology company, which revenue increased 96.1% for the first quarter of 2026. We are currently evaluating strategic opportunities with LifeDNA, including potentially divesting it, to maximize our return on investment. This was partially offset by a 66.9% decline in revenue at our BeautyBio entity, which we have decided to exit in the first quarter of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acquired the remaining 30% equity interest in LifeDNA, for cash consideration of $6.5 million. The carrying amount of noncontrolling interest, which was previously included in other liabilities on the consolidated balance sheet, was reduced by $4.1 million, with the difference of $2.4 million recorded in additional paid-in capital. Following this transaction, LifeDNA became a wholly owned subsidiary. Due to the noncontrolling interest’s immaterial balance, we have not historically separately disclosed the noncontrolling interest balance or activity.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segment contribution is primarily due to our decision to wind down our separate BeautyBio business and the associated $3.1 million inventory charge, $1.8 million of intangible impairment and $1.0 million in other associated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three-month period ended March 31, 2026 decreased 12.0% to $320.6 million, compared to $364.5 million in the prior-year period. Our revenue in the first quarter of 2026 was positively impacted by 1.1%, from foreign-currency fluctuations. For a discussion and analysis of these decreases in revenue, see “Overview” and “Segment Results,”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as a percentage of revenue was 66.9% for the first quarter of 2026, compared to 67.8% for the prior-year period. Gross profit as a percentage of revenue for our Nu Skin business increased 0.2 percentage points to 76.9% for the first quarter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expenses as a percentage of revenue increased to 34.3% for the first quarter of 2026, compared to 32.5% for the prior-year period. Core Nu Skin selling expenses as a percentage of revenue increased 1.8 percentage points to 40.5% for the first quarter of 2026.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 plus or minus approximately 100 basis points from period to period.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to $98.5 million in the first quarter of 2026, compared to $113.2 million in the prior-year period. The $14.7 million decline for the first quarter is from a $5.5 million contraction in labor expenses primarily from $5.2 million of stock-based compensation expense recorded in the first quarter of 2025 related to profit interest units issued to the Mavely founders and a $5.4 million decline in software and related contracts from continued cost management. General and administrative expenses as a percentage of revenue decreased to 30.7% for the first quarter of 2026, from 31.1% for the prior-year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Impairment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Intangibles and fixed asset impairment.</w:t>
      </w:r>
      <w:r>
        <w:rPr>
          <w:rFonts w:ascii="Times New Roman" w:cs="Times New Roman" w:eastAsia="Times New Roman" w:hAnsi="Times New Roman"/>
          <w:sz w:val="18"/>
          <w:szCs w:val="18"/>
          <w:color w:val="auto"/>
        </w:rPr>
        <w:t xml:space="preserve"> During the three months ended March 31, 2025, we decided to make a strategic shift in how we operate the BeautyBio asset group. These strategic changes included exiting certain sales channels, which reduced the forecasted revenues for BeautyBio. We concluded these actions were an interim impairment triggering event that required us to perform an interim impairment analysis on our BeautyBio asset group. We assessed the recoverability of the related asset group comparing the carrying value to the undiscounted cash flows expected to be generated. The recoverability test indicated the asset group was impaired. We concluded that the carrying value of the asset group exceeded the estimated fair value, which resulted in an impairment charge of $25.1 million in our Rhyz Other segment during the three months ended March 31, 2025.</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decided to wind down our separate BeautyBio business. As part of this exit, we incurred an impairment charge of $1.8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increased to $4.3 million in the first quarter of 2026, compared to $3.3 million in the prior-year period. The increase is primarily due to our interest rate swap arrangements that we entered into in 2020 maturing on July 31, 2025, at which time our effective interest rate increased.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Gain on sale of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2025, we completed the sale of our Mavely entity for $230 million in cash and shares of the purchaser’s common stock, subject to certain adjustments as set forth in the purchase agreement, including post-closing determination of net working capital and other elements of purchase price. Following the completion of certain payments to other equity holders in Mavely and the payment of certain transaction expenses, we received $193.7 million of cash and equity interest with an estimated fair value of $6.1 million. Following the finalization of net working capital, we received additional cash payments of $2.7 million and $1.7 million in the second and third quarter of 2025, respectively. In the first quarter of 2025, we recorded a pre-tax gain on disposition of $176.2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 net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income (expense), net was $2.8 million for the first quarter of 2026 compared to $(28.4) million for the prior-year period. In the first quarter of 2025, we recorded a $28.1 million unrealized loss on investment. See Note 8 to the consolidated financial statements contained in this report for more information on the unrealized equity investment and the associated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(benefit) for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for income taxes for the first quarter of 2026 was $0.8 million, compared to $27.1 million for the prior-year period. The effective tax rate was 29.4% of income before provision for income taxes during the first quarter of 2026 compared to 20.1% in the prior-year period. The first quarter of 2026 effective tax rate is higher than the prior-year period due to the tax rate benefit from the sale of Mavely in the first quarter of 2025.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completed the initial assessment of the OBBBA corporate tax provisions as they relate to our financial statements in the third quarter of 2025. The enactment of the OBBBA did not have a material impact to our income tax benefit for the three months ended March 31, 2026. We will continue to evaluate the impacts of OBBBA and do not expect the OBBBA to have a material impact to our total tax provision.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factors, net income for the first quarter of 2026 was $1.8 million compared to $107.5 million in the prior-year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our principal uses of cash have included operating expenses (particularly selling expenses) and working capital (principally inventory purchases), as well as capital expenditures, stock repurchases, dividends, and debt repayment.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However, in the first three months of 2026, we had a net outflow of $3.9 million in cash from operations, compared to $0.4 million of cash provided by operations in the prior-year period. The decrease in cash flow from operations primarily reflects cash payments made in the first quarter of 2026 related to prepaid corporate income taxes. Cash and cash equivalents, including current investments, as of March 31, 2026 and December 31, 2025 were $200.4 million and $239.8 million, respectively, with the decrease being primarily driven by $13.7 million of capital expenditures, $6.5 million for the purchase of noncontrolling interest in LifeDNA and $5.0 million in share repurchases.</w:t>
      </w:r>
    </w:p>
    <w:p>
      <w:pPr>
        <w:spacing w:after="0" w:line="18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As of March 31, 2026, working capital was $265.9 million, compared to $284.0 million as of December 31, 2025. Our decrease in working capital is primarily attributable to changes in our cash balance as explained above.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Capital expenditures for the three months ended March 31, 2026 were $13.7 million. We expect that our capital expenditures in 2026 will be primarily related to:</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Rhyz plant expansion to increase capacity and capabilities;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expenditures for computer systems and equipment, software, and application development;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and upgrade of facilities in our various markets.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capital expenditures for the uses listed above will total approximately $40–60 million for 2026.</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2022 Credit Agreement</w:t>
      </w:r>
      <w:r>
        <w:rPr>
          <w:rFonts w:ascii="Times New Roman" w:cs="Times New Roman" w:eastAsia="Times New Roman" w:hAnsi="Times New Roman"/>
          <w:sz w:val="18"/>
          <w:szCs w:val="18"/>
          <w:color w:val="auto"/>
        </w:rPr>
        <w:t>. On June 14, 2022, we entered into an Amended and Restated 2022 Credit Agreement (the “2022 Credit Agreement”) with various financial institutions as lenders and Bank of America, N.A., as administrative agent. The 2022 Credit Agreement provided for a $400.0 million term loan facility and a $500.0 million revolving credit facility, each with a term of five years. We used the proceeds of the term loan and the draw on the revolving facility to pay off the 2018 Credit Agreement. The interest rate applicable to the facilities was subject to adjustments based on our consolidated leverage ratio. The term loan facility amortized in quarterly installments in amounts resulting in an annual amortization of 2.5% during the first year and 5.0% during the subsequent years after the closing date of the 2022 Credit Agreement, with the remainder payable at final maturity. As of December 31, 2025, we had $0.0 million of outstanding borrowings under our revolving credit facility, and $225.0 million on our term loan facility. The carrying value of the debt also reflected debt issuance costs of $0.8 million as of December 31, 2025, related to the 2022 Credit Agreement. The 2022 Credit Agreement required us to maintain a consolidated leverage ratio not exceeding 2.75 to 1.00 and a consolidated interest coverage ratio of no less than 3.00 to 1.00. As of December 31, 2025, we were in compliance with all debt covenants under the 2022 Credit Agreement.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On March 27, 2026, the Company entered into an Amended and Restated Credit Agreement (the “Credit Agreement”) with several financial institutions as lenders and Bank of America, N.A., as administrative agent, which amended and restated the 2022 Credit Agreement. The Credit Agreement provides for a $175.0 million term loan facility and a $75.0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will amortize in equal quarterly installments in amounts resulting in an annual amortization of $20.0 million per annum, with the remainder payable at final maturity. The Credit Agreement is guaranteed by certain of the Company's domestic subsidiaries and collateralized by assets of such subsidiaries, including a pledge of 65% of the capital stock of certain foreign subsidiaries. As of March 31, 2026, we had $50.0 million of outstanding borrowings under our revolving credit facility, and $175.0 million on our term loan facility. The carrying value of the debt also reflected debt issuance costs of $1.4 million as of March 31, 2026, related to the Credit Agreement. The Credit Agreement requires the Company to maintain a consolidated leverage ratio not exceeding 2.25 to 1.00 and a consolidated interest coverage ratio of no less than 3.00 to 1.00.</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also includes other covenants, including covenants that, subject to certain exceptions, restrict the ability of the Company and its subsidiaries (i) to create, incur, assume or permit to exist any liens, (ii) to incur additional indebtedness, (iii) to make investments and acquisitions, (iv) to enter into mergers, consolidations or similar transactions, (v) to make certain dispositions of assets, (vi) to make dividends, distributions and prepayments of certain indebtedness, (vii) to change the nature of the Company’s business, (viii) to enter into certain transactions with affiliates, (ix) to enter into certain burdensome agreements, (x) to make certain amendments to certain agreements and organizational documents and (xi) to make certain accounting changes.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was in compliance with all covenants under the Credit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During the third quarter of 2025, we had four interest rate swaps mature, with a total notional principal amount of $200 million. We entered into these interest rate swap arrangements during the third quarter of 2020 to hedge the variable cash flows associated with our variable-rate debt under the Credit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Stock repurchase plan</w:t>
      </w:r>
      <w:r>
        <w:rPr>
          <w:rFonts w:ascii="Times New Roman" w:cs="Times New Roman" w:eastAsia="Times New Roman" w:hAnsi="Times New Roman"/>
          <w:sz w:val="18"/>
          <w:szCs w:val="18"/>
          <w:color w:val="auto"/>
        </w:rPr>
        <w:t>. In 2018, our board of directors approved a stock repurchase plan authorizing us to repurchase up to $500.0 million of our outstanding shares of Class A common stock on the open market or in private transactions. During the first quarter of 2026, we repurchased 0.5 million shares of our Class A common stock under the plan for $5.0 million. As of March 31, 2026, $137.3 million was available for repurchases under the plan. Our stock repurchases are used primarily to offset dilution from our equity incentive plans and for strategic initiatives.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In February 2026, our board of directors declared quarterly cash dividends of $0.06 per share. This quarterly cash dividend of $2.9 million was paid on March 11, 2026 to stockholders of record on February 27, 2026. In May 2026, our board of directors declared a quarterly cash dividend of $0.06 per share to be paid on June 10, 2026 to stockholders of record on May 29, 2026.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Cash from foreign subsidiaries</w:t>
      </w:r>
      <w:r>
        <w:rPr>
          <w:rFonts w:ascii="Times New Roman" w:cs="Times New Roman" w:eastAsia="Times New Roman" w:hAnsi="Times New Roman"/>
          <w:sz w:val="18"/>
          <w:szCs w:val="18"/>
          <w:color w:val="auto"/>
        </w:rPr>
        <w:t>. As of March 31, 2026 and December 31, 2025, we held $200.4 million and $239.8 million, respectively, in cash and cash equivalents, including current investments. These amounts include $159.8 million and $170.7 million as of March 31, 2026 and December 31, 2025,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typically fund the cash requirements of our operations in the U.S.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March 31, 2026, we had $32.5 million in cash denominated in Chinese RMB. We also have experienced delays in repatriating cash from Argentina. As of March 31, 2026 and December 31, 2025, we had $28.0 million and $23.9 million, respectively, in intercompany receivables with our Argentina subsidiary. We also have intercompany loan arrangements in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12 to the consolidated financial statements contained in this Quarterly Report for information regarding our contingent liabilities.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our critical accounting policies or estimates during the first quarter of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Cyclicality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can skew year-over-year and sequential comparisons.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 and Exchange Rate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the functional currency for our subsidiary in Argentina became the U.S. dollar, and the income statement and balance sheet for this subsidiary have been measured in U.S. dollars using both current and historical rates of exchange. The effect of changes in exchange rates on peso-denominated monetary assets and liabilities has been reflected in earnings in Other income (expense), net and was not material. As of March 31, 2026, our subsidiary in Argentina had a small net peso monetary position. Net sales of our subsidiary in Argentina were less than 4% of our consolidated net sales for the three-month periods ended March 31, 2026.</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March 31, 2026 and 2025, we did not hold material non-designated mark-to-market forward derivative contracts to hedge foreign denominated intercompany positions or third party foreign debt. As of March 31, 2026 and 2025, we did not hold any material forward contracts designated as foreign currency cash flow hedges. We continue to evaluate our foreign currency hedging policy.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market risk see Note 10 to the consolidated financial statements contained in this Quarterly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made no changes in our internal control over financial reporting (as defined in Rule 13a-15(f) under the Exchange Act) during the fiscal quarter ended March 31, 2026 that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are involved in legal proceedings arising in the ordinary course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2025 fiscal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4"/>
                <w:szCs w:val="2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194"/>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100" w:type="dxa"/>
            <w:vAlign w:val="bottom"/>
          </w:tcPr>
          <w:p>
            <w:pPr>
              <w:spacing w:after="0"/>
              <w:rPr>
                <w:sz w:val="16"/>
                <w:szCs w:val="16"/>
                <w:color w:val="auto"/>
              </w:rPr>
            </w:pP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1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Value of Shares that May</w:t>
            </w: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Yet Be Purchased Under</w:t>
            </w:r>
          </w:p>
        </w:tc>
      </w:tr>
      <w:tr>
        <w:trPr>
          <w:trHeight w:val="206"/>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2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10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r>
      <w:tr>
        <w:trPr>
          <w:trHeight w:val="255"/>
        </w:trPr>
        <w:tc>
          <w:tcPr>
            <w:tcW w:w="502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20" w:type="dxa"/>
            <w:vAlign w:val="bottom"/>
          </w:tcPr>
          <w:p>
            <w:pPr>
              <w:spacing w:after="0"/>
              <w:rPr>
                <w:sz w:val="22"/>
                <w:szCs w:val="22"/>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00" w:type="dxa"/>
            <w:vAlign w:val="bottom"/>
          </w:tcPr>
          <w:p>
            <w:pPr>
              <w:spacing w:after="0"/>
              <w:rPr>
                <w:sz w:val="22"/>
                <w:szCs w:val="22"/>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gridSpan w:val="2"/>
          </w:tcPr>
          <w:p>
            <w:pPr>
              <w:jc w:val="center"/>
              <w:ind w:right="200"/>
              <w:spacing w:after="0" w:line="247" w:lineRule="exact"/>
              <w:rPr>
                <w:sz w:val="20"/>
                <w:szCs w:val="20"/>
                <w:color w:val="auto"/>
              </w:rPr>
            </w:pPr>
            <w:r>
              <w:rPr>
                <w:rFonts w:ascii="Times New Roman" w:cs="Times New Roman" w:eastAsia="Times New Roman" w:hAnsi="Times New Roman"/>
                <w:sz w:val="17"/>
                <w:szCs w:val="17"/>
                <w:b w:val="1"/>
                <w:bCs w:val="1"/>
                <w:color w:val="auto"/>
              </w:rPr>
              <w:t>(in millions)</w:t>
            </w:r>
            <w:r>
              <w:rPr>
                <w:rFonts w:ascii="Times New Roman" w:cs="Times New Roman" w:eastAsia="Times New Roman" w:hAnsi="Times New Roman"/>
                <w:sz w:val="28"/>
                <w:szCs w:val="28"/>
                <w:b w:val="1"/>
                <w:bCs w:val="1"/>
                <w:color w:val="auto"/>
                <w:vertAlign w:val="superscript"/>
              </w:rPr>
              <w:t>(1)</w:t>
            </w:r>
          </w:p>
        </w:tc>
      </w:tr>
      <w:tr>
        <w:trPr>
          <w:trHeight w:val="216"/>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1 - 31, 2026</w:t>
            </w:r>
          </w:p>
        </w:tc>
        <w:tc>
          <w:tcPr>
            <w:tcW w:w="1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170,677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1 - 28, 2026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9.04</w:t>
            </w: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347,675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137.40</w:t>
            </w: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1 - 31, 2026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7,869</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137.30</w:t>
            </w:r>
          </w:p>
        </w:tc>
      </w:tr>
      <w:tr>
        <w:trPr>
          <w:trHeight w:val="27"/>
        </w:trPr>
        <w:tc>
          <w:tcPr>
            <w:tcW w:w="4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526,221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526,221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Plan</w:t>
      </w:r>
    </w:p>
    <w:p>
      <w:pPr>
        <w:spacing w:after="0" w:line="31"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On February 19, 2026, Edwina Woodbury, a member of our Board of Directors, adopted a trading plan intended to satisfy the affirmative defense conditions of Rule 10b5-1(c) to sell 40% of the shares of Class A common stock underlying her 18,008 restricted stock units that will vest on May 28, 2026. The sale is scheduled to occur on the vesting date of May 28, 2026 or the next possible business day.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Exhibits</w:t>
            </w:r>
          </w:p>
        </w:tc>
        <w:tc>
          <w:tcPr>
            <w:tcW w:w="180" w:type="dxa"/>
            <w:vAlign w:val="bottom"/>
          </w:tcPr>
          <w:p>
            <w:pPr>
              <w:spacing w:after="0"/>
              <w:rPr>
                <w:sz w:val="18"/>
                <w:szCs w:val="18"/>
                <w:color w:val="auto"/>
              </w:rPr>
            </w:pPr>
          </w:p>
        </w:tc>
        <w:tc>
          <w:tcPr>
            <w:tcW w:w="10060" w:type="dxa"/>
            <w:vAlign w:val="bottom"/>
          </w:tcPr>
          <w:p>
            <w:pPr>
              <w:spacing w:after="0"/>
              <w:rPr>
                <w:sz w:val="18"/>
                <w:szCs w:val="18"/>
                <w:color w:val="auto"/>
              </w:rPr>
            </w:pPr>
          </w:p>
        </w:tc>
      </w:tr>
      <w:tr>
        <w:trPr>
          <w:trHeight w:val="216"/>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Regulation</w:t>
            </w:r>
          </w:p>
        </w:tc>
        <w:tc>
          <w:tcPr>
            <w:tcW w:w="180" w:type="dxa"/>
            <w:vAlign w:val="bottom"/>
          </w:tcPr>
          <w:p>
            <w:pPr>
              <w:spacing w:after="0"/>
              <w:rPr>
                <w:sz w:val="18"/>
                <w:szCs w:val="18"/>
                <w:color w:val="auto"/>
              </w:rPr>
            </w:pPr>
          </w:p>
        </w:tc>
        <w:tc>
          <w:tcPr>
            <w:tcW w:w="100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S-K</w:t>
            </w:r>
          </w:p>
        </w:tc>
        <w:tc>
          <w:tcPr>
            <w:tcW w:w="180" w:type="dxa"/>
            <w:vAlign w:val="bottom"/>
          </w:tcPr>
          <w:p>
            <w:pPr>
              <w:spacing w:after="0"/>
              <w:rPr>
                <w:sz w:val="18"/>
                <w:szCs w:val="18"/>
                <w:color w:val="auto"/>
              </w:rPr>
            </w:pPr>
          </w:p>
        </w:tc>
        <w:tc>
          <w:tcPr>
            <w:tcW w:w="10060" w:type="dxa"/>
            <w:vAlign w:val="bottom"/>
          </w:tcPr>
          <w:p>
            <w:pPr>
              <w:spacing w:after="0"/>
              <w:rPr>
                <w:sz w:val="18"/>
                <w:szCs w:val="18"/>
                <w:color w:val="auto"/>
              </w:rPr>
            </w:pPr>
          </w:p>
        </w:tc>
      </w:tr>
      <w:tr>
        <w:trPr>
          <w:trHeight w:val="245"/>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80" w:type="dxa"/>
            <w:vAlign w:val="bottom"/>
            <w:tcBorders>
              <w:top w:val="single" w:sz="8" w:color="CCEEFF"/>
            </w:tcBorders>
            <w:shd w:val="clear" w:color="auto" w:fill="CCEEFF"/>
          </w:tcPr>
          <w:p>
            <w:pPr>
              <w:spacing w:after="0"/>
              <w:rPr>
                <w:sz w:val="15"/>
                <w:szCs w:val="15"/>
                <w:color w:val="auto"/>
              </w:rPr>
            </w:pPr>
          </w:p>
        </w:tc>
        <w:tc>
          <w:tcPr>
            <w:tcW w:w="1006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Second Amendment and Restatement Agreement in connection with the Second Amended and Restated Credit Agreement among the</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various financial institutions, and Bank of America, N.A. as administrative agent, dated as of March 27, 2026.</w:t>
            </w:r>
          </w:p>
        </w:tc>
      </w:tr>
      <w:tr>
        <w:trPr>
          <w:trHeight w:val="175"/>
        </w:trPr>
        <w:tc>
          <w:tcPr>
            <w:tcW w:w="1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102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Form of Amended and Restated 2024 Omnibus Incentive Plan (“Amended and Restated 2024 Plan”) Restricted Stock Unit Grant</w:t>
            </w:r>
          </w:p>
        </w:tc>
      </w:tr>
      <w:tr>
        <w:trPr>
          <w:trHeight w:val="237"/>
        </w:trPr>
        <w:tc>
          <w:tcPr>
            <w:tcW w:w="32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10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w:t>
            </w:r>
          </w:p>
        </w:tc>
      </w:tr>
      <w:tr>
        <w:trPr>
          <w:trHeight w:val="176"/>
        </w:trPr>
        <w:tc>
          <w:tcPr>
            <w:tcW w:w="1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p>
        </w:tc>
        <w:tc>
          <w:tcPr>
            <w:tcW w:w="102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Form of Amended and Restated 2024 Plan Performance Restricted Stock Unit Grant Agreement.</w:t>
            </w:r>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102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w w:val="99"/>
              </w:rPr>
              <w:t>Certification by Ryan S. Napierski, Chief Executive Officer, pursuant to Rule 13a-14(a) of the Securities Exchange Act of 1934, as adopted</w:t>
            </w:r>
          </w:p>
        </w:tc>
      </w:tr>
      <w:tr>
        <w:trPr>
          <w:trHeight w:val="237"/>
        </w:trPr>
        <w:tc>
          <w:tcPr>
            <w:tcW w:w="32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10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r>
        <w:trPr>
          <w:trHeight w:val="175"/>
        </w:trPr>
        <w:tc>
          <w:tcPr>
            <w:tcW w:w="1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102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Certification by Chelsea K. Lantz, Chief Financial Officer, pursuant to Rule 13a-14(a) of the Securities Exchange Act of 1934, as adopted</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r>
        <w:trPr>
          <w:trHeight w:val="176"/>
        </w:trPr>
        <w:tc>
          <w:tcPr>
            <w:tcW w:w="1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02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Certification by Ryan S. Napierski, Chief Executive Officer, pursuant to Section 1350, Chapter 63 of Title 18, United States Code, as</w:t>
            </w:r>
          </w:p>
        </w:tc>
      </w:tr>
      <w:tr>
        <w:trPr>
          <w:trHeight w:val="236"/>
        </w:trPr>
        <w:tc>
          <w:tcPr>
            <w:tcW w:w="32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10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r>
      <w:tr>
        <w:trPr>
          <w:trHeight w:val="176"/>
        </w:trPr>
        <w:tc>
          <w:tcPr>
            <w:tcW w:w="1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102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Certification by Chelsea K. Lantz, Chief Financial Officer, pursuant to Section 1350, Chapter 63 of Title 18, United States Code, as</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r>
      <w:tr>
        <w:trPr>
          <w:trHeight w:val="198"/>
        </w:trPr>
        <w:tc>
          <w:tcPr>
            <w:tcW w:w="1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2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0"/>
                <w:szCs w:val="20"/>
                <w:color w:val="auto"/>
              </w:rPr>
            </w:pPr>
          </w:p>
        </w:tc>
        <w:tc>
          <w:tcPr>
            <w:tcW w:w="10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52"/>
        </w:trPr>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40" w:type="dxa"/>
            <w:vAlign w:val="bottom"/>
            <w:gridSpan w:val="2"/>
          </w:tcPr>
          <w:p>
            <w:pPr>
              <w:jc w:val="right"/>
              <w:ind w:right="5450"/>
              <w:spacing w:after="0"/>
              <w:rPr>
                <w:sz w:val="20"/>
                <w:szCs w:val="20"/>
                <w:color w:val="auto"/>
              </w:rPr>
            </w:pPr>
            <w:r>
              <w:rPr>
                <w:rFonts w:ascii="Times New Roman" w:cs="Times New Roman" w:eastAsia="Times New Roman" w:hAnsi="Times New Roman"/>
                <w:sz w:val="14"/>
                <w:szCs w:val="14"/>
                <w:color w:val="auto"/>
              </w:rPr>
              <w:t>29</w:t>
            </w:r>
          </w:p>
        </w:tc>
      </w:tr>
      <w:tr>
        <w:trPr>
          <w:trHeight w:val="44"/>
        </w:trPr>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13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1350" cy="8255"/>
                    </a:xfrm>
                    <a:prstGeom prst="rect">
                      <a:avLst/>
                    </a:prstGeom>
                    <a:noFill/>
                  </pic:spPr>
                </pic:pic>
              </a:graphicData>
            </a:graphic>
          </wp:anchor>
        </w:drawing>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Chelsea K. Lantz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17145</wp:posOffset>
            </wp:positionV>
            <wp:extent cx="3068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Chelsea K. Lantz</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AND RESTATEMENT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SECOND AMENDMENT AND RESTATEMENT AGREEMENT, dated as of March 27, 2026 (this “</w:t>
      </w:r>
      <w:r>
        <w:rPr>
          <w:rFonts w:ascii="Times New Roman" w:cs="Times New Roman" w:eastAsia="Times New Roman" w:hAnsi="Times New Roman"/>
          <w:sz w:val="18"/>
          <w:szCs w:val="18"/>
          <w:b w:val="1"/>
          <w:bCs w:val="1"/>
          <w:color w:val="auto"/>
        </w:rPr>
        <w:t>Restatement Agreement</w:t>
      </w:r>
      <w:r>
        <w:rPr>
          <w:rFonts w:ascii="Times New Roman" w:cs="Times New Roman" w:eastAsia="Times New Roman" w:hAnsi="Times New Roman"/>
          <w:sz w:val="18"/>
          <w:szCs w:val="18"/>
          <w:color w:val="auto"/>
        </w:rPr>
        <w:t>”), in respect of the Credit Agreement, dated as of April 18, 2018 (as amended and restated by that certain Amendment and Restatement Agreement, dated as of the 2022 Closing Date and as further amended, supplemented or modified prior to the date hereof and as in effect prior to giving effect to this Restatement Agreement,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among Nu Skin Enterprises, Inc., a Delaware corporation, as the Borrower, the Guarantors from time to time party thereto, the Lenders from time to time party thereto and Bank of America, N.A., as Administrative Agent, Swing Line Lender and L/C Issuer.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in accordance with Section 11.01 of the Credit Agreement, upon the consummation of the Closing Date Refinancing and the concurrent incurrence of the Term Loans and the Revolving Credit Facility, the Borrower, the Administrative Agent and the Lenders party hereto have agreed to amend and restate the Credit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Defined Terms; References.</w:t>
      </w:r>
      <w:r>
        <w:rPr>
          <w:rFonts w:ascii="Times New Roman" w:cs="Times New Roman" w:eastAsia="Times New Roman" w:hAnsi="Times New Roman"/>
          <w:sz w:val="18"/>
          <w:szCs w:val="18"/>
          <w:color w:val="auto"/>
        </w:rPr>
        <w:t xml:space="preserve"> Unless otherwise specifically defined herein, each term used herein which is not defined herein shall have the meaning assigned to such term in the Second Amended and Restated Credit Agreement (as defined below). The rules of construction and other interpretive provisions specified in Sections 1.02 and 1.05 of the Second Amended and Restated Credit Agreement shall apply to this Restatement Agreement, including terms defined in the preamble and recitals hereto. As used in this Restatement Agreement, the term “</w:t>
      </w:r>
      <w:r>
        <w:rPr>
          <w:rFonts w:ascii="Times New Roman" w:cs="Times New Roman" w:eastAsia="Times New Roman" w:hAnsi="Times New Roman"/>
          <w:sz w:val="18"/>
          <w:szCs w:val="18"/>
          <w:b w:val="1"/>
          <w:bCs w:val="1"/>
          <w:color w:val="auto"/>
        </w:rPr>
        <w:t>Amended and Restated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the Credit Agreement as amended and restated by this Restatement Agreement.</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Amendment and Restatement.</w:t>
      </w:r>
      <w:r>
        <w:rPr>
          <w:rFonts w:ascii="Times New Roman" w:cs="Times New Roman" w:eastAsia="Times New Roman" w:hAnsi="Times New Roman"/>
          <w:sz w:val="18"/>
          <w:szCs w:val="18"/>
          <w:color w:val="auto"/>
        </w:rPr>
        <w:t xml:space="preserve"> Effective as of the Closing Date, the Credit Agreement (including all schedules and exhibits thereto) is hereby amended and restated such that the terms of the Amended and Restated Credit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replace the terms of the Credit Agreement (including all schedules and exhibits thereto) in its entirety.</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3</w:t>
      </w:r>
      <w:r>
        <w:rPr>
          <w:rFonts w:ascii="Times New Roman" w:cs="Times New Roman" w:eastAsia="Times New Roman" w:hAnsi="Times New Roman"/>
          <w:sz w:val="18"/>
          <w:szCs w:val="18"/>
          <w:i w:val="1"/>
          <w:iCs w:val="1"/>
          <w:color w:val="auto"/>
        </w:rPr>
        <w:t>. Effect of Amendment; Reaffirmation; Etc.</w:t>
      </w:r>
      <w:r>
        <w:rPr>
          <w:rFonts w:ascii="Times New Roman" w:cs="Times New Roman" w:eastAsia="Times New Roman" w:hAnsi="Times New Roman"/>
          <w:sz w:val="18"/>
          <w:szCs w:val="18"/>
          <w:color w:val="auto"/>
        </w:rPr>
        <w:t xml:space="preserve"> Except as expressly set forth herein or in the Amended and Restated Credit Agreement, this Restatement Agreement shall not by implication or otherwise limit, impair, constitute a waiver of or otherwise affect the rights and remedies of the Lenders or the Administrative Agent under the Credit Agreement or under any other Loan Document and shall not alter, modify, amend or in any way affect any of the terms, conditions, obligations, covenants or agreements contained in the Credit Agreement or any other provision of the Credit Agreement or of any other Loan Document, all of which are ratified and affirmed in all respects and shall continue in full force and effect. Without limiting the foregoing and notwithstanding the entering into of this Restatement Agreement and the Amended and Restated Credit Agreement, (i) each Loan Party hereby affirms acknowledges and agrees that (A) each Loan Document to which it is a party is hereby confirmed and ratified (including the pledges, grants of Liens and guarantees thereunder) and shall remain in full force and effect according to its respective terms (in the case of the Credit Agreement, as amended hereby, and any other Loan Document amended hereby or document entered into in connection herewith) and (B) the Collateral Documents do, and all of the Collateral does, and in each case shall continue to, secure the payment of all Obligations (or equivalent terms in the Collateral Documents) on the terms and conditions set forth in the Collateral Documents (as amended hereby), and hereby confirms (and to the extent necessary) ratifies the security interests granted by it pursuant to the Collateral Documents to which it is a party and (ii) each Guarantor hereby confirms and ratifies its continuing unconditional obligations as Guarantor under each Guaranty to which it is a party with respect to all of the Obligations. The execution, delivery and effectiveness of this Restatement Agreement shall not, except as expressly provided herein, operate as a waiver of any right, power or remedy of any Lender or the Administrative Agent under any of the Loan Documents, nor constitute a waiver of any provision of any of the Loan Documents. This Restatement Agreement and the other Loan Documents constitute the entire agreement among the parties hereto with respect to the subject matter hereof and thereof and supersede all other prior agreements and understandings, both written and verbal, among the parties hereto with respect to the subject matter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3" w:name="page34"/>
    <w:bookmarkEnd w:id="33"/>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xml:space="preserve"> Each of the Loan Parties party hereto makes the representations and warranties set forth in Article 5 of the Amended and Restated Credit Agreement as of the Closing Date and represents and warrants that, after giving effect to the transactions contemplated by this Restatement Agreement and the Amended and Restated Credit Agreement, no Default or Event of Default has occurred or is continuing.</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THIS RESTATEMENT AGREEMENT AND THE RIGHTS AND OBLIGATIONS OF THE PARTIES HEREUNDER SHALL BE GOVERNED BY, AND CONSTRUED AND INTERPRETED IN ACCORDANCE WITH, THE LAW OF THE STATE OF NEW YORK.</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6</w:t>
      </w:r>
      <w:r>
        <w:rPr>
          <w:rFonts w:ascii="Times New Roman" w:cs="Times New Roman" w:eastAsia="Times New Roman" w:hAnsi="Times New Roman"/>
          <w:sz w:val="18"/>
          <w:szCs w:val="18"/>
          <w:i w:val="1"/>
          <w:iCs w:val="1"/>
          <w:color w:val="auto"/>
        </w:rPr>
        <w:t>. Counterparts.</w:t>
      </w:r>
      <w:r>
        <w:rPr>
          <w:rFonts w:ascii="Times New Roman" w:cs="Times New Roman" w:eastAsia="Times New Roman" w:hAnsi="Times New Roman"/>
          <w:sz w:val="18"/>
          <w:szCs w:val="18"/>
          <w:color w:val="auto"/>
        </w:rPr>
        <w:t xml:space="preserve"> This Restatement Agreement may be executed in counterparts (and by different parties hereto on different counterparts), each of which shall constitute an original but all of which when taken together shall constitute a single contract. Delivery of an executed signature page to this Restatement Agreement by facsimile or electronic transmission shall be as effective as delivery of a manually signed counterpart of this Restatement Agreement. This Restatement Agreement may be in the form of an Electronic Record (as defined in 15 USC §7006, as it may be amended from time to time) and may be executed using Electronic Signatures (as defined in 15 USC §7006, as it may be amended from time to time) (including, without limitation, facsimile and .pdf) and shall be considered an original, and shall have the same legal effect, validity and enforceability as a paper record. For the avoidance of doubt, the authorization under this paragraph may include, without limitation, use or acceptance of a manually signed paper counterpart to this Restatement Agreement which has been converted into electronic form (such as scanned into PDF format), or an electronically signed counterpart to this Restatement Agreement converted into another format, for transmission, delivery and/or retention.</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7</w:t>
      </w:r>
      <w:r>
        <w:rPr>
          <w:rFonts w:ascii="Times New Roman" w:cs="Times New Roman" w:eastAsia="Times New Roman" w:hAnsi="Times New Roman"/>
          <w:sz w:val="18"/>
          <w:szCs w:val="18"/>
          <w:i w:val="1"/>
          <w:iCs w:val="1"/>
          <w:color w:val="auto"/>
        </w:rPr>
        <w:t>. Miscellaneous</w:t>
      </w:r>
      <w:r>
        <w:rPr>
          <w:rFonts w:ascii="Times New Roman" w:cs="Times New Roman" w:eastAsia="Times New Roman" w:hAnsi="Times New Roman"/>
          <w:sz w:val="18"/>
          <w:szCs w:val="18"/>
          <w:color w:val="auto"/>
        </w:rPr>
        <w:t>. Sections 11.14 and 11.15 of the Amended and Restated Credit Agreement are incorporated herein by reference and apply mutatis mutandis. On and after the effectiveness of this Restatement Agreement, this Restatement Agreement shall for all purposes constitute a Loan Document.</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8</w:t>
      </w:r>
      <w:r>
        <w:rPr>
          <w:rFonts w:ascii="Times New Roman" w:cs="Times New Roman" w:eastAsia="Times New Roman" w:hAnsi="Times New Roman"/>
          <w:sz w:val="18"/>
          <w:szCs w:val="18"/>
          <w:i w:val="1"/>
          <w:iCs w:val="1"/>
          <w:color w:val="auto"/>
        </w:rPr>
        <w:t>. No Novation</w:t>
      </w:r>
      <w:r>
        <w:rPr>
          <w:rFonts w:ascii="Times New Roman" w:cs="Times New Roman" w:eastAsia="Times New Roman" w:hAnsi="Times New Roman"/>
          <w:sz w:val="18"/>
          <w:szCs w:val="18"/>
          <w:color w:val="auto"/>
        </w:rPr>
        <w:t>. This Restatement Agreement shall not extinguish the obligations for the payment of money outstanding under the Credit Agreement (except to the extent repaid as provided herein) or discharge or release the Lien or priority of any Collateral Document or any other security therefor. Nothing herein contained shall be construed as a substitution or novation of the obligations outstanding under the Credit Agreement or instruments securing the same, which shall remain in full force and effect, except to any extent modified hereby or by instruments executed concurrently herewith and except to the extent repaid as provided herein. Nothing implied in this Restatement Agreement or in any other document contemplated hereby shall be construed as a release or other discharge of any of the Loan Parties under any Loan Document from any of its obligations and liabilities as a borrower, guarantor or pledgor under any of the Loan Documents (except to the extent repaid as provided herein). Nothing herein contained shall be construed as a novation of the Credit Agreement, the Pledge Agreement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i w:val="1"/>
          <w:iCs w:val="1"/>
          <w:color w:val="auto"/>
        </w:rPr>
        <w:t>Effectiveness.</w:t>
      </w:r>
      <w:r>
        <w:rPr>
          <w:rFonts w:ascii="Times New Roman" w:cs="Times New Roman" w:eastAsia="Times New Roman" w:hAnsi="Times New Roman"/>
          <w:sz w:val="18"/>
          <w:szCs w:val="18"/>
          <w:color w:val="auto"/>
        </w:rPr>
        <w:t xml:space="preserve"> This Restatement Agreement, the obligation of each Term Lender to make the Term Loans to be made by it pursuant to Section 2.01(a) of the Amended and Restated Credit Agreement and the obligation of each Revolving Credit Lender to provide the Revolving Credit Commitments pursuant to the Amended and Restated Credit Agreement shall become effective on the Closing Date, subject to the satisfaction or waiver (by the Administrative Agent) of the conditions set forth in Section 4.01 of the Amended and Restated Credit Agreement.</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Post-Closing Obligations.</w:t>
      </w:r>
      <w:r>
        <w:rPr>
          <w:rFonts w:ascii="Times New Roman" w:cs="Times New Roman" w:eastAsia="Times New Roman" w:hAnsi="Times New Roman"/>
          <w:sz w:val="18"/>
          <w:szCs w:val="18"/>
          <w:color w:val="auto"/>
        </w:rPr>
        <w:t xml:space="preserve"> The Borrower and the Loan Parties (as applicable) shall execute and deliver the applicable documents, or take the applicable actions, as the case may be,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within the time periods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(or by such later time as the Administrative Agent may agree in its reasonable discretion).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ind w:firstLine="81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Restatement Agreement to be duly executed by their respective authorized officers as of the day and year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NU SKIN ENTERPRISES,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Ryan Napierski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President and Chief Executive</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NU SKIN ENTERPRISES UNITED STATES,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B.G.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B.G. Hunt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NU SKIN INTERNATIONAL,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Ryan Napierski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President and Chairman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NSE PRODUCTS,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Ryan Napierski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TREVISO,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Ryan Napierski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38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[Nu Skin – 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36" w:name="page37"/>
    <w:bookmarkEnd w:id="36"/>
    <w:p>
      <w:pPr>
        <w:ind w:left="4520"/>
        <w:spacing w:after="0"/>
        <w:rPr>
          <w:sz w:val="20"/>
          <w:szCs w:val="20"/>
          <w:color w:val="auto"/>
        </w:rPr>
      </w:pPr>
      <w:r>
        <w:rPr>
          <w:rFonts w:ascii="Times New Roman" w:cs="Times New Roman" w:eastAsia="Times New Roman" w:hAnsi="Times New Roman"/>
          <w:sz w:val="18"/>
          <w:szCs w:val="18"/>
          <w:color w:val="auto"/>
        </w:rPr>
        <w:t>WASATCH PRODUCT DEVELOPMENT,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LLC, as Guarantor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Belliston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Greg Belliston</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ELEVATE NUTRACEUTICALS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B.G.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B. G. Hunt</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INNUVATE HEALTH SCIENCES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Ryan Napierski</w:t>
      </w:r>
    </w:p>
    <w:p>
      <w:pPr>
        <w:spacing w:after="0" w:line="27"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8"/>
          <w:szCs w:val="18"/>
          <w:color w:val="auto"/>
        </w:rPr>
        <w:t>Title:  President and Chief Executive</w:t>
      </w:r>
    </w:p>
    <w:p>
      <w:pPr>
        <w:spacing w:after="0" w:line="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L&amp;W HOLDINGS, INC.,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B.G.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B. G. Hunt</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NSE INVESTMENTS, INC.,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Ryan Napierski</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[Nu Skin – 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59055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ind w:left="4520"/>
        <w:spacing w:after="0"/>
        <w:rPr>
          <w:sz w:val="20"/>
          <w:szCs w:val="20"/>
          <w:color w:val="auto"/>
        </w:rPr>
      </w:pPr>
      <w:r>
        <w:rPr>
          <w:rFonts w:ascii="Times New Roman" w:cs="Times New Roman" w:eastAsia="Times New Roman" w:hAnsi="Times New Roman"/>
          <w:sz w:val="18"/>
          <w:szCs w:val="18"/>
          <w:color w:val="auto"/>
        </w:rPr>
        <w:t>INGREDIENT INNOVATIONS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INTERNATIONAL COMPANY,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B.G.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Name: B. G. Hunt</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RHYZ INC.,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Ryan Napierski</w:t>
      </w:r>
    </w:p>
    <w:p>
      <w:pPr>
        <w:spacing w:after="0" w:line="27"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8"/>
          <w:szCs w:val="18"/>
          <w:color w:val="auto"/>
        </w:rPr>
        <w:t>Title:  President and Chief Executive</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RHYZ ANALYTICAL, INC.,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Ryan Napierski</w:t>
      </w:r>
    </w:p>
    <w:p>
      <w:pPr>
        <w:spacing w:after="0" w:line="27"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8"/>
          <w:szCs w:val="18"/>
          <w:color w:val="auto"/>
        </w:rPr>
        <w:t>Title:  President and Chief Executive</w:t>
      </w:r>
    </w:p>
    <w:p>
      <w:pPr>
        <w:spacing w:after="0" w:line="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NU SKIN ASIA INVESTMENT, INC.,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Ryan Napierski</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[Nu Skin – 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59055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8" w:name="page39"/>
    <w:bookmarkEnd w:id="38"/>
    <w:p>
      <w:pPr>
        <w:ind w:left="4520"/>
        <w:spacing w:after="0"/>
        <w:rPr>
          <w:sz w:val="20"/>
          <w:szCs w:val="20"/>
          <w:color w:val="auto"/>
        </w:rPr>
      </w:pPr>
      <w:r>
        <w:rPr>
          <w:rFonts w:ascii="Times New Roman" w:cs="Times New Roman" w:eastAsia="Times New Roman" w:hAnsi="Times New Roman"/>
          <w:sz w:val="17"/>
          <w:szCs w:val="17"/>
          <w:color w:val="auto"/>
        </w:rPr>
        <w:t>BEAUTY BIOSCIENCES LLC,</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B.G.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B. G. Hunt</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LIFEDNA, INC.,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Belliston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Greg Belliston</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[Nu Skin – 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59055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9" w:name="page40"/>
    <w:bookmarkEnd w:id="39"/>
    <w:p>
      <w:pPr>
        <w:ind w:left="4520"/>
        <w:spacing w:after="0"/>
        <w:rPr>
          <w:sz w:val="20"/>
          <w:szCs w:val="20"/>
          <w:color w:val="auto"/>
        </w:rPr>
      </w:pPr>
      <w:r>
        <w:rPr>
          <w:rFonts w:ascii="Times New Roman" w:cs="Times New Roman" w:eastAsia="Times New Roman" w:hAnsi="Times New Roman"/>
          <w:sz w:val="17"/>
          <w:szCs w:val="17"/>
          <w:color w:val="auto"/>
        </w:rPr>
        <w:t>BANK OF AMERICA, N.A., as Administrative</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Elizabeth Uribe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Elizabeth Uribe</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[Nu Skin – 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59055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ind w:left="4520"/>
        <w:spacing w:after="0"/>
        <w:rPr>
          <w:sz w:val="20"/>
          <w:szCs w:val="20"/>
          <w:color w:val="auto"/>
        </w:rPr>
      </w:pPr>
      <w:r>
        <w:rPr>
          <w:rFonts w:ascii="Times New Roman" w:cs="Times New Roman" w:eastAsia="Times New Roman" w:hAnsi="Times New Roman"/>
          <w:sz w:val="17"/>
          <w:szCs w:val="17"/>
          <w:color w:val="auto"/>
        </w:rPr>
        <w:t>BANK OF AMERICA, N.A., as a Term Lender</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and a Revolving Credit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Joshua Russell</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[Nu Skin – 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59055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1" w:name="page42"/>
    <w:bookmarkEnd w:id="41"/>
    <w:p>
      <w:pPr>
        <w:ind w:left="4520"/>
        <w:spacing w:after="0"/>
        <w:rPr>
          <w:sz w:val="20"/>
          <w:szCs w:val="20"/>
          <w:color w:val="auto"/>
        </w:rPr>
      </w:pPr>
      <w:r>
        <w:rPr>
          <w:rFonts w:ascii="Times New Roman" w:cs="Times New Roman" w:eastAsia="Times New Roman" w:hAnsi="Times New Roman"/>
          <w:sz w:val="17"/>
          <w:szCs w:val="17"/>
          <w:color w:val="auto"/>
        </w:rPr>
        <w:t>HSBC BANK USA, N.A., as a Term Lender and</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Revolving Credit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Jason Huck</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Market Lead II</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[Nu Skin – 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59055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2" w:name="page43"/>
    <w:bookmarkEnd w:id="42"/>
    <w:p>
      <w:pPr>
        <w:ind w:left="4520"/>
        <w:spacing w:after="0"/>
        <w:rPr>
          <w:sz w:val="20"/>
          <w:szCs w:val="20"/>
          <w:color w:val="auto"/>
        </w:rPr>
      </w:pPr>
      <w:r>
        <w:rPr>
          <w:rFonts w:ascii="Times New Roman" w:cs="Times New Roman" w:eastAsia="Times New Roman" w:hAnsi="Times New Roman"/>
          <w:sz w:val="17"/>
          <w:szCs w:val="17"/>
          <w:color w:val="auto"/>
        </w:rPr>
        <w:t>KEYBANK, NA, as a Term Lender and a</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Revolving Credit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Miles Curley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Miles Curley</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[Nu Skin – 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59055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 w:name="page44"/>
    <w:bookmarkEnd w:id="43"/>
    <w:p>
      <w:pPr>
        <w:ind w:left="4520"/>
        <w:spacing w:after="0"/>
        <w:rPr>
          <w:sz w:val="20"/>
          <w:szCs w:val="20"/>
          <w:color w:val="auto"/>
        </w:rPr>
      </w:pPr>
      <w:r>
        <w:rPr>
          <w:rFonts w:ascii="Times New Roman" w:cs="Times New Roman" w:eastAsia="Times New Roman" w:hAnsi="Times New Roman"/>
          <w:sz w:val="18"/>
          <w:szCs w:val="18"/>
          <w:color w:val="auto"/>
        </w:rPr>
        <w:t>ZIONS BANK, as a Term Lender and 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Revolving Credit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Justin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Justin Gordon</w:t>
      </w:r>
    </w:p>
    <w:p>
      <w:pPr>
        <w:spacing w:after="0" w:line="27" w:lineRule="exact"/>
        <w:rPr>
          <w:sz w:val="20"/>
          <w:szCs w:val="20"/>
          <w:color w:val="auto"/>
        </w:rPr>
      </w:pPr>
    </w:p>
    <w:p>
      <w:pPr>
        <w:jc w:val="right"/>
        <w:ind w:right="1519"/>
        <w:spacing w:after="0"/>
        <w:rPr>
          <w:sz w:val="20"/>
          <w:szCs w:val="20"/>
          <w:color w:val="auto"/>
        </w:rPr>
      </w:pPr>
      <w:r>
        <w:rPr>
          <w:rFonts w:ascii="Times New Roman" w:cs="Times New Roman" w:eastAsia="Times New Roman" w:hAnsi="Times New Roman"/>
          <w:sz w:val="18"/>
          <w:szCs w:val="18"/>
          <w:color w:val="auto"/>
        </w:rPr>
        <w:t>Title: Relationship Manager, SVP</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[Nu Skin – 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59055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 w:name="page45"/>
    <w:bookmarkEnd w:id="44"/>
    <w:p>
      <w:pPr>
        <w:ind w:left="4520"/>
        <w:spacing w:after="0"/>
        <w:rPr>
          <w:sz w:val="20"/>
          <w:szCs w:val="20"/>
          <w:color w:val="auto"/>
        </w:rPr>
      </w:pPr>
      <w:r>
        <w:rPr>
          <w:rFonts w:ascii="Times New Roman" w:cs="Times New Roman" w:eastAsia="Times New Roman" w:hAnsi="Times New Roman"/>
          <w:sz w:val="18"/>
          <w:szCs w:val="18"/>
          <w:color w:val="auto"/>
        </w:rPr>
        <w:t>BANGKOK BANK PUBLIC COMPANY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LIMITED, NEW YORK BRANCH, as a Term</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Lender and a Revolving Credit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Thitipong Prasertsilp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Thitipong Prasertsilp</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VP &amp; Branch Manager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[Nu Skin – 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59055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 w:name="page46"/>
    <w:bookmarkEnd w:id="45"/>
    <w:p>
      <w:pPr>
        <w:ind w:left="4520"/>
        <w:spacing w:after="0"/>
        <w:rPr>
          <w:sz w:val="20"/>
          <w:szCs w:val="20"/>
          <w:color w:val="auto"/>
        </w:rPr>
      </w:pPr>
      <w:r>
        <w:rPr>
          <w:rFonts w:ascii="Times New Roman" w:cs="Times New Roman" w:eastAsia="Times New Roman" w:hAnsi="Times New Roman"/>
          <w:sz w:val="17"/>
          <w:szCs w:val="17"/>
          <w:color w:val="auto"/>
        </w:rPr>
        <w:t>CITIBANK, N.A., as a Term Lender and a</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Revolving Credit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Julia Ivanova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32061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Julia Ivanova</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[Nu Skin – 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59055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i w:val="1"/>
          <w:iCs w:val="1"/>
          <w:color w:val="auto"/>
        </w:rPr>
        <w:t>Exhibit A</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SECOND AMENDED AND RESTATED CREDIT AGREEMENT</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Dated as of March 27, 2026</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the Borrower,</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the Guarantors party hereto,</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Administrative Agent, Swing Line Lender 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L/C Issuer,</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Other Lenders Party Hereto,</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KEYBANK NATIONAL ASSOCIATION,</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Co-Documentation Agent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BOFA SECURITIES,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HSBC SECURITIES (USA) INC.,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898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tc>
        <w:tc>
          <w:tcPr>
            <w:tcW w:w="2260" w:type="dxa"/>
            <w:vAlign w:val="bottom"/>
          </w:tcPr>
          <w:p>
            <w:pPr>
              <w:spacing w:after="0"/>
              <w:rPr>
                <w:sz w:val="20"/>
                <w:szCs w:val="20"/>
                <w:color w:val="auto"/>
              </w:rPr>
            </w:pPr>
          </w:p>
        </w:tc>
      </w:tr>
      <w:tr>
        <w:trPr>
          <w:trHeight w:val="432"/>
        </w:trPr>
        <w:tc>
          <w:tcPr>
            <w:tcW w:w="89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89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8"/>
              </w:rPr>
              <w:t>ARTICLE 1</w:t>
            </w:r>
          </w:p>
        </w:tc>
        <w:tc>
          <w:tcPr>
            <w:tcW w:w="2260" w:type="dxa"/>
            <w:vAlign w:val="bottom"/>
          </w:tcPr>
          <w:p>
            <w:pPr>
              <w:spacing w:after="0"/>
              <w:rPr>
                <w:sz w:val="24"/>
                <w:szCs w:val="24"/>
                <w:color w:val="auto"/>
              </w:rPr>
            </w:pPr>
          </w:p>
        </w:tc>
      </w:tr>
      <w:tr>
        <w:trPr>
          <w:trHeight w:val="234"/>
        </w:trPr>
        <w:tc>
          <w:tcPr>
            <w:tcW w:w="89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ccounting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erms</w:t>
            </w:r>
          </w:p>
        </w:tc>
        <w:tc>
          <w:tcPr>
            <w:tcW w:w="2260" w:type="dxa"/>
            <w:vAlign w:val="bottom"/>
          </w:tcPr>
          <w:p>
            <w:pPr>
              <w:spacing w:after="0"/>
              <w:rPr>
                <w:sz w:val="20"/>
                <w:szCs w:val="20"/>
                <w:color w:val="auto"/>
              </w:rPr>
            </w:pPr>
          </w:p>
        </w:tc>
      </w:tr>
      <w:tr>
        <w:trPr>
          <w:trHeight w:val="414"/>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1.01. Defined Terms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1.02. Other Interpretive Provisions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1.03. Accounting Terms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1.04. Rounding</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1.05. Times of Day; Rates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1.06. Letter of Credit Amounts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1.07. Currency Equivalents Generally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1.08. Limited Condition Transactions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1.09. Pro Forma and Other Calculations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1.10. Divisions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14"/>
        </w:trPr>
        <w:tc>
          <w:tcPr>
            <w:tcW w:w="89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8"/>
              </w:rPr>
              <w:t>ARTICLE 2</w:t>
            </w:r>
          </w:p>
        </w:tc>
        <w:tc>
          <w:tcPr>
            <w:tcW w:w="2260" w:type="dxa"/>
            <w:vAlign w:val="bottom"/>
          </w:tcPr>
          <w:p>
            <w:pPr>
              <w:spacing w:after="0"/>
              <w:rPr>
                <w:sz w:val="24"/>
                <w:szCs w:val="24"/>
                <w:color w:val="auto"/>
              </w:rPr>
            </w:pPr>
          </w:p>
        </w:tc>
      </w:tr>
      <w:tr>
        <w:trPr>
          <w:trHeight w:val="234"/>
        </w:trPr>
        <w:tc>
          <w:tcPr>
            <w:tcW w:w="89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ommitments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xtensions</w:t>
            </w:r>
          </w:p>
        </w:tc>
        <w:tc>
          <w:tcPr>
            <w:tcW w:w="2260" w:type="dxa"/>
            <w:vAlign w:val="bottom"/>
          </w:tcPr>
          <w:p>
            <w:pPr>
              <w:spacing w:after="0"/>
              <w:rPr>
                <w:sz w:val="20"/>
                <w:szCs w:val="20"/>
                <w:color w:val="auto"/>
              </w:rPr>
            </w:pPr>
          </w:p>
        </w:tc>
      </w:tr>
      <w:tr>
        <w:trPr>
          <w:trHeight w:val="414"/>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2.01. The Loans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2.02. Borrowings, Conversions and Continuations of Loans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2.03. Letters of Credit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2.04. Swing Line Loans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2.05. Prepayments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2.06. Termination or Reduction of Commitments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2.07. Repayment of Loans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2.08. Interest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2.09. Fees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2.10. Computation of Interest and Fees; Retroactive Adjustments of Applicable Rate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2.11. Evidence of Debt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2.12. Payments Generally; Administrative Agent’s Clawback</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2.13. Sharing of Payments by Lenders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2.14. Incremental Commitments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2.15. Cash Collateral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2.16. Defaulting Lenders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414"/>
        </w:trPr>
        <w:tc>
          <w:tcPr>
            <w:tcW w:w="89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8"/>
              </w:rPr>
              <w:t>ARTICLE 3</w:t>
            </w:r>
          </w:p>
        </w:tc>
        <w:tc>
          <w:tcPr>
            <w:tcW w:w="2260" w:type="dxa"/>
            <w:vAlign w:val="bottom"/>
          </w:tcPr>
          <w:p>
            <w:pPr>
              <w:spacing w:after="0"/>
              <w:rPr>
                <w:sz w:val="24"/>
                <w:szCs w:val="24"/>
                <w:color w:val="auto"/>
              </w:rPr>
            </w:pPr>
          </w:p>
        </w:tc>
      </w:tr>
      <w:tr>
        <w:trPr>
          <w:trHeight w:val="234"/>
        </w:trPr>
        <w:tc>
          <w:tcPr>
            <w:tcW w:w="89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axes</w:t>
            </w:r>
            <w:r>
              <w:rPr>
                <w:rFonts w:ascii="Times New Roman" w:cs="Times New Roman" w:eastAsia="Times New Roman" w:hAnsi="Times New Roman"/>
                <w:sz w:val="18"/>
                <w:szCs w:val="18"/>
                <w:color w:val="auto"/>
              </w:rPr>
              <w:t>, Y</w:t>
            </w:r>
            <w:r>
              <w:rPr>
                <w:rFonts w:ascii="Times New Roman" w:cs="Times New Roman" w:eastAsia="Times New Roman" w:hAnsi="Times New Roman"/>
                <w:sz w:val="12"/>
                <w:szCs w:val="12"/>
                <w:color w:val="auto"/>
              </w:rPr>
              <w:t>ield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rotection and</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llegality</w:t>
            </w:r>
          </w:p>
        </w:tc>
        <w:tc>
          <w:tcPr>
            <w:tcW w:w="2260" w:type="dxa"/>
            <w:vAlign w:val="bottom"/>
          </w:tcPr>
          <w:p>
            <w:pPr>
              <w:spacing w:after="0"/>
              <w:rPr>
                <w:sz w:val="20"/>
                <w:szCs w:val="20"/>
                <w:color w:val="auto"/>
              </w:rPr>
            </w:pPr>
          </w:p>
        </w:tc>
      </w:tr>
      <w:tr>
        <w:trPr>
          <w:trHeight w:val="414"/>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3.01. Taxes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3.02. Illegality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3.03. Inability to Determine Rates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3.04. Increased Costs; Reserves on Term SOFR Loans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3.05. Compensation for Losses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3.06. Mitigation Obligations; Replacement of Lenders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Section 3.07. Survival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908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w w:val="98"/>
              </w:rPr>
              <w:t>ARTICLE 4</w:t>
            </w:r>
          </w:p>
        </w:tc>
        <w:tc>
          <w:tcPr>
            <w:tcW w:w="2160" w:type="dxa"/>
            <w:vAlign w:val="bottom"/>
          </w:tcPr>
          <w:p>
            <w:pPr>
              <w:spacing w:after="0"/>
              <w:rPr>
                <w:sz w:val="18"/>
                <w:szCs w:val="18"/>
                <w:color w:val="auto"/>
              </w:rPr>
            </w:pPr>
          </w:p>
        </w:tc>
      </w:tr>
      <w:tr>
        <w:trPr>
          <w:trHeight w:val="234"/>
        </w:trPr>
        <w:tc>
          <w:tcPr>
            <w:tcW w:w="908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recedent 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xtensions</w:t>
            </w:r>
          </w:p>
        </w:tc>
        <w:tc>
          <w:tcPr>
            <w:tcW w:w="2160" w:type="dxa"/>
            <w:vAlign w:val="bottom"/>
          </w:tcPr>
          <w:p>
            <w:pPr>
              <w:spacing w:after="0"/>
              <w:rPr>
                <w:sz w:val="20"/>
                <w:szCs w:val="20"/>
                <w:color w:val="auto"/>
              </w:rPr>
            </w:pPr>
          </w:p>
        </w:tc>
      </w:tr>
      <w:tr>
        <w:trPr>
          <w:trHeight w:val="41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4.01. Conditions to Initial Credit Extensions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4.02. Conditions to All Credit Extensions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14"/>
        </w:trPr>
        <w:tc>
          <w:tcPr>
            <w:tcW w:w="908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w w:val="98"/>
              </w:rPr>
              <w:t>ARTICLE 5</w:t>
            </w:r>
          </w:p>
        </w:tc>
        <w:tc>
          <w:tcPr>
            <w:tcW w:w="2160" w:type="dxa"/>
            <w:vAlign w:val="bottom"/>
          </w:tcPr>
          <w:p>
            <w:pPr>
              <w:spacing w:after="0"/>
              <w:rPr>
                <w:sz w:val="24"/>
                <w:szCs w:val="24"/>
                <w:color w:val="auto"/>
              </w:rPr>
            </w:pPr>
          </w:p>
        </w:tc>
      </w:tr>
      <w:tr>
        <w:trPr>
          <w:trHeight w:val="234"/>
        </w:trPr>
        <w:tc>
          <w:tcPr>
            <w:tcW w:w="908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p>
        </w:tc>
        <w:tc>
          <w:tcPr>
            <w:tcW w:w="2160" w:type="dxa"/>
            <w:vAlign w:val="bottom"/>
          </w:tcPr>
          <w:p>
            <w:pPr>
              <w:spacing w:after="0"/>
              <w:rPr>
                <w:sz w:val="20"/>
                <w:szCs w:val="20"/>
                <w:color w:val="auto"/>
              </w:rPr>
            </w:pPr>
          </w:p>
        </w:tc>
      </w:tr>
      <w:tr>
        <w:trPr>
          <w:trHeight w:val="41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5.01. Existence, Qualification and Power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5.02. Authorization; No Contravention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5.03. Governmental Authorization; Other Consents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5.04. Binding Effect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5.05. Financial Statements; No Material Adverse Effect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5.06. Litigation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5.07. No Default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5.08. Ownership of Property; Liens; Investments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5.09. Environmental Compliance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5.10. Insurance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5.11. Taxes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5.12. ERISA Compliance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5.13. Subsidiaries; Equity Interests; Loan Parties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5.14. Margin Regulations; Investment Company Act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5.15. Disclosure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5.16. Compliance with Laws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5.17. Intellectual Property; Licenses, Etc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5.18. Solvency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5.19. Use of Proceeds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5.20. Sanctions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5.21. Anti-Corruption Laws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5.22. Money Laundering and Counter-Terrorist Financing Laws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5.23. Valid Liens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5.24. Senior Debt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14"/>
        </w:trPr>
        <w:tc>
          <w:tcPr>
            <w:tcW w:w="908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w w:val="98"/>
              </w:rPr>
              <w:t>ARTICLE 6</w:t>
            </w:r>
          </w:p>
        </w:tc>
        <w:tc>
          <w:tcPr>
            <w:tcW w:w="2160" w:type="dxa"/>
            <w:vAlign w:val="bottom"/>
          </w:tcPr>
          <w:p>
            <w:pPr>
              <w:spacing w:after="0"/>
              <w:rPr>
                <w:sz w:val="24"/>
                <w:szCs w:val="24"/>
                <w:color w:val="auto"/>
              </w:rPr>
            </w:pPr>
          </w:p>
        </w:tc>
      </w:tr>
      <w:tr>
        <w:trPr>
          <w:trHeight w:val="234"/>
        </w:trPr>
        <w:tc>
          <w:tcPr>
            <w:tcW w:w="908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ffirmative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tc>
        <w:tc>
          <w:tcPr>
            <w:tcW w:w="2160" w:type="dxa"/>
            <w:vAlign w:val="bottom"/>
          </w:tcPr>
          <w:p>
            <w:pPr>
              <w:spacing w:after="0"/>
              <w:rPr>
                <w:sz w:val="20"/>
                <w:szCs w:val="20"/>
                <w:color w:val="auto"/>
              </w:rPr>
            </w:pPr>
          </w:p>
        </w:tc>
      </w:tr>
      <w:tr>
        <w:trPr>
          <w:trHeight w:val="41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6.01. Financial Statements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6.02. Certificates; Other Information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6.03. Notices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6.04. Payment of Taxes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6.05. Preservation of Existence, Etc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6.06. Maintenance of Properties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6.07. Maintenance of Insurance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6.08. Compliance with Laws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6.09. Books and Records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6.10. Inspection Rights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Section 6.11. Use of Proceeds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6.12. Covenant to Guarantee Obligations and Give Security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6.13. Further Assurances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6.14. Information Regarding Collateral</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6.15. Anti-Corruption Laws and Sanctions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414"/>
        </w:trPr>
        <w:tc>
          <w:tcPr>
            <w:tcW w:w="888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8"/>
              </w:rPr>
              <w:t>ARTICLE 7</w:t>
            </w:r>
          </w:p>
        </w:tc>
        <w:tc>
          <w:tcPr>
            <w:tcW w:w="2360" w:type="dxa"/>
            <w:vAlign w:val="bottom"/>
          </w:tcPr>
          <w:p>
            <w:pPr>
              <w:spacing w:after="0"/>
              <w:rPr>
                <w:sz w:val="24"/>
                <w:szCs w:val="24"/>
                <w:color w:val="auto"/>
              </w:rPr>
            </w:pPr>
          </w:p>
        </w:tc>
      </w:tr>
      <w:tr>
        <w:trPr>
          <w:trHeight w:val="234"/>
        </w:trPr>
        <w:tc>
          <w:tcPr>
            <w:tcW w:w="888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egative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tc>
        <w:tc>
          <w:tcPr>
            <w:tcW w:w="2360" w:type="dxa"/>
            <w:vAlign w:val="bottom"/>
          </w:tcPr>
          <w:p>
            <w:pPr>
              <w:spacing w:after="0"/>
              <w:rPr>
                <w:sz w:val="20"/>
                <w:szCs w:val="20"/>
                <w:color w:val="auto"/>
              </w:rPr>
            </w:pPr>
          </w:p>
        </w:tc>
      </w:tr>
      <w:tr>
        <w:trPr>
          <w:trHeight w:val="414"/>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7.01. Liens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7.02. Indebtedness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7.03. Investments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7.04. Fundamental Changes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7.05. Dispositions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7.06. Restricted 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7.07. Change in Nature of Business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7.08. Transactions with Affiliates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7.09. Burdensome Agreements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7.10. Use of Proceeds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7.11. Financial Covenants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7.12. [Reserved]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7.13. Amendments of Organization Documents and Junior Financing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7.14. Accounting Changes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4"/>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7.15. Prepayments, Etc. of Junior Financing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414"/>
        </w:trPr>
        <w:tc>
          <w:tcPr>
            <w:tcW w:w="888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8"/>
              </w:rPr>
              <w:t>ARTICLE 8</w:t>
            </w:r>
          </w:p>
        </w:tc>
        <w:tc>
          <w:tcPr>
            <w:tcW w:w="2360" w:type="dxa"/>
            <w:vAlign w:val="bottom"/>
          </w:tcPr>
          <w:p>
            <w:pPr>
              <w:spacing w:after="0"/>
              <w:rPr>
                <w:sz w:val="24"/>
                <w:szCs w:val="24"/>
                <w:color w:val="auto"/>
              </w:rPr>
            </w:pPr>
          </w:p>
        </w:tc>
      </w:tr>
      <w:tr>
        <w:trPr>
          <w:trHeight w:val="234"/>
        </w:trPr>
        <w:tc>
          <w:tcPr>
            <w:tcW w:w="888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vents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efault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tc>
        <w:tc>
          <w:tcPr>
            <w:tcW w:w="2360" w:type="dxa"/>
            <w:vAlign w:val="bottom"/>
          </w:tcPr>
          <w:p>
            <w:pPr>
              <w:spacing w:after="0"/>
              <w:rPr>
                <w:sz w:val="20"/>
                <w:szCs w:val="20"/>
                <w:color w:val="auto"/>
              </w:rPr>
            </w:pPr>
          </w:p>
        </w:tc>
      </w:tr>
      <w:tr>
        <w:trPr>
          <w:trHeight w:val="414"/>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8.01. Events of Default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8.02. Remedies upon Event of Default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4"/>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8.03. Application of Funds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414"/>
        </w:trPr>
        <w:tc>
          <w:tcPr>
            <w:tcW w:w="888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8"/>
              </w:rPr>
              <w:t>ARTICLE 9</w:t>
            </w:r>
          </w:p>
        </w:tc>
        <w:tc>
          <w:tcPr>
            <w:tcW w:w="2360" w:type="dxa"/>
            <w:vAlign w:val="bottom"/>
          </w:tcPr>
          <w:p>
            <w:pPr>
              <w:spacing w:after="0"/>
              <w:rPr>
                <w:sz w:val="24"/>
                <w:szCs w:val="24"/>
                <w:color w:val="auto"/>
              </w:rPr>
            </w:pPr>
          </w:p>
        </w:tc>
      </w:tr>
      <w:tr>
        <w:trPr>
          <w:trHeight w:val="234"/>
        </w:trPr>
        <w:tc>
          <w:tcPr>
            <w:tcW w:w="888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dministrative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gent</w:t>
            </w:r>
          </w:p>
        </w:tc>
        <w:tc>
          <w:tcPr>
            <w:tcW w:w="2360" w:type="dxa"/>
            <w:vAlign w:val="bottom"/>
          </w:tcPr>
          <w:p>
            <w:pPr>
              <w:spacing w:after="0"/>
              <w:rPr>
                <w:sz w:val="20"/>
                <w:szCs w:val="20"/>
                <w:color w:val="auto"/>
              </w:rPr>
            </w:pPr>
          </w:p>
        </w:tc>
      </w:tr>
      <w:tr>
        <w:trPr>
          <w:trHeight w:val="414"/>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9.01. Appointment and Authority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9.02. Rights as a Lender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9.03. Exculpatory Provisions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9.04. Reliance by Administrative Agent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9.05. Delegation of Duties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9.06. Resignation of Administrative Agent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9.07. Non-Reliance on Administrative Agent and Other Lenders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9.08. No Other Duties, Etc</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9.09. Administrative Agent May File Proofs of Claim; Credit Bidding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9.10. Collateral and Guaranty Matters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9.11. Secured Cash Management Agreements and Secured Hedge Agreements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4"/>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Section 9.12. Recovery of Erroneous 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792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9"/>
              </w:rPr>
              <w:t>ARTICLE 10</w:t>
            </w: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9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ontinuing</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uaranty</w:t>
            </w: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Guaranty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10.01.</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Rights of Lenders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10.02.</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Waivers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10.03.</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Obligations Independent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10.04.</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Subrogation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10.05.</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 Reinstatement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10.06.</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Subordination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10.07.</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Stay of Acceleration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10.08.</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 of Borrower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10.09.</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 of Liability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92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414"/>
        </w:trPr>
        <w:tc>
          <w:tcPr>
            <w:tcW w:w="780" w:type="dxa"/>
            <w:vAlign w:val="bottom"/>
          </w:tcPr>
          <w:p>
            <w:pPr>
              <w:spacing w:after="0"/>
              <w:rPr>
                <w:sz w:val="24"/>
                <w:szCs w:val="24"/>
                <w:color w:val="auto"/>
              </w:rPr>
            </w:pPr>
          </w:p>
        </w:tc>
        <w:tc>
          <w:tcPr>
            <w:tcW w:w="79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7"/>
              </w:rPr>
              <w:t>ARTICLE 11</w:t>
            </w:r>
          </w:p>
        </w:tc>
        <w:tc>
          <w:tcPr>
            <w:tcW w:w="254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p>
        </w:tc>
        <w:tc>
          <w:tcPr>
            <w:tcW w:w="792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c>
          <w:tcPr>
            <w:tcW w:w="2540" w:type="dxa"/>
            <w:vAlign w:val="bottom"/>
          </w:tcPr>
          <w:p>
            <w:pPr>
              <w:spacing w:after="0"/>
              <w:rPr>
                <w:sz w:val="20"/>
                <w:szCs w:val="20"/>
                <w:color w:val="auto"/>
              </w:rPr>
            </w:pP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Amendments, Etc</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11.01.</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 Effectiveness; Electronic Communications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11.02.</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11.03.</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11.04.</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Set Aside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11.05.</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 and Assigns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11.06.</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11.07.</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Setoff</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11.08.</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11.09.</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11.10.</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11.11.</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11.12.</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Replacement of Lenders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11.13.</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11.14.</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Jury Trial</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11.15.</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11.16.</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11.17.</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USA PATRIOT Act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11.18.</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Judgment Currency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11.19.</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 of Collateral</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11.20.</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Acknowledgment and Consent to Bail-In of Affected Financial Institutions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11.21.</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ERISA Matters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11.22.</w:t>
            </w:r>
          </w:p>
        </w:tc>
        <w:tc>
          <w:tcPr>
            <w:tcW w:w="7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11.23.</w:t>
            </w:r>
          </w:p>
        </w:tc>
        <w:tc>
          <w:tcPr>
            <w:tcW w:w="7920" w:type="dxa"/>
            <w:vAlign w:val="bottom"/>
          </w:tcPr>
          <w:p>
            <w:pPr>
              <w:spacing w:after="0"/>
              <w:rPr>
                <w:sz w:val="20"/>
                <w:szCs w:val="20"/>
                <w:color w:val="auto"/>
              </w:rPr>
            </w:pPr>
          </w:p>
        </w:tc>
        <w:tc>
          <w:tcPr>
            <w:tcW w:w="25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0" w:gutter="0" w:footer="0" w:header="0"/>
        </w:sectPr>
      </w:pPr>
    </w:p>
    <w:p>
      <w:pPr>
        <w:spacing w:after="0" w:line="214" w:lineRule="exact"/>
        <w:rPr>
          <w:sz w:val="20"/>
          <w:szCs w:val="20"/>
          <w:color w:val="auto"/>
        </w:rPr>
      </w:pPr>
    </w:p>
    <w:p>
      <w:pPr>
        <w:spacing w:after="0"/>
        <w:tabs>
          <w:tab w:leader="none" w:pos="3040" w:val="left"/>
        </w:tabs>
        <w:rPr>
          <w:sz w:val="20"/>
          <w:szCs w:val="20"/>
          <w:color w:val="auto"/>
        </w:rPr>
      </w:pPr>
      <w:r>
        <w:rPr>
          <w:rFonts w:ascii="Times New Roman" w:cs="Times New Roman" w:eastAsia="Times New Roman" w:hAnsi="Times New Roman"/>
          <w:sz w:val="17"/>
          <w:szCs w:val="17"/>
          <w:color w:val="auto"/>
        </w:rPr>
        <w:t>SIGNATURES</w:t>
      </w:r>
      <w:r>
        <w:rPr>
          <w:sz w:val="20"/>
          <w:szCs w:val="20"/>
          <w:color w:val="auto"/>
        </w:rPr>
        <w:tab/>
      </w:r>
      <w:r>
        <w:rPr>
          <w:rFonts w:ascii="Times New Roman" w:cs="Times New Roman" w:eastAsia="Times New Roman" w:hAnsi="Times New Roman"/>
          <w:sz w:val="17"/>
          <w:szCs w:val="17"/>
          <w:color w:val="auto"/>
        </w:rPr>
        <w:t>S-1</w:t>
      </w:r>
    </w:p>
    <w:p>
      <w:pPr>
        <w:sectPr>
          <w:pgSz w:w="11900" w:h="16838" w:orient="portrait"/>
          <w:cols w:equalWidth="0" w:num="1">
            <w:col w:w="11240"/>
          </w:cols>
          <w:pgMar w:left="320" w:top="337" w:right="339" w:bottom="0" w:gutter="0" w:footer="0" w:header="0"/>
          <w:type w:val="continuous"/>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24"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SCHEDULES</w:t>
      </w:r>
      <w:r>
        <w:rPr>
          <w:rFonts w:ascii="Times New Roman" w:cs="Times New Roman" w:eastAsia="Times New Roman" w:hAnsi="Times New Roman"/>
          <w:sz w:val="29"/>
          <w:szCs w:val="29"/>
          <w:color w:val="auto"/>
          <w:vertAlign w:val="superscript"/>
        </w:rPr>
        <w:t>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Existing Letters of Credit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Commitments and Applicable Percentages</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5.06</w:t>
            </w: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5.12(d)</w:t>
            </w: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Plans</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5.13</w:t>
            </w: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Subsidiaries; Loan Parties</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Guarantors</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7.01</w:t>
            </w: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Liens</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7.02</w:t>
            </w: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Indebtedness</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7.03</w:t>
            </w: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7.08</w:t>
            </w: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7.09</w:t>
            </w: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Burdensome Agreements</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11.02</w:t>
            </w: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Administrative Agent’s Office, Certain Addresses for Notices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w:t>
      </w:r>
    </w:p>
    <w:p>
      <w:pPr>
        <w:spacing w:after="0" w:line="207" w:lineRule="exact"/>
        <w:rPr>
          <w:sz w:val="20"/>
          <w:szCs w:val="20"/>
          <w:color w:val="auto"/>
        </w:rPr>
      </w:pPr>
    </w:p>
    <w:p>
      <w:pPr>
        <w:ind w:left="1020" w:hanging="101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Loan Notice</w:t>
      </w:r>
    </w:p>
    <w:p>
      <w:pPr>
        <w:spacing w:after="0" w:line="27" w:lineRule="exact"/>
        <w:rPr>
          <w:sz w:val="20"/>
          <w:szCs w:val="20"/>
          <w:color w:val="auto"/>
        </w:rPr>
      </w:pPr>
    </w:p>
    <w:p>
      <w:pPr>
        <w:ind w:left="1020" w:hanging="101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Swing Line Loan Notice</w:t>
      </w: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2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 Note</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C-2</w:t>
            </w:r>
          </w:p>
        </w:tc>
        <w:tc>
          <w:tcPr>
            <w:tcW w:w="20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Revolving Credit Note</w:t>
            </w:r>
          </w:p>
        </w:tc>
      </w:tr>
    </w:tbl>
    <w:p>
      <w:pPr>
        <w:ind w:left="1020" w:hanging="1012"/>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E-1</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Assignment and Assumption</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E-2</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Administrative Questionnaire</w:t>
            </w:r>
          </w:p>
        </w:tc>
      </w:tr>
    </w:tbl>
    <w:p>
      <w:pPr>
        <w:ind w:left="1020" w:hanging="101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Note</w:t>
      </w:r>
    </w:p>
    <w:p>
      <w:pPr>
        <w:spacing w:after="0" w:line="9" w:lineRule="exact"/>
        <w:rPr>
          <w:sz w:val="20"/>
          <w:szCs w:val="20"/>
          <w:color w:val="auto"/>
        </w:rPr>
      </w:pPr>
    </w:p>
    <w:p>
      <w:pPr>
        <w:ind w:left="1020" w:hanging="101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Agreement</w:t>
      </w:r>
    </w:p>
    <w:p>
      <w:pPr>
        <w:spacing w:after="0" w:line="9" w:lineRule="exact"/>
        <w:rPr>
          <w:sz w:val="20"/>
          <w:szCs w:val="20"/>
          <w:color w:val="auto"/>
        </w:rPr>
      </w:pPr>
    </w:p>
    <w:p>
      <w:pPr>
        <w:ind w:left="1020" w:hanging="1012"/>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Perfection Certificate</w:t>
      </w: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I-1</w:t>
            </w:r>
          </w:p>
        </w:tc>
        <w:tc>
          <w:tcPr>
            <w:tcW w:w="9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United States Tax Compliance Certificate (For Non-U.S. Lenders That Are Not Partnerships For U.S. Federal Income Tax Purposes)</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I-2</w:t>
            </w:r>
          </w:p>
        </w:tc>
        <w:tc>
          <w:tcPr>
            <w:tcW w:w="9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States Tax Compliance Certificate (For Non-U.S. Participants That Are Not Partnerships For U.S. Federal Income Tax</w:t>
            </w:r>
          </w:p>
        </w:tc>
      </w:tr>
      <w:tr>
        <w:trPr>
          <w:trHeight w:val="216"/>
        </w:trPr>
        <w:tc>
          <w:tcPr>
            <w:tcW w:w="620" w:type="dxa"/>
            <w:vAlign w:val="bottom"/>
          </w:tcPr>
          <w:p>
            <w:pPr>
              <w:spacing w:after="0"/>
              <w:rPr>
                <w:sz w:val="18"/>
                <w:szCs w:val="18"/>
                <w:color w:val="auto"/>
              </w:rPr>
            </w:pPr>
          </w:p>
        </w:tc>
        <w:tc>
          <w:tcPr>
            <w:tcW w:w="9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I-3</w:t>
            </w:r>
          </w:p>
        </w:tc>
        <w:tc>
          <w:tcPr>
            <w:tcW w:w="9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United States Tax Compliance Certificate (For Non-U.S. Participants That Are Partnerships For U.S. Federal Income Tax Purposes)</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I-4</w:t>
            </w:r>
          </w:p>
        </w:tc>
        <w:tc>
          <w:tcPr>
            <w:tcW w:w="9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States Tax Compliance Certificate (For Non-U.S. Lenders That Are Partnerships For U.S. Federal Income Tax Purposes)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9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Solvency Certificate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16459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All Schedules and Exhibits not attached to this Agreement shall be as set forth in the Existing Credit Agreement.</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327" w:right="10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CREDIT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SECOND AMENDED AND RESTATED CREDIT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March 27, 2026, among NU SKIN ENTERPRISES, INC., a Delaware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Guarantors from time to time party hereto, each lender from time to time party hereto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BANK OF AMERICA, N.A., as Administrative Agent, Swing Line Lender and L/C Issuer.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PRELIMINARY STATEMENTS: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Borrower is party to that certain Credit Agreement, dated as of April 18, 2018 (as amended and restated by that certain Amendment and Restatement Agreement, dated as of the 2022 Closing Date, and as further amended, supplemented or otherwise modified prior to the Closing Date, the “</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among the Borrower, the Guarantors from time to time party thereto, the lenders from time to time party thereto and Bank of America, N.A., as administrative agent, swing line lender and L/C issuer pursuant to which the lenders thereunder have extended or committed to extend certain credit facilities to the Borrower.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Borrower has requested that, immediately upon the satisfaction in full of the conditions precedent set forth in Section 4.01 and in Section 9 of the Restatement Agreement, the Lenders provide a term loan facility and a revolving credit facility, the proceeds of which shall be used (i) for working capital, capital expenditures and other lawful corporate purposes, including (without limitation) investments, acquisitions, stock repurchases and dividends not prohibited by the Loan Documents (as defined herein) and (ii) to consummate the Closing Date Refinancing, and the Lenders have indicated their willingness to lend and the L/C Issuer has indicated its willingness to issue letters of credit, in each case, on the terms and subject to the conditions set forth herein.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proceeds from the Term Loans and any Revolving Credit Loans borrowed on the Closing Date will be used to (i) prepay in full all outstanding Existing Term Loans (including accrued and unpaid interest, fees, expenses and other amounts related thereto, other than contingent obligations not then due and payable), (ii) prepay in full all outstanding Existing Revolving Credit Loans (including accrued and unpaid interest, premiums, fees, expenses and other amounts related thereto, other than contingent obligations not then due and payable and, for the avoidance of doubt, other than with respect to any Existing Letters of Credit, which shall be continued as Letters of Credit hereunder) (clauses (i) and (ii), including the termination of the Existing Revolving Credit Commitments, collectively, the “</w:t>
      </w:r>
      <w:r>
        <w:rPr>
          <w:rFonts w:ascii="Times New Roman" w:cs="Times New Roman" w:eastAsia="Times New Roman" w:hAnsi="Times New Roman"/>
          <w:sz w:val="18"/>
          <w:szCs w:val="18"/>
          <w:b w:val="1"/>
          <w:bCs w:val="1"/>
          <w:color w:val="auto"/>
        </w:rPr>
        <w:t>Closing Date Refinancing</w:t>
      </w:r>
      <w:r>
        <w:rPr>
          <w:rFonts w:ascii="Times New Roman" w:cs="Times New Roman" w:eastAsia="Times New Roman" w:hAnsi="Times New Roman"/>
          <w:sz w:val="18"/>
          <w:szCs w:val="18"/>
          <w:color w:val="auto"/>
        </w:rPr>
        <w:t>”) and (iii) pay fees and expenses incurred in connection with the Closing Date Refinancing, the incurrence of the Term Loans, the establishment of the Revolving Credit Facility and the execution and delivery of the Loan Documents entered into on the Closing Date.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ccounting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erms</w:t>
      </w:r>
    </w:p>
    <w:p>
      <w:pPr>
        <w:spacing w:after="0" w:line="20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2022 Closing Date</w:t>
      </w:r>
      <w:r>
        <w:rPr>
          <w:rFonts w:ascii="Times New Roman" w:cs="Times New Roman" w:eastAsia="Times New Roman" w:hAnsi="Times New Roman"/>
          <w:sz w:val="18"/>
          <w:szCs w:val="18"/>
          <w:color w:val="auto"/>
        </w:rPr>
        <w:t>” means June 14, 2022.</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EBIT</w:t>
      </w:r>
      <w:r>
        <w:rPr>
          <w:rFonts w:ascii="Times New Roman" w:cs="Times New Roman" w:eastAsia="Times New Roman" w:hAnsi="Times New Roman"/>
          <w:sz w:val="18"/>
          <w:szCs w:val="18"/>
          <w:color w:val="auto"/>
        </w:rPr>
        <w:t>” means, with respect to any Acquired Entity or Business for any period, the amount for such period of Consolidated EBIT of such Acquired Entity or Business (determined as if references to the Borrower and the Subsidiaries in the definition of the term “Consolidated EBIT” were references to such Acquired Entity or Business and its subsidiaries which will become Subsidiaries), all as determined on a consolidated basis for such Acquired Entity or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Entity or Business</w:t>
      </w:r>
      <w:r>
        <w:rPr>
          <w:rFonts w:ascii="Times New Roman" w:cs="Times New Roman" w:eastAsia="Times New Roman" w:hAnsi="Times New Roman"/>
          <w:sz w:val="18"/>
          <w:szCs w:val="18"/>
          <w:color w:val="auto"/>
        </w:rPr>
        <w:t>” has the meaning set forth in the definition of the term “Consolidated EBIT”.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xml:space="preserve">” means, at any time, any Person that is not an existing Lender and that agrees to provide any portion of any Incremental Commitments in accordance with Section 2.14;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Additional Lender shall be, with respect to Incremental Term Commitments, an Eligible Assignee in respect of Term Loans and (y) with respect to Incremental Revolving Commitments, an Eligible Assignee with respect to Revolving Credit Commitments.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means Bank of America in its capacity as administrative agent under any of the Loan Documents, or any successor administrative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 Fee Letter</w:t>
      </w:r>
      <w:r>
        <w:rPr>
          <w:rFonts w:ascii="Times New Roman" w:cs="Times New Roman" w:eastAsia="Times New Roman" w:hAnsi="Times New Roman"/>
          <w:sz w:val="18"/>
          <w:szCs w:val="18"/>
          <w:color w:val="auto"/>
        </w:rPr>
        <w:t>” means that certain Administrative Agent Fee Letter, dated as of February 20, 2026, among the Borrower, BofA Securities, Inc. and Bank of America.</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Agent’s Office</w:t>
      </w:r>
      <w:r>
        <w:rPr>
          <w:rFonts w:ascii="Times New Roman" w:cs="Times New Roman" w:eastAsia="Times New Roman" w:hAnsi="Times New Roman"/>
          <w:sz w:val="18"/>
          <w:szCs w:val="18"/>
          <w:color w:val="auto"/>
        </w:rPr>
        <w:t>” means the Administrative Agent’s address and, as appropriate, account as set forth on Schedule 11.02, or such other address or account as the Administrative Agent may from time to time notify to the Borrower and the Lenders.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means an Administrative Questionnaire in substantially the form of Exhibit E-2 or any other form approved by the Administrative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Tranche</w:t>
      </w:r>
      <w:r>
        <w:rPr>
          <w:rFonts w:ascii="Times New Roman" w:cs="Times New Roman" w:eastAsia="Times New Roman" w:hAnsi="Times New Roman"/>
          <w:sz w:val="18"/>
          <w:szCs w:val="18"/>
          <w:color w:val="auto"/>
        </w:rPr>
        <w:t>” means, any Loan or tranche, the rights or duties of the Lenders under which are affected by the terms of any amendment, waiver or consent, as contemplated in Section 11.01.</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Commitments</w:t>
      </w:r>
      <w:r>
        <w:rPr>
          <w:rFonts w:ascii="Times New Roman" w:cs="Times New Roman" w:eastAsia="Times New Roman" w:hAnsi="Times New Roman"/>
          <w:sz w:val="18"/>
          <w:szCs w:val="18"/>
          <w:color w:val="auto"/>
        </w:rPr>
        <w:t>” means the Commitments of all the Lenders.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Credit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Fee Rate</w:t>
      </w:r>
      <w:r>
        <w:rPr>
          <w:rFonts w:ascii="Times New Roman" w:cs="Times New Roman" w:eastAsia="Times New Roman" w:hAnsi="Times New Roman"/>
          <w:sz w:val="18"/>
          <w:szCs w:val="18"/>
          <w:color w:val="auto"/>
        </w:rPr>
        <w:t>” means, at any time, in respect of the Revolving Credit Facility, (a) from the Closing Date to the date on which the Administrative Agent receives a Compliance Certificate pursuant to Section 6.02(b) for the first full fiscal quarter following the Closing Date, 0.225% per annum and (b) thereafter, the applicable percentage per annum set forth below determined by reference to the Consolidated Leverage Ratio as set forth in the most recent Compliance Certificate received by the Administrative Agent pursuant to Section 6.02(b):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126365</wp:posOffset>
            </wp:positionV>
            <wp:extent cx="4277360" cy="10801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77360" cy="1080135"/>
                    </a:xfrm>
                    <a:prstGeom prst="rect">
                      <a:avLst/>
                    </a:prstGeom>
                    <a:noFill/>
                  </pic:spPr>
                </pic:pic>
              </a:graphicData>
            </a:graphic>
          </wp:anchor>
        </w:drawing>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Applicable Fee Rate</w:t>
      </w:r>
    </w:p>
    <w:p>
      <w:pPr>
        <w:spacing w:after="0" w:line="31" w:lineRule="exact"/>
        <w:rPr>
          <w:sz w:val="20"/>
          <w:szCs w:val="20"/>
          <w:color w:val="auto"/>
        </w:rPr>
      </w:pPr>
    </w:p>
    <w:tbl>
      <w:tblPr>
        <w:tblLayout w:type="fixed"/>
        <w:tblInd w:w="2260" w:type="dxa"/>
        <w:tblCellMar>
          <w:top w:w="0" w:type="dxa"/>
          <w:left w:w="0" w:type="dxa"/>
          <w:bottom w:w="0" w:type="dxa"/>
          <w:right w:w="0" w:type="dxa"/>
        </w:tblCellMar>
      </w:tblPr>
      <w:tr>
        <w:trPr>
          <w:trHeight w:val="201"/>
        </w:trPr>
        <w:tc>
          <w:tcPr>
            <w:tcW w:w="20" w:type="dxa"/>
            <w:vAlign w:val="bottom"/>
            <w:tcBorders>
              <w:top w:val="single" w:sz="8" w:color="auto"/>
            </w:tcBorders>
          </w:tcPr>
          <w:p>
            <w:pPr>
              <w:spacing w:after="0"/>
              <w:rPr>
                <w:sz w:val="17"/>
                <w:szCs w:val="17"/>
                <w:color w:val="auto"/>
              </w:rPr>
            </w:pPr>
          </w:p>
        </w:tc>
        <w:tc>
          <w:tcPr>
            <w:tcW w:w="1120" w:type="dxa"/>
            <w:vAlign w:val="bottom"/>
            <w:tcBorders>
              <w:top w:val="single" w:sz="8" w:color="auto"/>
              <w:right w:val="single" w:sz="8" w:color="auto"/>
            </w:tcBorders>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Pricing</w:t>
            </w:r>
          </w:p>
        </w:tc>
        <w:tc>
          <w:tcPr>
            <w:tcW w:w="3360" w:type="dxa"/>
            <w:vAlign w:val="bottom"/>
            <w:tcBorders>
              <w:top w:val="single" w:sz="8" w:color="auto"/>
              <w:right w:val="single" w:sz="8" w:color="auto"/>
            </w:tcBorders>
          </w:tcPr>
          <w:p>
            <w:pPr>
              <w:ind w:left="1160"/>
              <w:spacing w:after="0" w:line="201"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22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Applicable</w:t>
            </w:r>
          </w:p>
        </w:tc>
        <w:tc>
          <w:tcPr>
            <w:tcW w:w="20" w:type="dxa"/>
            <w:vAlign w:val="bottom"/>
            <w:tcBorders>
              <w:top w:val="single" w:sz="8" w:color="auto"/>
            </w:tcBorders>
          </w:tcPr>
          <w:p>
            <w:pPr>
              <w:spacing w:after="0"/>
              <w:rPr>
                <w:sz w:val="17"/>
                <w:szCs w:val="17"/>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3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Leverage Ratio</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0" w:type="dxa"/>
            <w:vAlign w:val="bottom"/>
            <w:tcBorders>
              <w:bottom w:val="single" w:sz="8" w:color="auto"/>
            </w:tcBorders>
          </w:tcPr>
          <w:p>
            <w:pPr>
              <w:spacing w:after="0"/>
              <w:rPr>
                <w:sz w:val="21"/>
                <w:szCs w:val="2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336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&lt;0.75:1.00</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0.175%</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w:t>
            </w:r>
          </w:p>
        </w:tc>
        <w:tc>
          <w:tcPr>
            <w:tcW w:w="33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≥0.75:1.00 but &lt;1.50:1.00</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0.225%</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w:t>
            </w:r>
          </w:p>
        </w:tc>
        <w:tc>
          <w:tcPr>
            <w:tcW w:w="3360" w:type="dxa"/>
            <w:vAlign w:val="bottom"/>
            <w:tcBorders>
              <w:bottom w:val="single" w:sz="8" w:color="auto"/>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≥1.50:1.00 but &lt;2.25:1.00</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0.275%</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4</w:t>
            </w:r>
          </w:p>
        </w:tc>
        <w:tc>
          <w:tcPr>
            <w:tcW w:w="33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≥2.25:1.00</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0.300%</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Fee Rate resulting from a change in the Consolidated Leverage Ratio shall become effective as of the first Business Day immediately following the date a Compliance Certificate is delivered pursuant to Section 6.02(b);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Compliance Certificate is not delivered when due in accordance with such Section, then Pricing Level 4 shall apply as of the first Business Day after the date on which such Compliance Certificate was required to have been delivered and shall remain in effect until the date on which such Compliance Certificate is delivered.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definition, the determination of the Applicable Fee Rate for any period shall be subject to the provisions of Section 2.10(b).</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Percentage</w:t>
      </w:r>
      <w:r>
        <w:rPr>
          <w:rFonts w:ascii="Times New Roman" w:cs="Times New Roman" w:eastAsia="Times New Roman" w:hAnsi="Times New Roman"/>
          <w:sz w:val="18"/>
          <w:szCs w:val="18"/>
          <w:color w:val="auto"/>
        </w:rPr>
        <w:t>” means (a) in respect of the Term Facility, with respect to any Term Lender at any time, the percentage (carried out to the ninth decimal place) of the Term Facility represented by such Term Lender’s Term Loans at such time, and (b) in respect of the Revolving Credit Facility, with respect to any Revolving Credit Lender at any time, the percentage (carried out to the ninth decimal place) of the Revolving Credit Facility represented by such Revolving Credit Lender’s Revolving Credit Commitment at such time, subject to adjustment as provided in Section 2.16. If the commitment of each Revolving Credit Lender to make Revolving Credit Loans and the obligation of the L/C Issuer to make L/C Credit Extensions have been terminated pursuant to Section 8.02, or if the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The initial Applicable Percentage of each Lender in respect of each Facility is set forth opposite the name of such Lender on Schedule 2.01 or in the Assignment and Assumption pursuant to which such Lender becomes a party hereto, as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Rate</w:t>
      </w:r>
      <w:r>
        <w:rPr>
          <w:rFonts w:ascii="Times New Roman" w:cs="Times New Roman" w:eastAsia="Times New Roman" w:hAnsi="Times New Roman"/>
          <w:sz w:val="18"/>
          <w:szCs w:val="18"/>
          <w:color w:val="auto"/>
        </w:rPr>
        <w:t>” means, at any time, in respect of the Term Facility and the Revolving Credit Facility, (i) from the Closing Date to the date on which the Administrative Agent receives a Compliance Certificate pursuant to Section 6.02(b) for the first full fiscal quarter ending after the Closing Date, 0.75% per annum for Base Rate Loans and 1.75% per annum for Term SOFR Loans and Letter of Credit Fees and (ii) thereafter, the applicable percentage per annum set forth below determined by reference to the Consolidated Leverage Ratio as set forth in the most recent Compliance Certificate received by the Administrative Agent pursuant to Section 6.02(b):</w:t>
      </w:r>
    </w:p>
    <w:p>
      <w:pPr>
        <w:spacing w:after="0" w:line="181" w:lineRule="exact"/>
        <w:rPr>
          <w:sz w:val="20"/>
          <w:szCs w:val="20"/>
          <w:color w:val="auto"/>
        </w:rPr>
      </w:pPr>
    </w:p>
    <w:tbl>
      <w:tblPr>
        <w:tblLayout w:type="fixed"/>
        <w:tblInd w:w="1710" w:type="dxa"/>
        <w:tblCellMar>
          <w:top w:w="0" w:type="dxa"/>
          <w:left w:w="0" w:type="dxa"/>
          <w:bottom w:w="0" w:type="dxa"/>
          <w:right w:w="0" w:type="dxa"/>
        </w:tblCellMar>
      </w:tblPr>
      <w:tr>
        <w:trPr>
          <w:trHeight w:val="250"/>
        </w:trPr>
        <w:tc>
          <w:tcPr>
            <w:tcW w:w="1120" w:type="dxa"/>
            <w:vAlign w:val="bottom"/>
            <w:tcBorders>
              <w:top w:val="single" w:sz="8" w:color="auto"/>
              <w:left w:val="single" w:sz="8" w:color="auto"/>
              <w:bottom w:val="single" w:sz="8" w:color="auto"/>
            </w:tcBorders>
          </w:tcPr>
          <w:p>
            <w:pPr>
              <w:spacing w:after="0"/>
              <w:rPr>
                <w:sz w:val="21"/>
                <w:szCs w:val="21"/>
                <w:color w:val="auto"/>
              </w:rPr>
            </w:pPr>
          </w:p>
        </w:tc>
        <w:tc>
          <w:tcPr>
            <w:tcW w:w="4500" w:type="dxa"/>
            <w:vAlign w:val="bottom"/>
            <w:tcBorders>
              <w:top w:val="single" w:sz="8" w:color="auto"/>
              <w:bottom w:val="single" w:sz="8" w:color="auto"/>
            </w:tcBorders>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Applicable Rate</w:t>
            </w:r>
          </w:p>
        </w:tc>
        <w:tc>
          <w:tcPr>
            <w:tcW w:w="224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20" w:type="dxa"/>
            <w:vAlign w:val="bottom"/>
            <w:tcBorders>
              <w:left w:val="single" w:sz="8" w:color="auto"/>
              <w:right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Pricing</w:t>
            </w:r>
          </w:p>
        </w:tc>
        <w:tc>
          <w:tcPr>
            <w:tcW w:w="2260" w:type="dxa"/>
            <w:vAlign w:val="bottom"/>
            <w:tcBorders>
              <w:right w:val="single" w:sz="8" w:color="auto"/>
            </w:tcBorders>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22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Applicable Rate</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Rate</w:t>
            </w:r>
          </w:p>
        </w:tc>
        <w:tc>
          <w:tcPr>
            <w:tcW w:w="0" w:type="dxa"/>
            <w:vAlign w:val="bottom"/>
          </w:tcPr>
          <w:p>
            <w:pPr>
              <w:spacing w:after="0"/>
              <w:rPr>
                <w:sz w:val="1"/>
                <w:szCs w:val="1"/>
                <w:color w:val="auto"/>
              </w:rPr>
            </w:pPr>
          </w:p>
        </w:tc>
      </w:tr>
      <w:tr>
        <w:trPr>
          <w:trHeight w:val="108"/>
        </w:trPr>
        <w:tc>
          <w:tcPr>
            <w:tcW w:w="1120" w:type="dxa"/>
            <w:vAlign w:val="bottom"/>
            <w:tcBorders>
              <w:left w:val="single" w:sz="8" w:color="auto"/>
              <w:right w:val="single" w:sz="8" w:color="auto"/>
            </w:tcBorders>
            <w:vMerge w:val="continue"/>
          </w:tcPr>
          <w:p>
            <w:pPr>
              <w:spacing w:after="0"/>
              <w:rPr>
                <w:sz w:val="9"/>
                <w:szCs w:val="9"/>
                <w:color w:val="auto"/>
              </w:rPr>
            </w:pPr>
          </w:p>
        </w:tc>
        <w:tc>
          <w:tcPr>
            <w:tcW w:w="226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Term SOFR Loans /</w:t>
            </w: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Borders>
              <w:left w:val="single" w:sz="8" w:color="auto"/>
              <w:right w:val="single" w:sz="8" w:color="auto"/>
            </w:tcBorders>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226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Leverage Ratio</w:t>
            </w:r>
          </w:p>
        </w:tc>
        <w:tc>
          <w:tcPr>
            <w:tcW w:w="22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for Base Rate Loans</w:t>
            </w:r>
          </w:p>
        </w:tc>
        <w:tc>
          <w:tcPr>
            <w:tcW w:w="0" w:type="dxa"/>
            <w:vAlign w:val="bottom"/>
          </w:tcPr>
          <w:p>
            <w:pPr>
              <w:spacing w:after="0"/>
              <w:rPr>
                <w:sz w:val="1"/>
                <w:szCs w:val="1"/>
                <w:color w:val="auto"/>
              </w:rPr>
            </w:pPr>
          </w:p>
        </w:tc>
      </w:tr>
      <w:tr>
        <w:trPr>
          <w:trHeight w:val="130"/>
        </w:trPr>
        <w:tc>
          <w:tcPr>
            <w:tcW w:w="112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vMerge w:val="continue"/>
          </w:tcPr>
          <w:p>
            <w:pPr>
              <w:spacing w:after="0"/>
              <w:rPr>
                <w:sz w:val="11"/>
                <w:szCs w:val="11"/>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Letter of Credit Fees</w:t>
            </w:r>
          </w:p>
        </w:tc>
        <w:tc>
          <w:tcPr>
            <w:tcW w:w="22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20" w:type="dxa"/>
            <w:vAlign w:val="bottom"/>
            <w:tcBorders>
              <w:left w:val="single" w:sz="8" w:color="auto"/>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2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w:t>
            </w:r>
          </w:p>
        </w:tc>
        <w:tc>
          <w:tcPr>
            <w:tcW w:w="226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&lt;0.75:1.00</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23"/>
        </w:trPr>
        <w:tc>
          <w:tcPr>
            <w:tcW w:w="11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9"/>
              </w:rPr>
              <w:t>≥0.75:1.00 but &lt;1.50:1.00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23"/>
        </w:trPr>
        <w:tc>
          <w:tcPr>
            <w:tcW w:w="112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≥1.50:1.00 but &lt;2.25:1.00</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11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4</w:t>
            </w:r>
          </w:p>
        </w:tc>
        <w:tc>
          <w:tcPr>
            <w:tcW w:w="226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≥2.25:1.00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Rate resulting from a change in the Consolidated Leverage Ratio shall become effective as of the first Business Day immediately following the date a Compliance Certificate is delivered pursuant to Section 6.02(b);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Compliance Certificate is not delivered when due in accordance with such Section, then Pricing Level 4 shall apply as of the first Business Day after the date on which such Compliance Certificate was required to have been delivered and shall remain in effect until the date on which such Compliance Certificate is delivered.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definition, the determination of the Applicable Rate for any period shall be subject to the provisions of Section 2.10(b).</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Revolving Credit Percentage</w:t>
      </w:r>
      <w:r>
        <w:rPr>
          <w:rFonts w:ascii="Times New Roman" w:cs="Times New Roman" w:eastAsia="Times New Roman" w:hAnsi="Times New Roman"/>
          <w:sz w:val="18"/>
          <w:szCs w:val="18"/>
          <w:color w:val="auto"/>
        </w:rPr>
        <w:t>” means with respect to any Revolving Credit Lender at any time, such Revolving Credit Lender’s Applicable Percentage in respect of the Revolving Credit Facility at such time.</w:t>
      </w:r>
    </w:p>
    <w:p>
      <w:pPr>
        <w:spacing w:after="0" w:line="155"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Appropriate Lender</w:t>
      </w:r>
      <w:r>
        <w:rPr>
          <w:rFonts w:ascii="Times New Roman" w:cs="Times New Roman" w:eastAsia="Times New Roman" w:hAnsi="Times New Roman"/>
          <w:sz w:val="17"/>
          <w:szCs w:val="17"/>
          <w:color w:val="auto"/>
        </w:rPr>
        <w:t>” means, at any time, (a) with respect to the Term Facility or the Revolving Credit Facility, a Lender that has a Commitment with respect to such Facility or holds a Term Loan or a Revolving Credit Loan, respectively, at such time, (b) with respect to the Letter of Credit Sublimit,</w:t>
      </w:r>
    </w:p>
    <w:p>
      <w:pPr>
        <w:spacing w:after="0" w:line="1" w:lineRule="exact"/>
        <w:rPr>
          <w:sz w:val="20"/>
          <w:szCs w:val="20"/>
          <w:color w:val="auto"/>
        </w:rPr>
      </w:pPr>
    </w:p>
    <w:p>
      <w:pPr>
        <w:ind w:firstLine="8"/>
        <w:spacing w:after="0" w:line="260" w:lineRule="auto"/>
        <w:tabs>
          <w:tab w:leader="none" w:pos="2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and (ii) if any Letters of Credit have been issued pursuant to Section 2.03, the Revolving Credit Lenders and (c) with respect to the Swing Line Sublimit, (i) the Swing Line Lender and (ii) if any Swing Line Loans are outstanding pursuant to Section 2.04(a), the Revolving Credit Lenders.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Arrangers</w:t>
      </w:r>
      <w:r>
        <w:rPr>
          <w:rFonts w:ascii="Times New Roman" w:cs="Times New Roman" w:eastAsia="Times New Roman" w:hAnsi="Times New Roman"/>
          <w:sz w:val="18"/>
          <w:szCs w:val="18"/>
          <w:color w:val="auto"/>
        </w:rPr>
        <w:t>” means BofA Securities, Inc. and HSBC Securities (USA) Inc., in their capacities as joint lead arrangers and joint bookrunners.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(with the consent of any party whose consent is required by Section 11.06(b)), and accepted by the Administrative Agent, in substantially the form of Exhibit E-1 or any other form (including electronic documentation generated by use of an electronic platform) approved by the Administrative Agent.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Attributable Indebtedness</w:t>
      </w:r>
      <w:r>
        <w:rPr>
          <w:rFonts w:ascii="Times New Roman" w:cs="Times New Roman" w:eastAsia="Times New Roman" w:hAnsi="Times New Roman"/>
          <w:sz w:val="18"/>
          <w:szCs w:val="18"/>
          <w:color w:val="auto"/>
        </w:rPr>
        <w:t>” means, on any date, in respect of any Capitalized Lease of any Person, the capitalized amount thereof that would appear on a balance sheet of such Person prepared as of such date in accordance with GAAP.</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Audited Financial Statements</w:t>
      </w:r>
      <w:r>
        <w:rPr>
          <w:rFonts w:ascii="Times New Roman" w:cs="Times New Roman" w:eastAsia="Times New Roman" w:hAnsi="Times New Roman"/>
          <w:sz w:val="18"/>
          <w:szCs w:val="18"/>
          <w:color w:val="auto"/>
        </w:rPr>
        <w:t>” means the audited consolidated balance sheet of the Borrower and its Subsidiaries for the fiscal year ended December 31, 2025, and the related consolidated statements of income or operations, shareholders’ equity and cash flows for such fiscal year of the Borrower and its Subsidiaries, including the notes thereto.</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means the period from and including the Closing Date to the earliest of (i) the Maturity Date for the Revolving Credit Facility, (ii) the date of termination of the Revolving Credit Commitments pursuant to Section 2.06, and (iii) the date of termination of the commitment of each Revolving Credit Lender to make Revolving Credit Loans and of the obligation of the L/C Issuer to make L/C Credit Extensions pursuant to Section 8.02.</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xml:space="preserve">” means for any day a fluctuating rate per annum equal to the highest of (a) the Federal Funds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1/2 of 1% (b) the rate of interest in effect for such day as publicly announced from time to time by Bank of America as its “prime rate”, (c) the Term SOFR plus 1.00% and (d) 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rate is less than zero, the Base Rate shall be deemed zero for the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 If the Base Rate is being used as an alternate rate of interest pursuant to Section 3.03 hereof, then the Base Rate shall be the greatest of clauses (a), (b) and (d) above and shall be determined without reference to clause (c) above.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 Loan</w:t>
      </w:r>
      <w:r>
        <w:rPr>
          <w:rFonts w:ascii="Times New Roman" w:cs="Times New Roman" w:eastAsia="Times New Roman" w:hAnsi="Times New Roman"/>
          <w:sz w:val="18"/>
          <w:szCs w:val="18"/>
          <w:color w:val="auto"/>
        </w:rPr>
        <w:t>” means a Revolving Credit Loan or a Term Loan that bears interest based on the Base Rate. All Base Rate Loans shall be denominated in Dollars.</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as to any Person, the board of directors or other governing body of such Person, or if such person is owned or managed by a single entity, the board of directors or other governing body of such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has the meaning specified in Section 6.02.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means a Revolving Credit Borrowing, a Term Borrowing and/or a Swing Line Borrowing, as the context may require.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excluding Saturday, Sunday and any day on which commercial banks are authorized to close under the Laws of, or are in fact closed in, the state where the Administrative Agent’s Office is located.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Leases</w:t>
      </w:r>
      <w:r>
        <w:rPr>
          <w:rFonts w:ascii="Times New Roman" w:cs="Times New Roman" w:eastAsia="Times New Roman" w:hAnsi="Times New Roman"/>
          <w:sz w:val="18"/>
          <w:szCs w:val="18"/>
          <w:color w:val="auto"/>
        </w:rPr>
        <w:t>” means all leases that have been or should be, in accordance with GAAP, recorded as capitalized leases.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one or more of the L/C Issuer or Swing Line Lender (as applicable) and the Revolving Lenders, as collateral for L/C Obligations, Obligations in respect of Swing Line Loans, or obligations of Revolving Lenders to fund participations in respect of either thereof (as the context may require), cash or deposit account balances or, if the Administrative Agent, the L/C Issuer or Swing Line Lender shall agree in their sole discretion, other credit support, in each case pursuant to documentation in form and substance reasonably satisfactory to (a) the Administrative Agent and (b) the L/C Issuer or the Swing Line Lender (as applicable).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means, in respect of any Disposition by the Borrower or any Subsidiary, (a) cash or Cash Equivalents received by it in consideration of such Disposition, (b) any liabilities (as shown on the most recent balance sheet of the Borrower provided hereunder or in the footnotes thereto) of the Borrower or such Subsidiary, other than liabilities that are by their terms subordinated in right of payment to the Loan Document Obligations, that are assumed by the transferee with respect to the applicable Disposition and for which the Borrower and all of the Subsidiaries shall have been validly released by all applicable creditors in writing, and (c) any securities received by the Borrower or such Subsidiary from such transferee that are converted by the Borrower or such Subsidiary into cash or Cash Equivalents (to the extent of the cash or Cash Equivalents received) within 180 days following the closing of the applicable Disposition.</w:t>
      </w:r>
    </w:p>
    <w:p>
      <w:pPr>
        <w:spacing w:after="0" w:line="183" w:lineRule="exact"/>
        <w:rPr>
          <w:sz w:val="20"/>
          <w:szCs w:val="20"/>
          <w:color w:val="auto"/>
        </w:rPr>
      </w:pPr>
    </w:p>
    <w:p>
      <w:pPr>
        <w:jc w:val="both"/>
        <w:ind w:right="20" w:firstLine="69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any of the following types of Investments, to the extent owned by the Borrower or any of its Subsidiaries free and clear of all Liens (other than Liens created under the Collateral Documents and other Permitted Liens):</w:t>
      </w:r>
    </w:p>
    <w:p>
      <w:pPr>
        <w:spacing w:after="0" w:line="159" w:lineRule="exact"/>
        <w:rPr>
          <w:sz w:val="20"/>
          <w:szCs w:val="20"/>
          <w:color w:val="auto"/>
        </w:rPr>
      </w:pPr>
    </w:p>
    <w:p>
      <w:pPr>
        <w:ind w:left="2080" w:hanging="695"/>
        <w:spacing w:after="0"/>
        <w:tabs>
          <w:tab w:leader="none" w:pos="2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and, with respect to any Foreign Subsidiary, local currencies held by such Foreign Subsidiary;</w:t>
      </w:r>
    </w:p>
    <w:p>
      <w:pPr>
        <w:spacing w:after="0" w:line="225" w:lineRule="exact"/>
        <w:rPr>
          <w:rFonts w:ascii="Times New Roman" w:cs="Times New Roman" w:eastAsia="Times New Roman" w:hAnsi="Times New Roman"/>
          <w:sz w:val="18"/>
          <w:szCs w:val="18"/>
          <w:color w:val="auto"/>
        </w:rPr>
      </w:pPr>
    </w:p>
    <w:p>
      <w:pPr>
        <w:jc w:val="both"/>
        <w:ind w:left="740" w:firstLine="645"/>
        <w:spacing w:after="0" w:line="266" w:lineRule="auto"/>
        <w:tabs>
          <w:tab w:leader="none" w:pos="20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issued or directly and fully guaranteed or insured by the United States of America or any agency or instrumentality thereof having maturities of not more than one year from the date of acquisition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full faith and credit of the United States of America is pledged in support thereof;</w:t>
      </w:r>
    </w:p>
    <w:p>
      <w:pPr>
        <w:spacing w:after="0" w:line="175" w:lineRule="exact"/>
        <w:rPr>
          <w:rFonts w:ascii="Times New Roman" w:cs="Times New Roman" w:eastAsia="Times New Roman" w:hAnsi="Times New Roman"/>
          <w:sz w:val="18"/>
          <w:szCs w:val="18"/>
          <w:color w:val="auto"/>
        </w:rPr>
      </w:pPr>
    </w:p>
    <w:p>
      <w:pPr>
        <w:jc w:val="both"/>
        <w:ind w:left="740" w:right="20" w:firstLine="645"/>
        <w:spacing w:after="0" w:line="261" w:lineRule="auto"/>
        <w:tabs>
          <w:tab w:leader="none" w:pos="20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by any state or commonwealth of the United States of America or any political subdivision or taxing authority of any such state or commonwealth or any public instrumentality thereof or any political subdivision or taxing authority of any such state or commonwealth or any public instrumentality, in each case maturing within one year from the date of acquisition thereof and having, at such date of acquisition, at least an A-1 credit rating from S&amp;P or a P-1 credit rating from Moody’s;</w:t>
      </w:r>
    </w:p>
    <w:p>
      <w:pPr>
        <w:spacing w:after="0" w:line="179" w:lineRule="exact"/>
        <w:rPr>
          <w:rFonts w:ascii="Times New Roman" w:cs="Times New Roman" w:eastAsia="Times New Roman" w:hAnsi="Times New Roman"/>
          <w:sz w:val="18"/>
          <w:szCs w:val="18"/>
          <w:color w:val="auto"/>
        </w:rPr>
      </w:pPr>
    </w:p>
    <w:p>
      <w:pPr>
        <w:jc w:val="both"/>
        <w:ind w:left="740" w:firstLine="645"/>
        <w:spacing w:after="0" w:line="258" w:lineRule="auto"/>
        <w:tabs>
          <w:tab w:leader="none" w:pos="20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or time deposits with, or insured certificates of deposit or bankers’ acceptances of, any commercial bank that (i) (A) is a Lender or (B) is organized or any domestic office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and (ii) has combined capital and surplus of at least $1,000,000,000, in each case with maturities of not more than one year from the date of acquisition thereof;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jc w:val="both"/>
        <w:ind w:left="740" w:firstLine="645"/>
        <w:spacing w:after="0" w:line="266" w:lineRule="auto"/>
        <w:tabs>
          <w:tab w:leader="none" w:pos="210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issued by any Person organized under the laws of any state of the United States of America and rated, at the date of acquisition, at least “Prime-1” (or the then equivalent grade) by Moody’s or at least “A-1” (or the then equivalent grade) by S&amp;P, in each case with maturities of not more than 270 days from the date of acquisition thereof;</w:t>
      </w:r>
    </w:p>
    <w:p>
      <w:pPr>
        <w:spacing w:after="0" w:line="135" w:lineRule="exact"/>
        <w:rPr>
          <w:rFonts w:ascii="Times New Roman" w:cs="Times New Roman" w:eastAsia="Times New Roman" w:hAnsi="Times New Roman"/>
          <w:sz w:val="18"/>
          <w:szCs w:val="18"/>
          <w:color w:val="auto"/>
        </w:rPr>
      </w:pPr>
    </w:p>
    <w:p>
      <w:pPr>
        <w:ind w:left="740" w:firstLine="645"/>
        <w:spacing w:after="0" w:line="245" w:lineRule="exact"/>
        <w:tabs>
          <w:tab w:leader="none" w:pos="20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(i) comply with the criteria set forth in Rule 2a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 under the Investment Company Act of 1940, (ii) are rated at least A-1 by S&amp;P or P-1 by Moody’s and (iii) have portfolio assets of at least $1,000,000,000;</w:t>
      </w:r>
    </w:p>
    <w:p>
      <w:pPr>
        <w:spacing w:after="0" w:line="198" w:lineRule="exact"/>
        <w:rPr>
          <w:rFonts w:ascii="Times New Roman" w:cs="Times New Roman" w:eastAsia="Times New Roman" w:hAnsi="Times New Roman"/>
          <w:sz w:val="18"/>
          <w:szCs w:val="18"/>
          <w:color w:val="auto"/>
        </w:rPr>
      </w:pPr>
    </w:p>
    <w:p>
      <w:pPr>
        <w:ind w:left="2140" w:hanging="755"/>
        <w:spacing w:after="0"/>
        <w:tabs>
          <w:tab w:leader="none" w:pos="2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30 days for securities described in clause (b), (c) and</w:t>
      </w:r>
    </w:p>
    <w:p>
      <w:pPr>
        <w:spacing w:after="0" w:line="27" w:lineRule="exact"/>
        <w:rPr>
          <w:rFonts w:ascii="Times New Roman" w:cs="Times New Roman" w:eastAsia="Times New Roman" w:hAnsi="Times New Roman"/>
          <w:sz w:val="18"/>
          <w:szCs w:val="18"/>
          <w:color w:val="auto"/>
        </w:rPr>
      </w:pPr>
    </w:p>
    <w:p>
      <w:pPr>
        <w:ind w:left="1000" w:hanging="26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entered into with a financial institution satisfying the criteria described in clause (d) above; and</w:t>
      </w:r>
    </w:p>
    <w:p>
      <w:pPr>
        <w:spacing w:after="0" w:line="206" w:lineRule="exact"/>
        <w:rPr>
          <w:rFonts w:ascii="Times New Roman" w:cs="Times New Roman" w:eastAsia="Times New Roman" w:hAnsi="Times New Roman"/>
          <w:sz w:val="18"/>
          <w:szCs w:val="18"/>
          <w:color w:val="auto"/>
        </w:rPr>
      </w:pPr>
    </w:p>
    <w:p>
      <w:pPr>
        <w:ind w:left="740" w:right="20" w:firstLine="645"/>
        <w:spacing w:after="0" w:line="282" w:lineRule="auto"/>
        <w:tabs>
          <w:tab w:leader="none" w:pos="223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Foreign Subsidiary, other short-term investments that are analogous to the foregoing, are of comparable credit quality and are customarily used by companies in the jurisdiction of such Foreign Subsidiary for cash management purposes.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Agreement</w:t>
      </w:r>
      <w:r>
        <w:rPr>
          <w:rFonts w:ascii="Times New Roman" w:cs="Times New Roman" w:eastAsia="Times New Roman" w:hAnsi="Times New Roman"/>
          <w:sz w:val="18"/>
          <w:szCs w:val="18"/>
          <w:color w:val="auto"/>
        </w:rPr>
        <w:t>” means any agreement to provide cash management services, including treasury, depository, credit or debit card, electronic funds transfer, automated clearinghouse, e-payable, wire transfer, controlled disbursement, overdraft, information reporting, lockbox and stop payment services.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Bank</w:t>
      </w:r>
      <w:r>
        <w:rPr>
          <w:rFonts w:ascii="Times New Roman" w:cs="Times New Roman" w:eastAsia="Times New Roman" w:hAnsi="Times New Roman"/>
          <w:sz w:val="18"/>
          <w:szCs w:val="18"/>
          <w:color w:val="auto"/>
        </w:rPr>
        <w:t>” means any Person that, at the time it enters into a Cash Management Agreement, is a Lender or an Affiliate of a Lender, in its capacity as a party to such Cash Management Agreement.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Management/Hedge Obligations</w:t>
      </w:r>
      <w:r>
        <w:rPr>
          <w:rFonts w:ascii="Times New Roman" w:cs="Times New Roman" w:eastAsia="Times New Roman" w:hAnsi="Times New Roman"/>
          <w:sz w:val="18"/>
          <w:szCs w:val="18"/>
          <w:color w:val="auto"/>
        </w:rPr>
        <w:t xml:space="preserve">” means all advances to, and debts, liabilities, obligations, covenants and duties of, any Loan Party or any other Subsidiary arising under any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Cash Management/Hedge Obligations shall exclude any Excluded Swap Obligations.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CERCLA</w:t>
      </w:r>
      <w:r>
        <w:rPr>
          <w:rFonts w:ascii="Times New Roman" w:cs="Times New Roman" w:eastAsia="Times New Roman" w:hAnsi="Times New Roman"/>
          <w:sz w:val="18"/>
          <w:szCs w:val="18"/>
          <w:color w:val="auto"/>
        </w:rPr>
        <w:t>” means the Comprehensive Environmental Response, Compensation and Liability Act of 1980,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CERCLIS</w:t>
      </w:r>
      <w:r>
        <w:rPr>
          <w:rFonts w:ascii="Times New Roman" w:cs="Times New Roman" w:eastAsia="Times New Roman" w:hAnsi="Times New Roman"/>
          <w:sz w:val="18"/>
          <w:szCs w:val="18"/>
          <w:color w:val="auto"/>
        </w:rPr>
        <w:t>” means the Comprehensive Environmental Response, Compensation and Liability Information System maintained by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Protection Agency.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means a Person that is a controlled foreign corporation under Section 957 of the Code.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regardless of the date enacted, adopted or issued.</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 event or series of events by which any “person” or “group” (as such terms are used in Sections 13(d) and 14(d) of the Exchange Act, but excluding any employee benefit plan of such person or its subsidiaries, and any person, “group” or entity acting in its capacity as trustee, agent or other fiduciary or administrator of any such plan) becomes the “beneficial owner” (as defined in Rules 13d-3 and 13d-5 under the Exchange Act), directly or indirectly, of 35% or more of the Equity Interests of the Borrower entitled to vote for members of the Board of Directors or equivalent governing body of the Borrower on a fully-diluted basis. For purposes of this definition and any related definition to the extent used for purposes of this definition, (i) “beneficial ownership” shall be as defined in Rules 13(d)-3 and 13(d)-5 under the Exchange Act and (ii) a Person or group shall not be deemed to beneficially own securities subject to an equity or asset purchase agreement, merger agreement or similar agreement (or voting or option or similar agreement related thereto) until the consummation of the transactions contemplated by such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March 27,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Refinancing</w:t>
      </w:r>
      <w:r>
        <w:rPr>
          <w:rFonts w:ascii="Times New Roman" w:cs="Times New Roman" w:eastAsia="Times New Roman" w:hAnsi="Times New Roman"/>
          <w:sz w:val="18"/>
          <w:szCs w:val="18"/>
          <w:color w:val="auto"/>
        </w:rPr>
        <w:t>” has the meaning specified in the preliminary statements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w:t>
      </w:r>
      <w:r>
        <w:rPr>
          <w:rFonts w:ascii="Times New Roman" w:cs="Times New Roman" w:eastAsia="Times New Roman" w:hAnsi="Times New Roman"/>
          <w:sz w:val="18"/>
          <w:szCs w:val="18"/>
          <w:color w:val="auto"/>
        </w:rPr>
        <w:t>” means CME Group Benchmark Administration Limited.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all of the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or other similar term referred to in the Collateral Documents and all of the other property that is or is intended under the terms of the Collateral Documents to be subject to Liens in favor of the Administrative Agent for the benefit of the Secured Parties.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means, collectively, the Pledge Agreement, the security agreements, pledge agreements or other similar agreements delivered to the Administrative Agent pursuant to Section 6.12, and each of the other agreements, instruments or documents that creates or purports to create a Lien in favor of the Administrative Agent for the benefit of the Secured Parties.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 a Term Commitment or a Revolving Credit Commitment, as the context may require.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has the meaning specified in Section 2.09</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Committed Loan Notice</w:t>
      </w:r>
      <w:r>
        <w:rPr>
          <w:rFonts w:ascii="Times New Roman" w:cs="Times New Roman" w:eastAsia="Times New Roman" w:hAnsi="Times New Roman"/>
          <w:sz w:val="18"/>
          <w:szCs w:val="18"/>
          <w:color w:val="auto"/>
        </w:rPr>
        <w:t>” means a notice of (a) a Term Borrowing, (b) a Revolving Credit Borrowing, (c) a conversion of Loans from one Type to the other, or (d) a continuation of Term SOFR Loans, pursuant to Section 2.02(a), which shall be substantially in the form of Exhibit A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from time to time, and any successor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means a certificate substantially in the form of Exhibit 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in consultation with the Borrower,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in consultation with the Borrower, is reasonably necessary in connection with the administration of this Agreement and any other Loan Document).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jc w:val="both"/>
        <w:ind w:firstLine="693"/>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EBIT</w:t>
      </w:r>
      <w:r>
        <w:rPr>
          <w:rFonts w:ascii="Times New Roman" w:cs="Times New Roman" w:eastAsia="Times New Roman" w:hAnsi="Times New Roman"/>
          <w:sz w:val="18"/>
          <w:szCs w:val="18"/>
          <w:color w:val="auto"/>
        </w:rPr>
        <w:t xml:space="preserve">” means, at any date of determination, an amount equal to Consolidated Net Income of the Borrower and its Subsidiaries on a consolidated basis for the most recently completed Measurement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the following to the extent deducted (and not added back) in calculating such Consolidated Net Income (without duplication): (i) Consolidated Interest Charges, (ii) provisions for taxes based on income, profits or losses, including federal, foreign and state income and similar taxes (including foreign withholding taxes), paid or accrued during such period, (iii) other unusual or non-recurring charges for such period (in the case of cash charges, not exceeding $30,000,000 for any period or $45,000,000 in the aggregate for all periods occurring after the Closing Date), (iv) [reserved], (v) any Non-Cash Charges for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cash payment made with respect to any Non-Cash Charges added back in computing Consolidated EBIT for any prior period pursuant to this clause (a)(v) (or that would have been added back had this Agreement been in effect during such prior period) shall be subtracted in computing Consolidated EBIT for the period in which such cash payment is made), (vi) any losses attributable to early extinguishment of Indebtedness, (vii) one-time out-of-pocket costs and expenses relating to the entering into this Agreement, the Closing Date Refinancing and the related transactions, including, without limitation, legal and advisory fees, (viii) losses incurred as a result of Dispositions, closures, disposals or abandonments outside the ordinary course of business and (ix) costs and expenses incurred in connection with Permitted Acquisitions outside the ordinary course of the Borrower’s normal business operations;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following to the extent included (and not deducted) in calculating such Consolidated Net Income (without duplication): (i) any non-cash income increasing Consolidated Net Income of the Borrower for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cash receipt (or any netting arrangements resulting in reduced cash expenses) with respect to any non-cash income deducted in computing Consolidated EBIT for any prior period pursuant to this clause (b)(i) (or that would have been deducted in computing Consolidated EBIT had this Agreement been in effect during such prior period) shall be added in computing Consolidated EBIT for the period in which such cash is received (or netting arrangement becomes effective)), (ii) unusual or non-recurring gains, (iii) any gains attributable to the early extinguishment of Indebtedness and (iv) gains as a result of Dispositions, closures, disposals or abandonments outside the ordinary course of business;</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 </w:t>
      </w:r>
      <w:r>
        <w:rPr>
          <w:rFonts w:ascii="Times New Roman" w:cs="Times New Roman" w:eastAsia="Times New Roman" w:hAnsi="Times New Roman"/>
          <w:sz w:val="18"/>
          <w:szCs w:val="18"/>
          <w:color w:val="auto"/>
        </w:rPr>
        <w:t>that, in determining Consolidated EBIT for any period, the foregoing adjustments, and the adjustments in clause (C) below,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exclusion of the effect of any gains or losses on currency derivatives and any currency transaction and translation (whether realized or unrealized) to the extent otherwise included in Consolidated Net Income for such period;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 </w:t>
      </w:r>
      <w:r>
        <w:rPr>
          <w:rFonts w:ascii="Times New Roman" w:cs="Times New Roman" w:eastAsia="Times New Roman" w:hAnsi="Times New Roman"/>
          <w:sz w:val="18"/>
          <w:szCs w:val="18"/>
          <w:color w:val="auto"/>
        </w:rPr>
        <w:t>that, to the extent included in Consolidated Net Income, Consolidated EBIT for any period shall be calculated so as to exclude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duplication of any adjustment referred to above) the effect of:</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ind w:left="2700" w:hanging="748"/>
        <w:spacing w:after="0"/>
        <w:tabs>
          <w:tab w:leader="none" w:pos="2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any changes in GAAP or accounting principles applied by management during such period;</w:t>
      </w:r>
    </w:p>
    <w:p>
      <w:pPr>
        <w:spacing w:after="0" w:line="225" w:lineRule="exact"/>
        <w:rPr>
          <w:rFonts w:ascii="Times New Roman" w:cs="Times New Roman" w:eastAsia="Times New Roman" w:hAnsi="Times New Roman"/>
          <w:sz w:val="18"/>
          <w:szCs w:val="18"/>
          <w:color w:val="auto"/>
        </w:rPr>
      </w:pPr>
    </w:p>
    <w:p>
      <w:pPr>
        <w:ind w:left="2680" w:hanging="728"/>
        <w:spacing w:after="0"/>
        <w:tabs>
          <w:tab w:leader="none" w:pos="2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gains or losses that arise upon consolidation or upon remeasurement of Indebtedness; and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8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gains or losses attributable to the mark-to-market movement in the valuation of Swap Contracts or other derivative instruments pursuant to Accounting Standards Codification 815;</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Consolidated EBIT for any period shall be calculated so as to include (without duplication of any adjustment referred to above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pursuant to Section 1.03, if applicable) the Acquired EBIT of any Person, property, business or asset acquired by the Borrower or any Subsidiary during such period in a Material Acquisition to the extent not subsequently sold, transferred or otherwise Disposed of (but not including the Acquired EBIT of any related Person, property, business or asset to the extent not so acquired) (each such Person, property, business or asset acquired, including pursuant to a transaction consummated prior to the Closing Date, and not subsequently so Disposed of, an “</w:t>
      </w:r>
      <w:r>
        <w:rPr>
          <w:rFonts w:ascii="Times New Roman" w:cs="Times New Roman" w:eastAsia="Times New Roman" w:hAnsi="Times New Roman"/>
          <w:sz w:val="18"/>
          <w:szCs w:val="18"/>
          <w:b w:val="1"/>
          <w:bCs w:val="1"/>
          <w:color w:val="auto"/>
        </w:rPr>
        <w:t>Acquired Entity or Business</w:t>
      </w:r>
      <w:r>
        <w:rPr>
          <w:rFonts w:ascii="Times New Roman" w:cs="Times New Roman" w:eastAsia="Times New Roman" w:hAnsi="Times New Roman"/>
          <w:sz w:val="18"/>
          <w:szCs w:val="18"/>
          <w:color w:val="auto"/>
        </w:rPr>
        <w:t>”) for the entire period determined on a historical pro forma basis, based on the Acquired EBIT of such Acquired Entity or Business for such period (including the portion thereof occurring prior to such acquisition) determined on a historical pro forma basis; and</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Consolidated EBIT for any period shall be calculated so as to exclude (without duplication of any adjustment referred to above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pursuant to Section 1.03, if applicable) the Disposed EBIT of any Person, property, business or asset sold, transferred or otherwise Disposed of or closed by the Borrower or any Subsidiary during such period in a Material Disposition (each such Person, property, business or asset so sold, transferred or otherwise Disposed of or closed, including pursuant to a transaction consummated prior to the Closing Date, a “</w:t>
      </w:r>
      <w:r>
        <w:rPr>
          <w:rFonts w:ascii="Times New Roman" w:cs="Times New Roman" w:eastAsia="Times New Roman" w:hAnsi="Times New Roman"/>
          <w:sz w:val="18"/>
          <w:szCs w:val="18"/>
          <w:b w:val="1"/>
          <w:bCs w:val="1"/>
          <w:color w:val="auto"/>
        </w:rPr>
        <w:t>Sold Entity or Business</w:t>
      </w:r>
      <w:r>
        <w:rPr>
          <w:rFonts w:ascii="Times New Roman" w:cs="Times New Roman" w:eastAsia="Times New Roman" w:hAnsi="Times New Roman"/>
          <w:sz w:val="18"/>
          <w:szCs w:val="18"/>
          <w:color w:val="auto"/>
        </w:rPr>
        <w:t>”) for the entire period determined on a historical pro forma basis, based on the Disposed EBIT of such Sold Entity or Business for such period (including the portion thereof occurring prior to such sale, transfer, Disposition or closure) determined on a historical pro forma basis.</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EBITDA</w:t>
      </w:r>
      <w:r>
        <w:rPr>
          <w:rFonts w:ascii="Times New Roman" w:cs="Times New Roman" w:eastAsia="Times New Roman" w:hAnsi="Times New Roman"/>
          <w:sz w:val="18"/>
          <w:szCs w:val="18"/>
          <w:color w:val="auto"/>
        </w:rPr>
        <w:t xml:space="preserve">” means, at any date of determination, Consolidated EBIT,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to the extent deducted (and not added back) in calculating Consolidated Net Income, all depreciation and amortization expense, including any amortization of intangibles.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Funded Indebtedness</w:t>
      </w:r>
      <w:r>
        <w:rPr>
          <w:rFonts w:ascii="Times New Roman" w:cs="Times New Roman" w:eastAsia="Times New Roman" w:hAnsi="Times New Roman"/>
          <w:sz w:val="18"/>
          <w:szCs w:val="18"/>
          <w:color w:val="auto"/>
        </w:rPr>
        <w:t>” means, as of any date of determination, for the Borrower and its Subsidiaries on a consolidated basis, the sum of (a) the outstanding principal amount of all obligations, whether current or long-term, for borrowed money (including Obligations hereunder) and all obligations evidenced by bonds, debentures, notes or other similar instruments, (b) all purchase money Indebtedness, (c) all obligations in respect of the deferred purchase price of property or services (other than (i) current accounts payable and current trade payables incurred in the ordinary course of business, (ii) deferred compensation payable to directors, officers or employees of such Person and (iii) any purchase price adjustment or earnout incurred in connection with an acquisition, until such obligation becomes a liability on the balance sheet of such Person in accordance with GAAP, (d) the drawn and unreimbursed amount of letters of credit, letters of guaranty and bankers acceptances (including Unreimbursed Amounts, including all L/C Borrowings), (e) all Attributable Indebtedness, (f) without duplication, all Guarantees with respect to outstanding Consolidated Funded Indebtedness of the types specified in clauses (a) through (e) above of Persons other than the Borrower or any of its Subsidiaries, and (g) all Consolidated Funded Indebtedness of the types referred to in clauses (a) through (f) above of any partnership or joint venture (other than a joint venture that is itself a corporation or limited liability company) in which the Borrower or a Subsidiary is a general partner or joint venturer, unless such Consolidated Funded Indebtedness is expressly made non-recourse to the Borrower or such Subsidiary.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Charges</w:t>
      </w:r>
      <w:r>
        <w:rPr>
          <w:rFonts w:ascii="Times New Roman" w:cs="Times New Roman" w:eastAsia="Times New Roman" w:hAnsi="Times New Roman"/>
          <w:sz w:val="18"/>
          <w:szCs w:val="18"/>
          <w:color w:val="auto"/>
        </w:rPr>
        <w:t>” means, for any Measurement Period, for the Borrower and its Subsidiaries on a consolidated basis, the sum, without duplication, of (a) all cash interest, premium payments, debt discount, fees, charges and related expenses in connection with Consolidated Funded Indebtedness, in each case to the extent treated as interest in accordance with GAAP and (b) the portion of rent expense under Capitalized Leases that is treated as interest in accordance with GAAP; including all commissions, discounts and other fees and charges owed with respect to letters of credit and bankers’ acceptance financing and net costs under hedging agreements, but excluding, for the avoidance of doubt, (i) amortization of deferred financing costs, debt discounts or premiums, debt issuance costs, commissions, fees and expenses, pay-in-kind interest expense and any other amounts of non-cash interest (including as a result of the effects of acquisition method accounting or pushdown accounting), (ii) the accretion or accrual of discounted liabilities during such period, (iii) non-cash interest expense attributable to the movement of the mark-to-market valuation of obligations under hedging agreements or other derivative instruments pursuant to FASB Accounting Standards Codification No. 815-Derivatives and Hedging, (iv) any one-time cash costs associated with breakage in respect of hedging agreements for interest rates and (v) all cash interest expense consisting of liquidated damages for failure to timely comply with registration rights obligations, all as calculated on a consolidated basis in accordance with GAAP.</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Coverage Ratio</w:t>
      </w:r>
      <w:r>
        <w:rPr>
          <w:rFonts w:ascii="Times New Roman" w:cs="Times New Roman" w:eastAsia="Times New Roman" w:hAnsi="Times New Roman"/>
          <w:sz w:val="18"/>
          <w:szCs w:val="18"/>
          <w:color w:val="auto"/>
        </w:rPr>
        <w:t>” means, as of any date of determination, the ratio of (a) Consolidated EBIT to (b) Consolidated Interest Charges, in each case, of or by the Borrower and its Subsidiaries on a consolidated basis for the most recently completed Measurement Period.</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Leverage Ratio</w:t>
      </w:r>
      <w:r>
        <w:rPr>
          <w:rFonts w:ascii="Times New Roman" w:cs="Times New Roman" w:eastAsia="Times New Roman" w:hAnsi="Times New Roman"/>
          <w:sz w:val="18"/>
          <w:szCs w:val="18"/>
          <w:color w:val="auto"/>
        </w:rPr>
        <w:t>” means, as of any date of determination, the ratio of (a) Consolidated Funded Indebtedness as of such date of determination to (b) Consolidated EBITDA of the Borrower and its Subsidiaries on a consolidated basis for the most recently completed Measurement Period.</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xml:space="preserve">” means, at any date of determination, the net income (or loss) of the Borrower and its Subsidiaries on a consolidated basis for the most recently completed Measurement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Net Income shall exclude (a) extraordinary gains and extraordinary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Law applicable to such Subsidiary during such Measurement Period, and (c) any income (or loss) for such Measurement Period of any Person if such Person is not a Subsidiary, except that the Borrower’s equity in the net income of any such Person for such Measurement Period shall be included in Consolidated Net Income up to the aggregate amount of cash or Cash Equivalents (or other property to the extent converted into cash or Cash Equivalents) actually distributed by such Person during such Measurement Period to the Borrower or a Subsidiary as a dividend or other distribution (and in the case of a dividend or other distribution to a Subsidiary, such Subsidiary is not precluded from further distributing such amount to the Borrower or any other Loan Party as described in clause (b) of this proviso).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Assets</w:t>
      </w:r>
      <w:r>
        <w:rPr>
          <w:rFonts w:ascii="Times New Roman" w:cs="Times New Roman" w:eastAsia="Times New Roman" w:hAnsi="Times New Roman"/>
          <w:sz w:val="18"/>
          <w:szCs w:val="18"/>
          <w:color w:val="auto"/>
        </w:rPr>
        <w:t>” means, as of any date of determination, the total amount of all assets of the Borrower and its Subsidiaries, determined on a consolidated basis in accordance with GAAP as of the last day of the Measurement Period most recently completed on or prior to such date of determination.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have meanings correlative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SOFR</w:t>
      </w:r>
      <w:r>
        <w:rPr>
          <w:rFonts w:ascii="Times New Roman" w:cs="Times New Roman" w:eastAsia="Times New Roman" w:hAnsi="Times New Roman"/>
          <w:sz w:val="18"/>
          <w:szCs w:val="18"/>
          <w:color w:val="auto"/>
        </w:rPr>
        <w:t>” means, with respect to any applicable determination date, the SOFR published on such date on the Federal Reserve Bank of New York’s website (or any successor source).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means (a) when used with respect to Loan Document Obligations other than Letter of Credit Fees, an interest rate equal to (i)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Applicable Rate, if any, applicable to Base Rate Loans under the Facilities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2% per annum;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with respect to a Term SOFR Loan, the Default Rate shall be an interest rate equal to the interest rate (including any Applicable Rate) otherwise applicable to such Loan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 per annum and (b) when used with respect to Letter of Credit Fees, a rate equal to the Applicable Rate plus 2% per annum.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means, subject to Section 2.16(b),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Bail-In Action or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Section 2.16(b)) as of the date established therefor by the Administrative Agent in a written notice of such determination, which shall be delivered by the Administrative Agent to the Borrower, the L/C Issuer, the Swing Line Lender and each other Lender promptly following such determination.</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Disposed EBIT</w:t>
      </w:r>
      <w:r>
        <w:rPr>
          <w:rFonts w:ascii="Times New Roman" w:cs="Times New Roman" w:eastAsia="Times New Roman" w:hAnsi="Times New Roman"/>
          <w:sz w:val="18"/>
          <w:szCs w:val="18"/>
          <w:color w:val="auto"/>
        </w:rPr>
        <w:t>” means, with respect to any Sold Entity or Business for any period, the amount for such period of Consolidated EBIT of such Sold Entity or Business (determined as if references to the Borrower and the Subsidiaries in the definition of the term “Consolidated EBIT” were references to such Sold Entity or Business and its subsidiaries), all as determined on a consolidated basis for such Sold Entity or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means the sale, transfer, license, lease or other disposition (including any sale and leaseback transaction) of any property by any Person (or the granting of any option or other right to do any of the foregoing), including (x) any sale, assignment, transfer or other disposal, with or without recourse, of any notes or accounts receivable or any rights and claims associated therewith and (y) the issuance of any Equity Interests by the Subsidiaries of such Person.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Equity Interest</w:t>
      </w:r>
      <w:r>
        <w:rPr>
          <w:rFonts w:ascii="Times New Roman" w:cs="Times New Roman" w:eastAsia="Times New Roman" w:hAnsi="Times New Roman"/>
          <w:sz w:val="18"/>
          <w:szCs w:val="18"/>
          <w:color w:val="auto"/>
        </w:rPr>
        <w:t xml:space="preserve">” means, with respect to any Person, any Equity Interest of such Person that, by its terms (or by the terms of any security or other Equity Interest into which it is convertible or for which it is putable or exchangeable) or upon the happening of any event or condition, (a) matures or is mandatorily redeemable (other than solely for Qualified Equity Interests), pursuant to a sinking fund obligation or otherwise, other than solely as a result of a change of control, asset sale event or casualty, eminent domain or condemnation event so long as any rights of the holders thereof upon the occurrence of a change of control, asset sale event or casualty, eminent domain or condemnation event shall be subject to the prior repayment in full of the Loans and all other Obligations (other than Cash Management/Hedge Obligations under any Secured Hedge Agreement or Secured Cash Management Agreement and contingent indemnification obligations and other contingent obligations not then due and payable), (b) is redeemable or exchangeable at the option of the holder thereof (other than solely for Qualified Equity Interests), other than as a result of a change of control, asset sale event or casualty, eminent domain or condemnation event so long as any rights of the holders thereof upon the occurrence of a change of control, asset sale event or casualty, eminent domain or condemnation event shall be subject to the prior repayment in full of the Loans and all other Obligations (other than Cash Management/Hedge Obligations under any Secured Hedge Agreement or Secured Cash Management Agreements and contingent indemnification obligations and other contingent obligations not then due and payable), in whole or in part, or (c) provides for the scheduled payment of dividends in cash, in each case prior to the date that is ninety-one (91) days after the Latest Maturity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Equity Interest in any Person that is issued to any director, officer, employee or consultant or to any plan for the benefit of directors, officers, employees or consultants or by any such plan to such directors, officers, employees or consultants shall not constitute a Disqualified Equity Interest solely because it may be required to be repurchased by such Person or any of its subsidiaries in order to satisfy applicable statutory or regulatory obligations or as a result of such director’s, officer’s, employee’s or consultant’s termination, death or disability.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any Subsidiary that is organized under the laws of any state, the United States or any political subdivisions thereof.</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that is subject to the supervision of an EEA Resolution Authority, (b) any Person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means any Person that meets the requirements to be an assignee under Section 11.06(b)(iii) and Section 11.06(b)(v)(subject to such consents, if any, as may be required under Section 11.06(b)(iii)).</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means ambient air, indoor air, surface water, groundwater, drinking water, soil, surface and subsurface strata, and natural resources such as wetland, flora and fauna.</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Federal, state, local, and foreign statutes, laws (including common law), regulations, ordinances, rules, binding guidelines, codes, judgments, judicial decisions, orders, decrees, injunctions, treaties, agreements or governmental restrictions or requirements relating to pollution or the protection of the Environment or human health (to the extent related to exposure to hazardous materials), including those relating to the manufacture, generation, handling, transport, storage, treatment, Release or threat of Release of hazardous materials.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Liability</w:t>
      </w:r>
      <w:r>
        <w:rPr>
          <w:rFonts w:ascii="Times New Roman" w:cs="Times New Roman" w:eastAsia="Times New Roman" w:hAnsi="Times New Roman"/>
          <w:sz w:val="18"/>
          <w:szCs w:val="18"/>
          <w:color w:val="auto"/>
        </w:rPr>
        <w:t>” means any liability, accrued, contingent or otherwise (including any liability for damages, costs of environmental remediation, fines, penalties or indemnities), of or relating to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Release or threatened Release of any Hazardous Materials or (e) any contract, agreement or other arrangement pursuant to which liability is assumed or imposed with respect to any of the foregoing.</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Permit</w:t>
      </w:r>
      <w:r>
        <w:rPr>
          <w:rFonts w:ascii="Times New Roman" w:cs="Times New Roman" w:eastAsia="Times New Roman" w:hAnsi="Times New Roman"/>
          <w:sz w:val="18"/>
          <w:szCs w:val="18"/>
          <w:color w:val="auto"/>
        </w:rPr>
        <w:t>” means any permit, approval, franchise, certificate identification number, license or other approval or authorization required under any Environmental Law.</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(d) the filing of a notice of an intent to terminate or any amendment to terminate a Pension Plan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within the meaning of Section 430 of the Code or Section 303 of ERISA or that a Multiemployer Plan is in “endangered” or “critical” status within the meaning of Section 432 of the Code or Section 305 of ERISA; (h) the imposition of any liability under Title IV of ERISA, other than for PBGC premiums due but not delinquent under Section 4007 of ERISA, upon the Borrower or any ERISA Affiliate; or (i) a failure by the Borrower or any ERISA Affiliate to meet the minimum funding standards under the Pension Funding Rules in respect of a Pension Plan, whether or not waived, or the failure by the Borrower or any ERISA Affiliate to make any required contribution to a Multiemployer Plan pursuant to Sections 431 or 432 of the Code.</w:t>
      </w:r>
    </w:p>
    <w:p>
      <w:pPr>
        <w:spacing w:after="0" w:line="190"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has the meaning specified in Section 8.01.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Exchange Act of 1934.</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Disregarded Entity</w:t>
      </w:r>
      <w:r>
        <w:rPr>
          <w:rFonts w:ascii="Times New Roman" w:cs="Times New Roman" w:eastAsia="Times New Roman" w:hAnsi="Times New Roman"/>
          <w:sz w:val="18"/>
          <w:szCs w:val="18"/>
          <w:color w:val="auto"/>
        </w:rPr>
        <w:t>” means any Subsidiary of the Borrower substantially all the assets of which are Equity Interests in one or more Foreign Subsidiaries that are CFCs.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xml:space="preserve">” means (a) any Immaterial Subsidiary, (b) any Subsidiary that is prohibited (x) by any applicable Law or (y) by any contractual obligation from guaranteeing the Obligations (and for so long as such restrictions or any replacement or renewal thereof is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 (y), such contractual obligation existed on the Closing Date or, with respect to any Subsidiary acquired by the Borrower or a Subsidiary after the Closing Date (and so long as such contractual obligation was not incurred in contemplation of such acquisition), on the date such Subsidiary is so acquired, (c) any Foreign Subsidiary, unless otherwise agreed to by the Borrower in writing, (d) any Domestic Subsidiary that is an Excluded Disregarded Entity or a Subsidiary of a Foreign Subsidiary that is a CFC, unless otherwise agreed to by the Borrower in writing, (e) not-for-profit Subsidiaries, if any, (f) any Subsidiary that is not a Wholly-Owned Subsidiary, (h) those Subsidiaries as to which the Borrower and the Administrative Agent shall reasonably determine in writing that the costs or other consequences of providing a Guarantee are excessive in relation to the value to be afforded thereby, and (i) any Subsidiary that would require any consent, approval, license or authorization from any Governmental Authority to provide a Guarantee unless such consent, approval, license or authorization has been received, or is received after commercially reasonable efforts by such Subsidiary to obtain the same, which efforts may be requested by the Administrative Agent.</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Swap Obligation</w:t>
      </w:r>
      <w:r>
        <w:rPr>
          <w:rFonts w:ascii="Times New Roman" w:cs="Times New Roman" w:eastAsia="Times New Roman" w:hAnsi="Times New Roman"/>
          <w:sz w:val="18"/>
          <w:szCs w:val="18"/>
          <w:color w:val="auto"/>
        </w:rPr>
        <w:t>” means, with respect to any Guarantor, (a)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(i) by virtue of such Guarantor’s failure for any reason to constitute an “eligible contract participant” as defined in the Commodity Exchange Act (determined after giving effect to any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or (ii) in the case of a Swap Obligation that is subject to a clearing requirement pursuant to section 2(h) of the Commodity Exchange Act, because such Guarantor is a “financial entity,” as defined in section 2(h)(7)(C) of the Commodity Exchange Act, at the time the Guaranty of (or grant of such security interest by, as applicable) such Guarantor becomes or would become effective with respect to such Swap Obligation or (b) any other Swap Obligation designated as an “Excluded Swap Obligation” of such Guarantor as specified in any agreement between the relevant Loan Parties and Hedge Bank applicable to such Swap Obligations.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payment to a Recipient, (a) Taxes imposed on or measured by net income (however denominated), franchise Taxes, and branch profits Taxes, in each case,</w:t>
      </w:r>
    </w:p>
    <w:p>
      <w:pPr>
        <w:spacing w:after="0" w:line="1" w:lineRule="exact"/>
        <w:rPr>
          <w:sz w:val="20"/>
          <w:szCs w:val="20"/>
          <w:color w:val="auto"/>
        </w:rPr>
      </w:pPr>
    </w:p>
    <w:p>
      <w:pPr>
        <w:jc w:val="both"/>
        <w:ind w:firstLine="8"/>
        <w:spacing w:after="0" w:line="251" w:lineRule="auto"/>
        <w:tabs>
          <w:tab w:leader="none" w:pos="2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11.13) or (ii) such Lender changes its Lending Office, except in each case to the extent that, pursuant to Section 3.01(a)(ii) or (e), amounts with respect to such Taxes were payable either to such Lender’s assignor immediately before such Lender became a party hereto or to such Lender immediately before it changed its Lending Office, (c) Taxes attributable to such Recipient’s failure to comply with Section 3.01(e) and (d) any withholding Taxes imposed pursuant to FATCA.</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has the meaning specified in the preliminary statements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Letters of Credit</w:t>
      </w:r>
      <w:r>
        <w:rPr>
          <w:rFonts w:ascii="Times New Roman" w:cs="Times New Roman" w:eastAsia="Times New Roman" w:hAnsi="Times New Roman"/>
          <w:sz w:val="18"/>
          <w:szCs w:val="18"/>
          <w:color w:val="auto"/>
        </w:rPr>
        <w:t>” means those letters of credit outstanding under the Existing Credit Agreement and listed on Schedule 1.01.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Revolving Credit Commitments</w:t>
      </w:r>
      <w:r>
        <w:rPr>
          <w:rFonts w:ascii="Times New Roman" w:cs="Times New Roman" w:eastAsia="Times New Roman" w:hAnsi="Times New Roman"/>
          <w:sz w:val="18"/>
          <w:szCs w:val="18"/>
          <w:color w:val="auto"/>
        </w:rPr>
        <w:t>” means the “Revolving Credit Commitments” under, and as defined in, the Existing Credit Agreement on the Closing Date.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Revolving Credit Loans</w:t>
      </w:r>
      <w:r>
        <w:rPr>
          <w:rFonts w:ascii="Times New Roman" w:cs="Times New Roman" w:eastAsia="Times New Roman" w:hAnsi="Times New Roman"/>
          <w:sz w:val="18"/>
          <w:szCs w:val="18"/>
          <w:color w:val="auto"/>
        </w:rPr>
        <w:t>” means the “Revolving Credit Loans” outstanding under, and as defined in, the Existing Credit Agreement on the Closing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 Loans</w:t>
      </w:r>
      <w:r>
        <w:rPr>
          <w:rFonts w:ascii="Times New Roman" w:cs="Times New Roman" w:eastAsia="Times New Roman" w:hAnsi="Times New Roman"/>
          <w:sz w:val="18"/>
          <w:szCs w:val="18"/>
          <w:color w:val="auto"/>
        </w:rPr>
        <w:t>” means the “Term Loans” outstanding under, and as defined in, the Existing Credit Agreement on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the Term Facility, the Revolving Credit Facility or any combination thereof, as the context may require.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substantially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purposes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means the Administrative Agent Fee Letter.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Amount</w:t>
      </w:r>
      <w:r>
        <w:rPr>
          <w:rFonts w:ascii="Times New Roman" w:cs="Times New Roman" w:eastAsia="Times New Roman" w:hAnsi="Times New Roman"/>
          <w:sz w:val="18"/>
          <w:szCs w:val="18"/>
          <w:color w:val="auto"/>
        </w:rPr>
        <w:t>” has the meaning assigned to such term in Section 1.09(f).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 Person, a Lender that is resident or organized under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any direct or indirect Subsidiary of the Borrower that is not a Domestic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Fronting Exposure</w:t>
      </w:r>
      <w:r>
        <w:rPr>
          <w:rFonts w:ascii="Times New Roman" w:cs="Times New Roman" w:eastAsia="Times New Roman" w:hAnsi="Times New Roman"/>
          <w:sz w:val="18"/>
          <w:szCs w:val="18"/>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as in effect from time to time and that are applicable to the circumstances as of the date of determination, consistently applied.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as to any Person, any (a) any obligation, contingent or otherwise, of such Person guaranteeing or having the economic effect of guaranteeing any Indebtedness payable by another Person (the “</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as a verb has a corresponding meaning.</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means, collectively, (a) the Subsidiaries of the Borrower listed on Schedule 6.12 and each other Subsidiary of the Borrower (other than any Excluded Subsidiary) that shall be required to execute and deliver a guaranty or guaranty supplement pursuant to Section 6.12 and (b) with respect to (i) Cash Management/Hedge Obligations owing by any Loan Party or any Subsidiary of a Loan Party (other than the Borrower or any Excluded Subsidiary) and (ii) the payment and performance by each Loan Party that is not an “eligible contract participant” under the Commodity Exchange Act of its obligations under its Guaranty with respect to all Swap Obligations, the Borrower.</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means, collectively, the Guaranty made by the Guarantors under Article 10 in favor of the Secured Parties, together with each other guaranty and guaranty supplement delivered pursuant to Section 6.12.</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or which can form the basis for liability under, any Environmental Law.</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Bank</w:t>
      </w:r>
      <w:r>
        <w:rPr>
          <w:rFonts w:ascii="Times New Roman" w:cs="Times New Roman" w:eastAsia="Times New Roman" w:hAnsi="Times New Roman"/>
          <w:sz w:val="18"/>
          <w:szCs w:val="18"/>
          <w:color w:val="auto"/>
        </w:rPr>
        <w:t>” means any Person that, at the time it enters into a Swap Contract permitted under Article 6 or 7, is a Lender or an Affiliate of a Lender, in its capacity as a party to such Swap Contract.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means, as at any date of determination, a Subsidiary of the Borrower that, together with all other Immaterial Subsidiaries, (x) did not have total assets as of the last day of the most recent Measurement Period that equaled or exceeded 5% of Consolidated Total Assets as of such date and (y) did not have gross revenues as of the last day of such period that equaled or exceeded 5% of consolidated gross revenues of the Borrower and its Subsidiaries as of such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 Effective Date</w:t>
      </w:r>
      <w:r>
        <w:rPr>
          <w:rFonts w:ascii="Times New Roman" w:cs="Times New Roman" w:eastAsia="Times New Roman" w:hAnsi="Times New Roman"/>
          <w:sz w:val="18"/>
          <w:szCs w:val="18"/>
          <w:color w:val="auto"/>
        </w:rPr>
        <w:t>” has the meaning assigned to such term in Section 2.14(a).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 Joinder</w:t>
      </w:r>
      <w:r>
        <w:rPr>
          <w:rFonts w:ascii="Times New Roman" w:cs="Times New Roman" w:eastAsia="Times New Roman" w:hAnsi="Times New Roman"/>
          <w:sz w:val="18"/>
          <w:szCs w:val="18"/>
          <w:color w:val="auto"/>
        </w:rPr>
        <w:t>” has the meaning assigned to such term in Section 2.14(c).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Commitments</w:t>
      </w:r>
      <w:r>
        <w:rPr>
          <w:rFonts w:ascii="Times New Roman" w:cs="Times New Roman" w:eastAsia="Times New Roman" w:hAnsi="Times New Roman"/>
          <w:sz w:val="18"/>
          <w:szCs w:val="18"/>
          <w:color w:val="auto"/>
        </w:rPr>
        <w:t>” means Incremental Revolving Commitments and/or the Incremental Term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Commitment</w:t>
      </w:r>
      <w:r>
        <w:rPr>
          <w:rFonts w:ascii="Times New Roman" w:cs="Times New Roman" w:eastAsia="Times New Roman" w:hAnsi="Times New Roman"/>
          <w:sz w:val="18"/>
          <w:szCs w:val="18"/>
          <w:color w:val="auto"/>
        </w:rPr>
        <w:t>” has the meaning assigned to such term in Section 2.14(a).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Commitment</w:t>
      </w:r>
      <w:r>
        <w:rPr>
          <w:rFonts w:ascii="Times New Roman" w:cs="Times New Roman" w:eastAsia="Times New Roman" w:hAnsi="Times New Roman"/>
          <w:sz w:val="18"/>
          <w:szCs w:val="18"/>
          <w:color w:val="auto"/>
        </w:rPr>
        <w:t>” has the meaning assigned to such term in Section 2.14(a).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Maturity Date</w:t>
      </w:r>
      <w:r>
        <w:rPr>
          <w:rFonts w:ascii="Times New Roman" w:cs="Times New Roman" w:eastAsia="Times New Roman" w:hAnsi="Times New Roman"/>
          <w:sz w:val="18"/>
          <w:szCs w:val="18"/>
          <w:color w:val="auto"/>
        </w:rPr>
        <w:t>” has the meaning assigned to such term in Section 2.14(c)(iii).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means any loans made pursuant to any Incremental Term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Incurrence-Based Amount</w:t>
      </w:r>
      <w:r>
        <w:rPr>
          <w:rFonts w:ascii="Times New Roman" w:cs="Times New Roman" w:eastAsia="Times New Roman" w:hAnsi="Times New Roman"/>
          <w:sz w:val="18"/>
          <w:szCs w:val="18"/>
          <w:color w:val="auto"/>
        </w:rPr>
        <w:t>” has the meaning assigned to such term in Section 1.09(f).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59" w:lineRule="exact"/>
        <w:rPr>
          <w:sz w:val="20"/>
          <w:szCs w:val="20"/>
          <w:color w:val="auto"/>
        </w:rPr>
      </w:pPr>
    </w:p>
    <w:p>
      <w:pPr>
        <w:ind w:left="740" w:firstLine="645"/>
        <w:spacing w:after="0" w:line="282" w:lineRule="auto"/>
        <w:tabs>
          <w:tab w:leader="none" w:pos="20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and all obligations of such Person evidenced by bonds, debentures, notes or other similar instruments;</w:t>
      </w:r>
    </w:p>
    <w:p>
      <w:pPr>
        <w:spacing w:after="0" w:line="161" w:lineRule="exact"/>
        <w:rPr>
          <w:rFonts w:ascii="Times New Roman" w:cs="Times New Roman" w:eastAsia="Times New Roman" w:hAnsi="Times New Roman"/>
          <w:sz w:val="18"/>
          <w:szCs w:val="18"/>
          <w:color w:val="auto"/>
        </w:rPr>
      </w:pPr>
    </w:p>
    <w:p>
      <w:pPr>
        <w:ind w:left="740" w:firstLine="645"/>
        <w:spacing w:after="0" w:line="282" w:lineRule="auto"/>
        <w:tabs>
          <w:tab w:leader="none" w:pos="21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all letters of credit, letters of guaranty and bankers’ acceptances in respect of which such Person is an account party (in each case after giving effect to any prior reductions or drawings which may have been reimbursed),</w:t>
      </w:r>
    </w:p>
    <w:p>
      <w:pPr>
        <w:spacing w:after="0" w:line="161" w:lineRule="exact"/>
        <w:rPr>
          <w:rFonts w:ascii="Times New Roman" w:cs="Times New Roman" w:eastAsia="Times New Roman" w:hAnsi="Times New Roman"/>
          <w:sz w:val="18"/>
          <w:szCs w:val="18"/>
          <w:color w:val="auto"/>
        </w:rPr>
      </w:pPr>
    </w:p>
    <w:p>
      <w:pPr>
        <w:ind w:left="2080" w:hanging="695"/>
        <w:spacing w:after="0"/>
        <w:tabs>
          <w:tab w:leader="none" w:pos="2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of such Person under any Swap Contract;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jc w:val="both"/>
        <w:ind w:left="740" w:firstLine="645"/>
        <w:spacing w:after="0" w:line="256" w:lineRule="auto"/>
        <w:tabs>
          <w:tab w:leader="none" w:pos="230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or services (other than (i) current accounts payable and trade payables incurred in the ordinary course of business and intercompany obligations for royalties and license fees incurred in the ordinary course of business (as long as all such obligations shall be evidenced by the Intercompany Note and pledged to the Administrative Agent pursuant to the Pledge Agreement for the benefit of the Secured Parties), (ii) deferred compensation payable to directors, officers or employees of such Person and (iii) any purchase price adjustment or earnout incurred in connection with an acquisition, until such obligation becomes a liability on the balance sheet of such Person in accordance with GAAP);</w:t>
      </w:r>
    </w:p>
    <w:p>
      <w:pPr>
        <w:spacing w:after="0" w:line="187" w:lineRule="exact"/>
        <w:rPr>
          <w:rFonts w:ascii="Times New Roman" w:cs="Times New Roman" w:eastAsia="Times New Roman" w:hAnsi="Times New Roman"/>
          <w:sz w:val="18"/>
          <w:szCs w:val="18"/>
          <w:color w:val="auto"/>
        </w:rPr>
      </w:pPr>
    </w:p>
    <w:p>
      <w:pPr>
        <w:jc w:val="both"/>
        <w:ind w:left="740" w:firstLine="645"/>
        <w:spacing w:after="0" w:line="266" w:lineRule="auto"/>
        <w:tabs>
          <w:tab w:leader="none" w:pos="22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5" w:lineRule="exact"/>
        <w:rPr>
          <w:rFonts w:ascii="Times New Roman" w:cs="Times New Roman" w:eastAsia="Times New Roman" w:hAnsi="Times New Roman"/>
          <w:sz w:val="18"/>
          <w:szCs w:val="18"/>
          <w:color w:val="auto"/>
        </w:rPr>
      </w:pPr>
    </w:p>
    <w:p>
      <w:pPr>
        <w:ind w:left="2060" w:hanging="675"/>
        <w:spacing w:after="0"/>
        <w:tabs>
          <w:tab w:leader="none" w:pos="2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Attributable Indebtedness of such Person;</w:t>
      </w:r>
    </w:p>
    <w:p>
      <w:pPr>
        <w:spacing w:after="0" w:line="225" w:lineRule="exact"/>
        <w:rPr>
          <w:rFonts w:ascii="Times New Roman" w:cs="Times New Roman" w:eastAsia="Times New Roman" w:hAnsi="Times New Roman"/>
          <w:sz w:val="18"/>
          <w:szCs w:val="18"/>
          <w:color w:val="auto"/>
        </w:rPr>
      </w:pPr>
    </w:p>
    <w:p>
      <w:pPr>
        <w:ind w:left="2080" w:hanging="695"/>
        <w:spacing w:after="0"/>
        <w:tabs>
          <w:tab w:leader="none" w:pos="2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in respect of Disqualified Equity Interests; and</w:t>
      </w:r>
    </w:p>
    <w:p>
      <w:pPr>
        <w:spacing w:after="0" w:line="225" w:lineRule="exact"/>
        <w:rPr>
          <w:rFonts w:ascii="Times New Roman" w:cs="Times New Roman" w:eastAsia="Times New Roman" w:hAnsi="Times New Roman"/>
          <w:sz w:val="18"/>
          <w:szCs w:val="18"/>
          <w:color w:val="auto"/>
        </w:rPr>
      </w:pPr>
    </w:p>
    <w:p>
      <w:pPr>
        <w:ind w:left="2080" w:hanging="695"/>
        <w:spacing w:after="0"/>
        <w:tabs>
          <w:tab w:leader="none" w:pos="2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of such Person in respect of any of the foregoing.</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has the meaning specified in Section 11.04(b).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has the meaning specified in Section 11.07.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Note</w:t>
      </w:r>
      <w:r>
        <w:rPr>
          <w:rFonts w:ascii="Times New Roman" w:cs="Times New Roman" w:eastAsia="Times New Roman" w:hAnsi="Times New Roman"/>
          <w:sz w:val="18"/>
          <w:szCs w:val="18"/>
          <w:color w:val="auto"/>
        </w:rPr>
        <w:t>” means the Intercompany Note, dated as of the Original Closing Date, substantially in the form of Exhibit F hereto (or any other form approved by the Administrative Agent (acting reasonably)) and executed by the Borrower and each other Subsidiary of the Borrower, as supplemented from time to time.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xml:space="preserve">” means, (a) as to any Term SOFR Loan, the last day of each Interest Period applicable to such Loan and the Maturity Date of the Facility under which such Loan was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Interest Period for a Term SOFR Loan exceeds three months, the respective dates that fall every three months after the beginning of such Interest Period shall also be Interest Payment Dates; and (b) as to any Base Rate Loan or Swing Line Loan, the last Business Day of each March, June, September and December and the Maturity Date of the Facility under which such Loan was made (with Swing Line Loans being deemed made under the Revolving Credit Facility for purposes of this definition).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means, as to each Term SOFR Loan, the period commencing on the date such Term SOFR Loan is disbursed or converted to or continued as a Term SOFR Loan and ending on the date one, three or six months thereafter (in each case, subject to availability), as selected by the Borrower in its Committed Loan Notice, or such other period that is twelve months or less requested by the Borrower and consented to by all the Appropriate Lenders and the Administrative Agent (in the case of each requested Interest Period, subject to availability);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0" w:lineRule="exact"/>
        <w:rPr>
          <w:sz w:val="20"/>
          <w:szCs w:val="20"/>
          <w:color w:val="auto"/>
        </w:rPr>
      </w:pPr>
    </w:p>
    <w:p>
      <w:pPr>
        <w:jc w:val="both"/>
        <w:ind w:left="740" w:firstLine="645"/>
        <w:spacing w:after="0" w:line="266" w:lineRule="auto"/>
        <w:tabs>
          <w:tab w:leader="none" w:pos="22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175" w:lineRule="exact"/>
        <w:rPr>
          <w:rFonts w:ascii="Times New Roman" w:cs="Times New Roman" w:eastAsia="Times New Roman" w:hAnsi="Times New Roman"/>
          <w:sz w:val="18"/>
          <w:szCs w:val="18"/>
          <w:color w:val="auto"/>
        </w:rPr>
      </w:pPr>
    </w:p>
    <w:p>
      <w:pPr>
        <w:jc w:val="both"/>
        <w:ind w:left="740" w:firstLine="645"/>
        <w:spacing w:after="0" w:line="266" w:lineRule="auto"/>
        <w:tabs>
          <w:tab w:leader="none" w:pos="21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5" w:lineRule="exact"/>
        <w:rPr>
          <w:rFonts w:ascii="Times New Roman" w:cs="Times New Roman" w:eastAsia="Times New Roman" w:hAnsi="Times New Roman"/>
          <w:sz w:val="18"/>
          <w:szCs w:val="18"/>
          <w:color w:val="auto"/>
        </w:rPr>
      </w:pPr>
    </w:p>
    <w:p>
      <w:pPr>
        <w:ind w:left="2080" w:hanging="695"/>
        <w:spacing w:after="0"/>
        <w:tabs>
          <w:tab w:leader="none" w:pos="2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Maturity Date.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as to any Person, any investment by such Person, whether by means of (a) the purchase or other acquisition of Equity Interests of another Person, (b) a loan, advance or capital contribution (in each case except with respect to intercompany obligations representing royalties and license fees incurred in the ordinary course of business, as long as all such obligations shall be evidenced by the Intercompany Note and pledged to the Administrative Agent pursuant to the Pledge Agreement for the benefit of the Secured Parties)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 The amount, as of any date of determination, of (i) any Investment in the form of a loan or an advance shall be the principal amount thereof outstanding on such date, minus any cash payments actually received by such investor representing a payment or prepayment of in respect of principal of such Investment, but without any adjustment for write-downs or write-offs (including as a result of forgiveness of any portion thereof) with respect to such loan or advance after the date thereof, (ii)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(iii) any Investment in the form of a transfer of Equity Interests or other non-cash property by the investor to the investee, including any such transfer in the form of a capital contribution, shall be the fair market value of such Equity Interests or other property as of the time of the transfer, minus any payments actually received by such investor representing a return of capital of such Investment, but without any other adjustment for increases or decreases in value of, or write-ups, write-downs or write-offs with respect to, such Investment after the date of such Investment, and (iv) any Investment (other than any Investment referred to in clause (i),</w:t>
      </w:r>
    </w:p>
    <w:p>
      <w:pPr>
        <w:spacing w:after="0" w:line="2" w:lineRule="exact"/>
        <w:rPr>
          <w:sz w:val="20"/>
          <w:szCs w:val="20"/>
          <w:color w:val="auto"/>
        </w:rPr>
      </w:pPr>
    </w:p>
    <w:p>
      <w:pPr>
        <w:jc w:val="both"/>
        <w:ind w:firstLine="8"/>
        <w:spacing w:after="0" w:line="252"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(iii)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minus the amount of any portion of such Investment that has been repaid to the investor in cash as a repayment of principal or a return of capital, but without any other adjustment for increases or decreases in value of, or write-ups, write-downs or write-offs with respect to, such Investment after the date of such Investment. For purposes of Section 7.03, if an Investment involves the acquisition of more than one Person, the amount of such Investment shall be allocated among the Persons acquired in such acquisition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pending the final determination of the amounts to be so allocated in accordance with GAAP, such allocation shall be as reasonably determined by the Borrower.</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Rights</w:t>
      </w:r>
      <w:r>
        <w:rPr>
          <w:rFonts w:ascii="Times New Roman" w:cs="Times New Roman" w:eastAsia="Times New Roman" w:hAnsi="Times New Roman"/>
          <w:sz w:val="18"/>
          <w:szCs w:val="18"/>
          <w:color w:val="auto"/>
        </w:rPr>
        <w:t>” has the meaning specified in Section 5.17.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ISP</w:t>
      </w:r>
      <w:r>
        <w:rPr>
          <w:rFonts w:ascii="Times New Roman" w:cs="Times New Roman" w:eastAsia="Times New Roman" w:hAnsi="Times New Roman"/>
          <w:sz w:val="18"/>
          <w:szCs w:val="18"/>
          <w:color w:val="auto"/>
        </w:rPr>
        <w:t>” means, with respect to any Letter of Credit, the “</w:t>
      </w:r>
      <w:r>
        <w:rPr>
          <w:rFonts w:ascii="Times New Roman" w:cs="Times New Roman" w:eastAsia="Times New Roman" w:hAnsi="Times New Roman"/>
          <w:sz w:val="18"/>
          <w:szCs w:val="18"/>
          <w:b w:val="1"/>
          <w:bCs w:val="1"/>
          <w:color w:val="auto"/>
        </w:rPr>
        <w:t>International Standby Practices 1998</w:t>
      </w:r>
      <w:r>
        <w:rPr>
          <w:rFonts w:ascii="Times New Roman" w:cs="Times New Roman" w:eastAsia="Times New Roman" w:hAnsi="Times New Roman"/>
          <w:sz w:val="18"/>
          <w:szCs w:val="18"/>
          <w:color w:val="auto"/>
        </w:rPr>
        <w:t>” published by the Institute of International Banking Law &amp; Practice, Inc. (or such later version thereof as may be in effect at the time of issuance).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Financing</w:t>
      </w:r>
      <w:r>
        <w:rPr>
          <w:rFonts w:ascii="Times New Roman" w:cs="Times New Roman" w:eastAsia="Times New Roman" w:hAnsi="Times New Roman"/>
          <w:sz w:val="18"/>
          <w:szCs w:val="18"/>
          <w:color w:val="auto"/>
        </w:rPr>
        <w:t>” means any Indebtedness of the Borrower or any Subsidiary that is (i) subordinated in right of payment to the Loan Document Obligations, (ii) secured by the Collateral on a junior basis to the Loan Document Obligations or (iii) unsecured Indebtedness of any Loan Party incurred pursuant to Section 7.02(q).</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Maturity Date</w:t>
      </w:r>
      <w:r>
        <w:rPr>
          <w:rFonts w:ascii="Times New Roman" w:cs="Times New Roman" w:eastAsia="Times New Roman" w:hAnsi="Times New Roman"/>
          <w:sz w:val="18"/>
          <w:szCs w:val="18"/>
          <w:color w:val="auto"/>
        </w:rPr>
        <w:t>” means the latest of (x) the Maturity Date for the Revolving Credit Facility, (y) the Maturity Date for the Term Facility and (z) any Incremental Term Loan Maturity Date applicable to existing Incremental Term Loans, in each case as of any date of determination.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LCA Election</w:t>
      </w:r>
      <w:r>
        <w:rPr>
          <w:rFonts w:ascii="Times New Roman" w:cs="Times New Roman" w:eastAsia="Times New Roman" w:hAnsi="Times New Roman"/>
          <w:sz w:val="18"/>
          <w:szCs w:val="18"/>
          <w:color w:val="auto"/>
        </w:rPr>
        <w:t>” has the meaning specified in Section 1.08.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LCA Test Date</w:t>
      </w:r>
      <w:r>
        <w:rPr>
          <w:rFonts w:ascii="Times New Roman" w:cs="Times New Roman" w:eastAsia="Times New Roman" w:hAnsi="Times New Roman"/>
          <w:sz w:val="18"/>
          <w:szCs w:val="18"/>
          <w:color w:val="auto"/>
        </w:rPr>
        <w:t>” has the meaning specified in Section 1.08.</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Advance</w:t>
      </w:r>
      <w:r>
        <w:rPr>
          <w:rFonts w:ascii="Times New Roman" w:cs="Times New Roman" w:eastAsia="Times New Roman" w:hAnsi="Times New Roman"/>
          <w:sz w:val="18"/>
          <w:szCs w:val="18"/>
          <w:color w:val="auto"/>
        </w:rPr>
        <w:t>” means, with respect to each Revolving Credit Lender, such Lender’s funding of its participation in any L/C Borrowing in accordance with its Applicable Revolving Credit Percentage. All L/C Advances shall be denominated in Dollars.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date when made or refinanced as a Revolving Credit Borrowing. All L/C Borrowings shall be denominated in Dollars.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Issuer</w:t>
      </w:r>
      <w:r>
        <w:rPr>
          <w:rFonts w:ascii="Times New Roman" w:cs="Times New Roman" w:eastAsia="Times New Roman" w:hAnsi="Times New Roman"/>
          <w:sz w:val="18"/>
          <w:szCs w:val="18"/>
          <w:color w:val="auto"/>
        </w:rPr>
        <w:t>” means Bank of America in its capacity as (i) issuer of the Existing Letters of Credit and (ii) issuer of Letters of Credit hereunder, or any successor issuer of Letters of Credit hereunder.</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Obligations</w:t>
      </w:r>
      <w:r>
        <w:rPr>
          <w:rFonts w:ascii="Times New Roman" w:cs="Times New Roman" w:eastAsia="Times New Roman" w:hAnsi="Times New Roman"/>
          <w:sz w:val="18"/>
          <w:szCs w:val="18"/>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Section 1.06.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has the meaning specified in the introductory paragraph hereto and, as the context requires, includes the Swing Line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Recipient Party</w:t>
      </w:r>
      <w:r>
        <w:rPr>
          <w:rFonts w:ascii="Times New Roman" w:cs="Times New Roman" w:eastAsia="Times New Roman" w:hAnsi="Times New Roman"/>
          <w:sz w:val="18"/>
          <w:szCs w:val="18"/>
          <w:color w:val="auto"/>
        </w:rPr>
        <w:t>” means collectively, the Lenders, the Swing Line Lender and the L/C Issuer.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means any standby letter of credit issued hereunder and each Existing Letter of Credit.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L/C Issuer.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Expiration Date</w:t>
      </w:r>
      <w:r>
        <w:rPr>
          <w:rFonts w:ascii="Times New Roman" w:cs="Times New Roman" w:eastAsia="Times New Roman" w:hAnsi="Times New Roman"/>
          <w:sz w:val="18"/>
          <w:szCs w:val="18"/>
          <w:color w:val="auto"/>
        </w:rPr>
        <w:t>” means the day that is five days prior to the Maturity Date then in effect for the Revolving Credit Facility (or, if such day is not a Business Day, the next preceding Business Day).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Fee</w:t>
      </w:r>
      <w:r>
        <w:rPr>
          <w:rFonts w:ascii="Times New Roman" w:cs="Times New Roman" w:eastAsia="Times New Roman" w:hAnsi="Times New Roman"/>
          <w:sz w:val="18"/>
          <w:szCs w:val="18"/>
          <w:color w:val="auto"/>
        </w:rPr>
        <w:t>” has the meaning specified in Section 2.03(h).</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Sublimit</w:t>
      </w:r>
      <w:r>
        <w:rPr>
          <w:rFonts w:ascii="Times New Roman" w:cs="Times New Roman" w:eastAsia="Times New Roman" w:hAnsi="Times New Roman"/>
          <w:sz w:val="18"/>
          <w:szCs w:val="18"/>
          <w:color w:val="auto"/>
        </w:rPr>
        <w:t>” means an amount equal to the lesser of (a) the Revolving Credit Facility and (b) $10,000,000. The Letter of Credit Sublimit is part of, and not in addition to, the Revolving Credit Facility.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xml:space="preserve">”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 operating lease be deemed to be a Lien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Condition Acquisition</w:t>
      </w:r>
      <w:r>
        <w:rPr>
          <w:rFonts w:ascii="Times New Roman" w:cs="Times New Roman" w:eastAsia="Times New Roman" w:hAnsi="Times New Roman"/>
          <w:sz w:val="18"/>
          <w:szCs w:val="18"/>
          <w:color w:val="auto"/>
        </w:rPr>
        <w:t>” means any acquisition by one or more of the Borrower and its Subsidiaries of any assets, business or Person permitted to be acquired by this Agreement, in each case whose consummation is not conditioned on the availability of, or on obtaining, third party financing.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an extension of credit by a Lender to the Borrower under Article 2 in the form of a Term Loan, a Revolving Credit Loan or a Swing Line Loan.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 Obligations</w:t>
      </w:r>
      <w:r>
        <w:rPr>
          <w:rFonts w:ascii="Times New Roman" w:cs="Times New Roman" w:eastAsia="Times New Roman" w:hAnsi="Times New Roman"/>
          <w:sz w:val="18"/>
          <w:szCs w:val="18"/>
          <w:color w:val="auto"/>
        </w:rPr>
        <w:t>” means all advances to, and debts, liabilities, obligations, covenants and duties of, any Loan Party arising under any Loan Document or otherwise with respect to any Loan, Letter of Credit,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collectively, (a) this Agreement, (b) the Notes, (c) any agreement creating or perfecting rights in Cash Collateral pursuant to the provisions of Section 2.15 of this Agreement, (d) the Guaranty, (e) the Collateral Documents, (f) the Fee Letter and (g) each Issuer Document.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means, collectively, the Borrower and each Guarantor.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Acquisition</w:t>
      </w:r>
      <w:r>
        <w:rPr>
          <w:rFonts w:ascii="Times New Roman" w:cs="Times New Roman" w:eastAsia="Times New Roman" w:hAnsi="Times New Roman"/>
          <w:sz w:val="18"/>
          <w:szCs w:val="18"/>
          <w:color w:val="auto"/>
        </w:rPr>
        <w:t xml:space="preserve">” means any acquisition, or a series of related acquisitions, of (a) Equity Interests in any Person if, after giving effect thereto, such Person will become a Subsidiary or (b) assets comprising all or substantially all the assets of (or the assets constituting a business unit, division, product line or line of business of) any Person by the Borrower or any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consideration therefor (including Indebtedness assumed in connection therewith, all obligations in respect of deferred purchase price (including obligations under any purchase price adjustment but excluding earnout or similar payments) and all other consideration payable in connection therewith (including payment obligations in respect of noncompetition agreements or other arrangements representing acquisition consideration)) exceeds the lesser of (i) $10,000,000 and (ii) 6.25% of Consolidated EBITDA for the Measurement Period most recently ended on or prior to the date of such acquisition.</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a material adverse change in, or a material adverse effect upon, the operations, business, assets, properties or financial condition of the Borrower and its Subsidiaries taken as a whole; (b) a material impairment of the rights and remedies of the Administrative Agent or any Lender under any Loan Document; or (c) a material impairment of the ability the Loan Parties, taken as a whole, to perform their payment obligations under the Loan Document.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Disposition</w:t>
      </w:r>
      <w:r>
        <w:rPr>
          <w:rFonts w:ascii="Times New Roman" w:cs="Times New Roman" w:eastAsia="Times New Roman" w:hAnsi="Times New Roman"/>
          <w:sz w:val="18"/>
          <w:szCs w:val="18"/>
          <w:color w:val="auto"/>
        </w:rPr>
        <w:t xml:space="preserve">” means any Disposition, or a series of related Dispositions, of (a) all or substantially all the issued and outstanding Equity Interests in any Person that are owned by the Borrower or any Subsidiary or (b) assets comprising all or substantially all the assets of (or the assets constituting a business unit, division, product line or line of business of) the Borrower or any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consideration therefor (including Indebtedness assumed by the transferee in connection therewith, all obligations in respect of deferred purchase price (including obligations under any purchase price adjustment but excluding earnout or similar payments) and all other consideration payable in connection therewith (including payment obligations in respect of noncompetition agreements or other arrangements representing acquisition consideration)) exceeds the lesser of (i) $6,000,000 and (ii) 4.0% of Consolidated EBITDA for the Measurement Period most recently ended on or prior to the date of such Disposition.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Subsidiary</w:t>
      </w:r>
      <w:r>
        <w:rPr>
          <w:rFonts w:ascii="Times New Roman" w:cs="Times New Roman" w:eastAsia="Times New Roman" w:hAnsi="Times New Roman"/>
          <w:sz w:val="18"/>
          <w:szCs w:val="18"/>
          <w:color w:val="auto"/>
        </w:rPr>
        <w:t>” means, as at any date of determination, a Subsidiary of the Borrower that is not an Immaterial Subsidiary.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xml:space="preserve">” means, with respect to the Revolving Credit Facility and the Term Facility, the date that is five years following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each case, if such date is not a Business Day, the Maturity Date shall be the next preceding Business Day.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means, at any date of determination, the most recently completed four fiscal quarter period of the Borrower for which financial statements have been delivered pursuant to Section 4.01 or Section 6.01(a) or 6.01(b), as applicable.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Collateral Amount</w:t>
      </w:r>
      <w:r>
        <w:rPr>
          <w:rFonts w:ascii="Times New Roman" w:cs="Times New Roman" w:eastAsia="Times New Roman" w:hAnsi="Times New Roman"/>
          <w:sz w:val="18"/>
          <w:szCs w:val="18"/>
          <w:color w:val="auto"/>
        </w:rPr>
        <w:t>” means, at any time, (i) with respect to Cash Collateral consisting of cash or deposit account balances provided to reduce or eliminate Fronting Exposure during the existence of a Defaulting Lender, an amount equal to 103% of the Fronting Exposure of the L/C Issuer with respect to Letters of Credit issued and outstanding at such time and (ii) with respect to Cash Collateral consisting of cash or deposit account balances provided in accordance with the provisions of Section 2.15(a) or otherwise, an amount equal to 103% of the Outstanding Amount of all L/C Obligations.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Multiple Employer Plan</w:t>
      </w:r>
      <w:r>
        <w:rPr>
          <w:rFonts w:ascii="Times New Roman" w:cs="Times New Roman" w:eastAsia="Times New Roman" w:hAnsi="Times New Roman"/>
          <w:sz w:val="18"/>
          <w:szCs w:val="18"/>
          <w:color w:val="auto"/>
        </w:rPr>
        <w:t>” means a Plan which has two or more contributing sponsors (including the Borrower or any ERISA Affiliate) at least two of whom are not under common control, as such a plan is described in Section 4064 of ERISA.</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Cash Proceeds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80" w:firstLine="645"/>
        <w:spacing w:after="0" w:line="251" w:lineRule="auto"/>
        <w:tabs>
          <w:tab w:leader="none" w:pos="14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Disposition by the Borrower or any of its Subsidiaries, or any Recovery Event,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(B) reasonable and customary fees, commissions, issuance costs, discounts and out of pocket expenses (including reasonable and customary attorney’s fees, investment banking fees, survey costs, title insurance premiums and search and recording charges, transfer taxes and deed or mortgage recording taxes) paid in connection with such event by the Borrower and the Subsidiaries, (C) the amount of all taxes paid (or reasonably estimated to be payable within two years of the date of the relevant transaction as a result of any gain recognized in connection therewith) by the Borrower and the Subsidiaries, and the amount of any reserves established by the Borrower and the Subsidiaries in accordance with GAAP to fund purchase price adjustment, indemnification and similar contingent liabilities (other than any earnout obligations) reasonably estimated to be payable and that are directly attributable to the occurrence of such event (as determined reasonably and in good faith by the Borrower; provided that for purposes of this definition, in the event any contingent liability reserve established with respect to any event as described in this clause (ii)(C) shall be reduced, the amount of such reduction shall, except to the extent such reduction is made as a result of a payment having been made in respect of the contingent liabilities with respect to which such reserve has been established, be deemed to be receipt, on the date of such reduction, of cash proceeds in respect of such event) and (D) in the case of any Disposition or Recovery Event by any non-wholly owned Subsidiary, the pro rata portion of the net cash proceeds thereof (calculated without regard to this clause (ii)(D)) attributable to minority interests and not available for distribution to or for the account of the Borrower or a wholly owned Subsidiary as a result thereof; provided that no such proceeds resulting from any Disposition or any Recovery Event shall be considered Net Cash Proceeds (i) if the aggregate amount of such proceeds of any Disposition or any Recovery Event individually (or series of related Dispositions or Recovery Events collectively) not applied pursuant to Section 2.05(b)(i) does not exceed the greater of (x) $2,000,000 and (y) 2.0% of Consolidated EBITDA for the Measurement Period most recently ended on or prior to the date of such Disposition or Recovery Event or</w:t>
      </w:r>
    </w:p>
    <w:p>
      <w:pPr>
        <w:spacing w:after="0" w:line="8" w:lineRule="exact"/>
        <w:rPr>
          <w:rFonts w:ascii="Times New Roman" w:cs="Times New Roman" w:eastAsia="Times New Roman" w:hAnsi="Times New Roman"/>
          <w:sz w:val="18"/>
          <w:szCs w:val="18"/>
          <w:color w:val="auto"/>
        </w:rPr>
      </w:pPr>
    </w:p>
    <w:p>
      <w:pPr>
        <w:jc w:val="both"/>
        <w:ind w:left="80" w:hanging="3"/>
        <w:spacing w:after="0" w:line="255" w:lineRule="auto"/>
        <w:tabs>
          <w:tab w:leader="none" w:pos="3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aggregate amount of such proceeds from all Dispositions or Recovery Events in any fiscal year not applied pursuant to Section 2.05(b)(i) does not exceed the greater of (x) $6,000,000 and (y) 4.0% of Consolidated EBITDA for the Measurement Period most recently ended on or prior to the date of such Disposition or Recovery Event; and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84" w:name="page85"/>
    <w:bookmarkEnd w:id="84"/>
    <w:p>
      <w:pPr>
        <w:jc w:val="both"/>
        <w:ind w:left="740" w:firstLine="645"/>
        <w:spacing w:after="0" w:line="257" w:lineRule="auto"/>
        <w:tabs>
          <w:tab w:leader="none" w:pos="21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incurrence or issuance of any Indebtedness by the Borrower or any of its Subsidiaries, the excess of (i) the sum of the cash and Cash Equivalents received in connection with such transaction over (ii) the sum of (A) all taxes, issuance costs, underwriting discounts and commissions, and other out-of-pocket fees and expenses incurred by the Borrower or such Subsidiary in connection therewith and</w:t>
      </w:r>
    </w:p>
    <w:p>
      <w:pPr>
        <w:spacing w:after="0" w:line="1" w:lineRule="exact"/>
        <w:rPr>
          <w:rFonts w:ascii="Times New Roman" w:cs="Times New Roman" w:eastAsia="Times New Roman" w:hAnsi="Times New Roman"/>
          <w:sz w:val="18"/>
          <w:szCs w:val="18"/>
          <w:color w:val="auto"/>
        </w:rPr>
      </w:pPr>
    </w:p>
    <w:p>
      <w:pPr>
        <w:jc w:val="both"/>
        <w:ind w:left="740" w:hanging="3"/>
        <w:spacing w:after="0" w:line="255" w:lineRule="auto"/>
        <w:tabs>
          <w:tab w:leader="none" w:pos="10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incurrence of any Indebtedness the proceeds of which are required to be used to prepay any class of Loans and/or reduce any class of Commitments under this Agreement, accrued interest and premium, if any, on such Loans and any other amounts (other than principal) required to be paid in respect of such Loans and/or Commitments in connection with any such prepayment and/or reduction.</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Non-Cash Charges</w:t>
      </w:r>
      <w:r>
        <w:rPr>
          <w:rFonts w:ascii="Times New Roman" w:cs="Times New Roman" w:eastAsia="Times New Roman" w:hAnsi="Times New Roman"/>
          <w:sz w:val="18"/>
          <w:szCs w:val="18"/>
          <w:color w:val="auto"/>
        </w:rPr>
        <w:t xml:space="preserve">” means any non-cash charges, including (a) any write-off for impairment of long lived assets including goodwill, intangible assets and fixed assets such as property, plant and equipment, and investments in debt and equity securities pursuant to GAAP, (b) non-cash expenses resulting from the grant of stock options, restricted stock awards or other equity-based incentives or stock-based compensation to any director, officer or employee of the Borrower or any Subsidiary (excluding, for the avoidance of doubt, any cash payments of income taxes made for the benefit of any such Person in consideration of the surrender of any portion of such options, stock or other incentives upon the exercise or vesting thereof) and (c) any non-cash charges resulting from (i) the application of purchase accounting or (ii) investments in minority interests in a Person, to the extent that such investments are subject to the equity method of accounting;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Non-Cash Charges shall not include additions to bad debt reserves or bad debt expense and any noncash charge that results from the write-down or write-off of accounts receivable.</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means any Lender that does not approve any consent, waiver or amendment that (i) requires the approval of all Lenders or all affected Lenders in accordance with the terms of Section 11.01 or (ii) has been approved by the Required Lenders and Lenders holding more than 50% of the aggregate outstanding principal amount of all Loans (and unutilized Commitments, if any) of any Affected Tranche.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means a Term Note or a Revolving Credit Note, as the context may require.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NPL</w:t>
      </w:r>
      <w:r>
        <w:rPr>
          <w:rFonts w:ascii="Times New Roman" w:cs="Times New Roman" w:eastAsia="Times New Roman" w:hAnsi="Times New Roman"/>
          <w:sz w:val="18"/>
          <w:szCs w:val="18"/>
          <w:color w:val="auto"/>
        </w:rPr>
        <w:t>” means the National Priorities List under CERCLA.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the Cash Management/Hedge Obligations and the Loan Document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Closing Date</w:t>
      </w:r>
      <w:r>
        <w:rPr>
          <w:rFonts w:ascii="Times New Roman" w:cs="Times New Roman" w:eastAsia="Times New Roman" w:hAnsi="Times New Roman"/>
          <w:sz w:val="18"/>
          <w:szCs w:val="18"/>
          <w:color w:val="auto"/>
        </w:rPr>
        <w:t>” means April 18, 2018.</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3.06).</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Amount</w:t>
      </w:r>
      <w:r>
        <w:rPr>
          <w:rFonts w:ascii="Times New Roman" w:cs="Times New Roman" w:eastAsia="Times New Roman" w:hAnsi="Times New Roman"/>
          <w:sz w:val="18"/>
          <w:szCs w:val="18"/>
          <w:color w:val="auto"/>
        </w:rPr>
        <w:t>” means (a) with respect to any Revolving Credit Loans and Swing Line Loans on any date, the aggregate outstanding principal amount thereof after giving effect to any borrowings and prepayments or repayments of any Revolving Credit Loans and Swing Line Loans occurring on such date; (b) with respect to any Term Loans on any date, the aggregate outstanding principal amount thereof after giving effect to any borrowings and prepayments or repayments of any Term Loans occurring on such date; and (c)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has the meaning specified in Section 11.06(d).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has the meaning specified in Section 11.06(d).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means the USA PATRIOT Act (Title III of Pub. L. 107-56 (signed into law October 26, 2001)).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in Full</w:t>
      </w:r>
      <w:r>
        <w:rPr>
          <w:rFonts w:ascii="Times New Roman" w:cs="Times New Roman" w:eastAsia="Times New Roman" w:hAnsi="Times New Roman"/>
          <w:sz w:val="18"/>
          <w:szCs w:val="18"/>
          <w:color w:val="auto"/>
        </w:rPr>
        <w:t>” means all Commitments and Letters of Credit have terminated and all Loan Document Obligations have been paid in full (other than (x) contingent indemnification obligations as to which no claim has been made or notice has been given and (y) outstanding Letters of Credit which have been Cash Collateralized or secured by one or more letters of credit on terms and conditions, and with one or more financial institutions, reasonably satisfactory to the L/C Issuer).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Act</w:t>
      </w:r>
      <w:r>
        <w:rPr>
          <w:rFonts w:ascii="Times New Roman" w:cs="Times New Roman" w:eastAsia="Times New Roman" w:hAnsi="Times New Roman"/>
          <w:sz w:val="18"/>
          <w:szCs w:val="18"/>
          <w:color w:val="auto"/>
        </w:rPr>
        <w:t>” means the Pension Protection Act of 2006.</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Funding Rules</w:t>
      </w:r>
      <w:r>
        <w:rPr>
          <w:rFonts w:ascii="Times New Roman" w:cs="Times New Roman" w:eastAsia="Times New Roman" w:hAnsi="Times New Roman"/>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means the Perfection Certificate, dated the Original Closing Date, by the Borrower and the other Loan Parties party thereto, as the same shall be supplemented from time to time by a Perfection Certificate Supplement or otherwise.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has the meaning specified in Section 7.03(k).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Liens permitted by Section 7.01.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Refinancing Indebtedness</w:t>
      </w:r>
      <w:r>
        <w:rPr>
          <w:rFonts w:ascii="Times New Roman" w:cs="Times New Roman" w:eastAsia="Times New Roman" w:hAnsi="Times New Roman"/>
          <w:sz w:val="17"/>
          <w:szCs w:val="17"/>
          <w:color w:val="auto"/>
        </w:rPr>
        <w:t>” means with respect to any Indebtedness (the “</w:t>
      </w:r>
      <w:r>
        <w:rPr>
          <w:rFonts w:ascii="Times New Roman" w:cs="Times New Roman" w:eastAsia="Times New Roman" w:hAnsi="Times New Roman"/>
          <w:sz w:val="17"/>
          <w:szCs w:val="17"/>
          <w:b w:val="1"/>
          <w:bCs w:val="1"/>
          <w:color w:val="auto"/>
        </w:rPr>
        <w:t>Refinanced Indebtedness</w:t>
      </w:r>
      <w:r>
        <w:rPr>
          <w:rFonts w:ascii="Times New Roman" w:cs="Times New Roman" w:eastAsia="Times New Roman" w:hAnsi="Times New Roman"/>
          <w:sz w:val="17"/>
          <w:szCs w:val="17"/>
          <w:color w:val="auto"/>
        </w:rPr>
        <w:t>”), any Indebtedness incurred in exchange for, or as a replacement of, or the net proceeds of which are used to modify, extend, refinance, renew, replace, redeem, repurchase, defease, amend, supplement, restructure, repay or refund (collectively to “</w:t>
      </w:r>
      <w:r>
        <w:rPr>
          <w:rFonts w:ascii="Times New Roman" w:cs="Times New Roman" w:eastAsia="Times New Roman" w:hAnsi="Times New Roman"/>
          <w:sz w:val="17"/>
          <w:szCs w:val="17"/>
          <w:b w:val="1"/>
          <w:bCs w:val="1"/>
          <w:color w:val="auto"/>
        </w:rPr>
        <w:t>Refinance</w:t>
      </w:r>
      <w:r>
        <w:rPr>
          <w:rFonts w:ascii="Times New Roman" w:cs="Times New Roman" w:eastAsia="Times New Roman" w:hAnsi="Times New Roman"/>
          <w:sz w:val="17"/>
          <w:szCs w:val="17"/>
          <w:color w:val="auto"/>
        </w:rPr>
        <w:t>” or a “</w:t>
      </w:r>
      <w:r>
        <w:rPr>
          <w:rFonts w:ascii="Times New Roman" w:cs="Times New Roman" w:eastAsia="Times New Roman" w:hAnsi="Times New Roman"/>
          <w:sz w:val="17"/>
          <w:szCs w:val="17"/>
          <w:b w:val="1"/>
          <w:bCs w:val="1"/>
          <w:color w:val="auto"/>
        </w:rPr>
        <w:t>Refinancing</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Refinanced</w:t>
      </w:r>
      <w:r>
        <w:rPr>
          <w:rFonts w:ascii="Times New Roman" w:cs="Times New Roman" w:eastAsia="Times New Roman" w:hAnsi="Times New Roman"/>
          <w:sz w:val="17"/>
          <w:szCs w:val="17"/>
          <w:color w:val="auto"/>
        </w:rPr>
        <w:t xml:space="preserve">”), the Refinanced Indebtedness (or previous refinancings thereof constituting Permitted Refinancing Indebtedness);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the principal amount (or aggregate issue price or accreted value, if applicable) of such Permitted Refinancing Indebtedness does not exceed the principal amount (or aggregate issue price or accreted value, if applicable) of the Refinanced Indebtedness (plus unpaid accrued interest and premium thereon plus other amounts paid and fees and expenses incurred in connection with such Refinancing plus an amount equal to any letters of credit issued but undrawn thereunder), (b) with respect to a Refinancing in respect of Indebtedness permitted pursuant to Section 7.02(d) or Section 7.02(q), (i) the Weighted Average Life to Maturity of such Permitted Refinancing Indebtedness shall be no shorter than the shorter of the Weighted Average Life to Maturity of (A) the Term Loans and (B) the Refinanced Indebtedness, and</w:t>
      </w:r>
    </w:p>
    <w:p>
      <w:pPr>
        <w:spacing w:after="0" w:line="2" w:lineRule="exact"/>
        <w:rPr>
          <w:sz w:val="20"/>
          <w:szCs w:val="20"/>
          <w:color w:val="auto"/>
        </w:rPr>
      </w:pPr>
    </w:p>
    <w:p>
      <w:pPr>
        <w:jc w:val="both"/>
        <w:ind w:firstLine="8"/>
        <w:spacing w:after="0" w:line="251" w:lineRule="auto"/>
        <w:tabs>
          <w:tab w:leader="none" w:pos="2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date of such Permitted Refinancing Indebtedness shall be no earlier than the earlier of (A) the Latest Maturity Date and (B) the final maturity date of the Refinanced Indebtedness, (c) with respect to a Refinancing in respect of Indebtedness permitted pursuant to Section 7.02(d), if the Refinanced Indebtedness is subordinated in right of payment to the Loan Document Obligations, such Permitted Refinancing Indebtedness shall be subordinated in right of payment to such Loan Document Obligations on terms at least as favorable to the Lenders as those contained in the documentation governing the Indebtedness being Refinanced, (d) other than with respect to a Refinancing in respect of Indebtedness permitted pursuant to Section 7.02(i), the direct and contingent obligors with respect to such Permitted Refinancing Indebtedness are not changed (except that any Loan Party may be added as an additional direct or contingent obligor in respect of such Permitted Refinancing Indebtedness), (e) if the Indebtedness being Refinanced is secured by any Collateral (whether ranking equal in priority with, or junior to, the Liens on the Collateral securing the Loan Document Obligations or otherwise), such Permitted Refinancing Indebtedness may be secured by such Collateral on terms, when taken as a whole, that are no less favorable to the Secured Parties than those contained in the documentation (including any customary intercreditor agreement, as applicable) governing the Refinanced Indebtedness, and (f) other than with respect to a Refinancing in respect of Indebtedness permitted pursuant to Section 7.02(i), the other terms of such Permitted Refinancing Indebtedness are no more restrictive, taken as a whole, than the terms governing the Refinanced Indebtedness (other than interest rates, interest rate margins, rate floors, fees, funding discounts, original issue discounts and redemption or prepayment terms and premiums).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Asset Regulations</w:t>
      </w:r>
      <w:r>
        <w:rPr>
          <w:rFonts w:ascii="Times New Roman" w:cs="Times New Roman" w:eastAsia="Times New Roman" w:hAnsi="Times New Roman"/>
          <w:sz w:val="18"/>
          <w:szCs w:val="18"/>
          <w:color w:val="auto"/>
        </w:rPr>
        <w:t>” means 29 CFR § 2510.3-101 et seq., as modified by Section 3(42) of ERISA,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has the meaning specified in Section 6.02.</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means the Pledge Agreement, dated as of the Original Closing Date, among the Borrower, the other Loan Parties party thereto and the Administrative Agent, together with each other security agreement and security agreement supplement delivered pursuant to Section 6.12, in each case as amended.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 Agreement Supplement</w:t>
      </w:r>
      <w:r>
        <w:rPr>
          <w:rFonts w:ascii="Times New Roman" w:cs="Times New Roman" w:eastAsia="Times New Roman" w:hAnsi="Times New Roman"/>
          <w:sz w:val="18"/>
          <w:szCs w:val="18"/>
          <w:color w:val="auto"/>
        </w:rPr>
        <w:t>” means a supplement to the Pledge Agreement in the form of Annex A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shall have the meaning specified in Section 5.15.</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has the meaning specified in Section 6.02.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Equity Interest</w:t>
      </w:r>
      <w:r>
        <w:rPr>
          <w:rFonts w:ascii="Times New Roman" w:cs="Times New Roman" w:eastAsia="Times New Roman" w:hAnsi="Times New Roman"/>
          <w:sz w:val="18"/>
          <w:szCs w:val="18"/>
          <w:color w:val="auto"/>
        </w:rPr>
        <w:t>” means any Equity Interest that is not a Disqualified Equity Interest.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the Administrative Agent, any Lender, the L/C Issuer or any other recipient of any payment to be made by or on account of any obligation of any Loan Party 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Recovery Event</w:t>
      </w:r>
      <w:r>
        <w:rPr>
          <w:rFonts w:ascii="Times New Roman" w:cs="Times New Roman" w:eastAsia="Times New Roman" w:hAnsi="Times New Roman"/>
          <w:sz w:val="18"/>
          <w:szCs w:val="18"/>
          <w:color w:val="auto"/>
        </w:rPr>
        <w:t>” means any event that gives rise to the receipt by the Borrower or any of its Subsidiaries of any cash insurance proceeds or condemnation awards payable (i) by reason of theft, loss, physical destruction, damage, taking or any other similar event with respect to any property or assets of the Borrower or any of its Subsidiaries or (ii) under any policy of insurance maintained by any of them.</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has the meaning assigned to such term in the definition of the term “Permitted Refinancing Indebtedness,” and “</w:t>
      </w:r>
      <w:r>
        <w:rPr>
          <w:rFonts w:ascii="Times New Roman" w:cs="Times New Roman" w:eastAsia="Times New Roman" w:hAnsi="Times New Roman"/>
          <w:sz w:val="18"/>
          <w:szCs w:val="18"/>
          <w:b w:val="1"/>
          <w:bCs w:val="1"/>
          <w:color w:val="auto"/>
        </w:rPr>
        <w:t>Refinanced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shall have meanings correlative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Refinanced Indebtedness</w:t>
      </w:r>
      <w:r>
        <w:rPr>
          <w:rFonts w:ascii="Times New Roman" w:cs="Times New Roman" w:eastAsia="Times New Roman" w:hAnsi="Times New Roman"/>
          <w:sz w:val="18"/>
          <w:szCs w:val="18"/>
          <w:color w:val="auto"/>
        </w:rPr>
        <w:t>” has the meaning assigned to such term in the definition of the term “Permitted Refinancing Indebtedness.”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has the meaning specified in Section 11.06(c).</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Indemnified Party</w:t>
      </w:r>
      <w:r>
        <w:rPr>
          <w:rFonts w:ascii="Times New Roman" w:cs="Times New Roman" w:eastAsia="Times New Roman" w:hAnsi="Times New Roman"/>
          <w:sz w:val="18"/>
          <w:szCs w:val="18"/>
          <w:color w:val="auto"/>
        </w:rPr>
        <w:t>” means, with respect to any Indemnitee, (i) any controlling person or controlled affiliate of such Indemnitee, (ii) the respective directors, officers or employees of such Indemnitee or any of its controlling persons or controlled affiliates and (iii) the respective agents of such Indemnitee or any of its controlling persons or controlled affiliates, in the case of this clause (iii), acting on behalf of, or at the express instructions of, such Indemnitee, controlling person or such controlled affiliate.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release, spill, emission, discharge, deposit, disposal, leaking, pumping, pouring, dumping, emptying, migrating, injection or leaching into the Environment, or into, from or through any building, structure or facility.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30-day notice period has been waived.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 for Credit Extension</w:t>
      </w:r>
      <w:r>
        <w:rPr>
          <w:rFonts w:ascii="Times New Roman" w:cs="Times New Roman" w:eastAsia="Times New Roman" w:hAnsi="Times New Roman"/>
          <w:sz w:val="18"/>
          <w:szCs w:val="18"/>
          <w:color w:val="auto"/>
        </w:rPr>
        <w:t>” means (a) with respect to a Borrowing of Term Loans or Revolving Credit Loans, a Committed Loan Notice, (b) with respect to an L/C Credit Extension, a Letter of Credit Application, and (c) with respect to a Swing Line Loan, a Swing Line Loan Notice.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xml:space="preserve">” means, as of any date of determination, at least two Lenders holding more than 50% of the sum of the (a) Total Outstandings (with the aggregate amount of each Revolving Credit Lender’s risk participation and funded participation in L/C Obligations and Swing Line Loans being deemed “held” by such Revolving Credit Lender for purposes of this definition) and (b) aggregate unused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unused Revolving Credit Commitment of, and the portion of the Total Outstandings held or deemed held by, any Defaulting Lender shall be excluded for purposes of making a determination of Required Lenders.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Revolving Lenders</w:t>
      </w:r>
      <w:r>
        <w:rPr>
          <w:rFonts w:ascii="Times New Roman" w:cs="Times New Roman" w:eastAsia="Times New Roman" w:hAnsi="Times New Roman"/>
          <w:sz w:val="18"/>
          <w:szCs w:val="18"/>
          <w:color w:val="auto"/>
        </w:rPr>
        <w:t>” means, as of any date of determination, Revolving Credit Lenders holding more than 50% of the sum of the</w:t>
      </w:r>
    </w:p>
    <w:p>
      <w:pPr>
        <w:spacing w:after="0" w:line="31" w:lineRule="exact"/>
        <w:rPr>
          <w:sz w:val="20"/>
          <w:szCs w:val="20"/>
          <w:color w:val="auto"/>
        </w:rPr>
      </w:pPr>
    </w:p>
    <w:p>
      <w:pPr>
        <w:jc w:val="both"/>
        <w:ind w:firstLine="8"/>
        <w:spacing w:after="0" w:line="253" w:lineRule="auto"/>
        <w:tabs>
          <w:tab w:leader="none" w:pos="2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Total Revolving Credit Outstandings (with the aggregate amount of each Revolving Credit Lender’s risk participation and funded participation in L/C Obligations and Swing Line Loans being deemed “held” by such Revolving Credit Lender for purposes of this definition) and (b) aggregate unused Revolving Credit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unused Revolving Credit Commitment of, and the portion of the Total Revolving Credit Outstandings held or deemed held by, any Defaulting Lender shall be excluded for purposes of making a determination of Required Revolving Lenders.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Rescindable Amount</w:t>
      </w:r>
      <w:r>
        <w:rPr>
          <w:rFonts w:ascii="Times New Roman" w:cs="Times New Roman" w:eastAsia="Times New Roman" w:hAnsi="Times New Roman"/>
          <w:sz w:val="18"/>
          <w:szCs w:val="18"/>
          <w:color w:val="auto"/>
        </w:rPr>
        <w:t>” has the meaning as defined in Section 2.12(b)(ii).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(a) the chief executive officer, president, chief financial officer, treasurer, assistant treasurer, vice president, general counsel or controller of a Loan Party, or any other officer or employee of the applicable Loan Party designated in or pursuant to an agreement between the applicable Loan Party and the Administrative Agent, (b) solely for purposes of the delivery of incumbency certificates pursuant to Section 4.01(a)(v), the secretary or any assistant secretary of a Loan Party and, solely for purposes of notices given pursuant to Article 2,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and (c) solely for purposes of notices given pursuant to Article 2, any other employee of the applicable Loan Party so designated by any of the foregoing officers in a notice to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Agreement</w:t>
      </w:r>
      <w:r>
        <w:rPr>
          <w:rFonts w:ascii="Times New Roman" w:cs="Times New Roman" w:eastAsia="Times New Roman" w:hAnsi="Times New Roman"/>
          <w:sz w:val="18"/>
          <w:szCs w:val="18"/>
          <w:color w:val="auto"/>
        </w:rPr>
        <w:t>” means that certain Amendment and Restatement Agreement, dated as of the Closing Date, by and among the Loan Parties party thereto, the Administrative Agent and each of the lenders party thereto.</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of the Borrower or any payment (whether in cash, securities or other property), including any sinking fund or similar deposit, on account of the purchase, redemption, retirement, acquisition, cancellation or termination of, or any other return of capital with respect to, in each such case any Equity Interests in the Borrower.</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Borrowing</w:t>
      </w:r>
      <w:r>
        <w:rPr>
          <w:rFonts w:ascii="Times New Roman" w:cs="Times New Roman" w:eastAsia="Times New Roman" w:hAnsi="Times New Roman"/>
          <w:sz w:val="18"/>
          <w:szCs w:val="18"/>
          <w:color w:val="auto"/>
        </w:rPr>
        <w:t>” means a borrowing consisting of simultaneous Revolving Credit Loans of the same Type and, in the case of Term SOFR Loans, having the same Interest Period made by each of the Revolving Credit Lenders pursuant to Section 2.01(b).</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Commitment</w:t>
      </w:r>
      <w:r>
        <w:rPr>
          <w:rFonts w:ascii="Times New Roman" w:cs="Times New Roman" w:eastAsia="Times New Roman" w:hAnsi="Times New Roman"/>
          <w:sz w:val="18"/>
          <w:szCs w:val="18"/>
          <w:color w:val="auto"/>
        </w:rPr>
        <w:t>” means, as to each Revolving Credit Lender, its obligation to (a) make Revolving Credit Loans to the Borrower pursuant to Section 2.01(b), (b) purchase participations in L/C Obligations, and (c) purchase participations in Swing Line Loans, in an aggregate principal amount at any one time outstanding not to exceed the amount set forth opposite such Lender’s name on Schedule 2.01 under the caption “Revolving Credit Commitment” or in the Assignment and Assumption pursuant to which such Lender becomes a party hereto, as applicable, as such amount may be adjusted from time to time in accordance with this Agreement. The aggregate amount of Revolving Credit Commitments in effect on the Closing Date is $75,000,000.00.</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Exposure</w:t>
      </w:r>
      <w:r>
        <w:rPr>
          <w:rFonts w:ascii="Times New Roman" w:cs="Times New Roman" w:eastAsia="Times New Roman" w:hAnsi="Times New Roman"/>
          <w:sz w:val="18"/>
          <w:szCs w:val="18"/>
          <w:color w:val="auto"/>
        </w:rPr>
        <w:t>” means, as to any Lender at any time, the aggregate principal amount at such time of its outstanding Revolving Credit Loans and such Lender’s participation in L/C Obligations and Swing Line Loans at such time.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Facility</w:t>
      </w:r>
      <w:r>
        <w:rPr>
          <w:rFonts w:ascii="Times New Roman" w:cs="Times New Roman" w:eastAsia="Times New Roman" w:hAnsi="Times New Roman"/>
          <w:sz w:val="18"/>
          <w:szCs w:val="18"/>
          <w:color w:val="auto"/>
        </w:rPr>
        <w:t>” means, at any time, the aggregate amount of the Revolving Credit Lenders’ Revolving Credit Commitments at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Lender</w:t>
      </w:r>
      <w:r>
        <w:rPr>
          <w:rFonts w:ascii="Times New Roman" w:cs="Times New Roman" w:eastAsia="Times New Roman" w:hAnsi="Times New Roman"/>
          <w:sz w:val="18"/>
          <w:szCs w:val="18"/>
          <w:color w:val="auto"/>
        </w:rPr>
        <w:t>” means, at any time, any Lender that has a Revolving Credit Commitment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Loan</w:t>
      </w:r>
      <w:r>
        <w:rPr>
          <w:rFonts w:ascii="Times New Roman" w:cs="Times New Roman" w:eastAsia="Times New Roman" w:hAnsi="Times New Roman"/>
          <w:sz w:val="18"/>
          <w:szCs w:val="18"/>
          <w:color w:val="auto"/>
        </w:rPr>
        <w:t>” has the meaning specified in Section 2.01(b).</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Note</w:t>
      </w:r>
      <w:r>
        <w:rPr>
          <w:rFonts w:ascii="Times New Roman" w:cs="Times New Roman" w:eastAsia="Times New Roman" w:hAnsi="Times New Roman"/>
          <w:sz w:val="18"/>
          <w:szCs w:val="18"/>
          <w:color w:val="auto"/>
        </w:rPr>
        <w:t>” means a promissory note made by the Borrower in favor of a Revolving Credit Lender evidencing Revolving Credit Loans or Swing Line Loans, as the case may be, made by such Revolving Credit Lender, substantially in the form of Exhibit C-2.</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Ratings Services or any successor by merger or consolidation to its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Same Day Funds</w:t>
      </w:r>
      <w:r>
        <w:rPr>
          <w:rFonts w:ascii="Times New Roman" w:cs="Times New Roman" w:eastAsia="Times New Roman" w:hAnsi="Times New Roman"/>
          <w:sz w:val="18"/>
          <w:szCs w:val="18"/>
          <w:color w:val="auto"/>
        </w:rPr>
        <w:t>” means immediately available funds.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including OFAC or the U.S. Department of State, the United Nations Security Council, the European Union or the United Kingdom.</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 country or territory that is the subject or target of comprehensive Sanctions (at the time of this Agreement, the so-called Donetsk People’s Republic, the so-called Luhansk People’s Republic, the Crimea Region of Ukraine, the non-government controlled areas of the Zaporizhzhia and Kherson regions of Ukraine, Cuba, Iran and North Korea).</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 Person that (a) is named on any Sanctions-related list of designated Persons maintained by OFAC, the U.S. Department of State, the United Nations Security Council, the European Union or the United Kingdom, (b) is 50 percent or more owned, directly or indirectly, individually or in the aggregate, by one or more Persons included on any such list, (c) is (x) an agency of the government of a Sanctioned Country, (y) an organization controlled by a Sanctioned Country or (z) a Person located, organized or resident in a Sanctioned Country, as such Sanctions may be applicable to such Person or (d) is otherwise the subject or target of any Sanctions.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Unavailability Date</w:t>
      </w:r>
      <w:r>
        <w:rPr>
          <w:rFonts w:ascii="Times New Roman" w:cs="Times New Roman" w:eastAsia="Times New Roman" w:hAnsi="Times New Roman"/>
          <w:sz w:val="18"/>
          <w:szCs w:val="18"/>
          <w:color w:val="auto"/>
        </w:rPr>
        <w:t>” has the meaning specified in Section 3.03(b).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Cash Management Agreement</w:t>
      </w:r>
      <w:r>
        <w:rPr>
          <w:rFonts w:ascii="Times New Roman" w:cs="Times New Roman" w:eastAsia="Times New Roman" w:hAnsi="Times New Roman"/>
          <w:sz w:val="18"/>
          <w:szCs w:val="18"/>
          <w:color w:val="auto"/>
        </w:rPr>
        <w:t>” means any Cash Management Agreement that is entered into by and between any Loan Party or any Subsidiary and any Cash Management Bank to the extent designated by the Borrower and such Cash Management Bank as a Secured Cash Management Agreement in writing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Hedge Agreement</w:t>
      </w:r>
      <w:r>
        <w:rPr>
          <w:rFonts w:ascii="Times New Roman" w:cs="Times New Roman" w:eastAsia="Times New Roman" w:hAnsi="Times New Roman"/>
          <w:sz w:val="18"/>
          <w:szCs w:val="18"/>
          <w:color w:val="auto"/>
        </w:rPr>
        <w:t>” means any Swap Contract permitted under Article 6 or 7 that is entered into by and between any Loan Party or any Subsidiary and any Hedge Bank to the extent designated by the Borrower and such Hedge Bank as a Secured Hedge Agreement in writing to the Administrative Agent.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collectively, the Administrative Agent, the Lenders, the L/C Issuer, the Hedge Banks, the Cash Management Banks, each co-agent or sub-agent appointed by the Administrative Agent from time to time pursuant to Section 9.05, and the other Persons the Obligations owing to which are or are purported to be secured by the Collateral under the terms of the Collateral Documents.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Sold Entity or Business</w:t>
      </w:r>
      <w:r>
        <w:rPr>
          <w:rFonts w:ascii="Times New Roman" w:cs="Times New Roman" w:eastAsia="Times New Roman" w:hAnsi="Times New Roman"/>
          <w:sz w:val="18"/>
          <w:szCs w:val="18"/>
          <w:color w:val="auto"/>
        </w:rPr>
        <w:t>” has the meaning set forth in the definition of the term “Consolidated EBIT”.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means, with respect to any Person, that (a) the Fair Value and Present Fair Salable Value of the assets of such Person taken as whole exceeds its Stated Liabilities and Identified Contingent Liabilities, (b) such Person does not have Unreasonably Small Capital, and (c) such Person will be able to pay its Stated Liabilities and Identified Contingent Liabilities as they mature (with the terms “Fair Value”, “Present Fair Salable Value”, “Stated Liabilities”, “Identified Contingent Liabilities”, “will be able to pay their Stated Liabilities and Identified Contingent Liabilities as they mature” and “do not have Unreasonably Small Capital” having the meanings as defined in Exhibit 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Representations</w:t>
      </w:r>
      <w:r>
        <w:rPr>
          <w:rFonts w:ascii="Times New Roman" w:cs="Times New Roman" w:eastAsia="Times New Roman" w:hAnsi="Times New Roman"/>
          <w:sz w:val="18"/>
          <w:szCs w:val="18"/>
          <w:color w:val="auto"/>
        </w:rPr>
        <w:t>” means the representations set forth in Sections 5.01(a), 5.01(b)(ii), 5.02(a), 5.04, 5.14, 5.18, 5.20, 5.21, 5.22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5.23.</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Transaction</w:t>
      </w:r>
      <w:r>
        <w:rPr>
          <w:rFonts w:ascii="Times New Roman" w:cs="Times New Roman" w:eastAsia="Times New Roman" w:hAnsi="Times New Roman"/>
          <w:sz w:val="18"/>
          <w:szCs w:val="18"/>
          <w:color w:val="auto"/>
        </w:rPr>
        <w:t>” means, with respect to any Measurement Period, any Permitted Acquisition, Investment, Disposition, incurrence, issuance, assumption or Refinancing, prepayment, repayment, retirement, redemption, satisfaction, discharge or defeasance of Indebtedness (including the incurrence of any Incremental Term Commitments), Restricted Payment, or any other event that by the terms of this Agreement requires compliance on a “pro forma basis” with a test or covenant hereunder, requires such test or covenant to be calculated on a “pro forma basis” or which is to be given “pro forma effect”.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shall refer to a Subsidiary or Subsidiaries of the Borrower.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Rate</w:t>
      </w:r>
      <w:r>
        <w:rPr>
          <w:rFonts w:ascii="Times New Roman" w:cs="Times New Roman" w:eastAsia="Times New Roman" w:hAnsi="Times New Roman"/>
          <w:sz w:val="18"/>
          <w:szCs w:val="18"/>
          <w:color w:val="auto"/>
        </w:rPr>
        <w:t>” has the meaning specified in Section 3.03(b)(ii).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b w:val="1"/>
          <w:bCs w:val="1"/>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Obligations</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Termination Value</w:t>
      </w:r>
      <w:r>
        <w:rPr>
          <w:rFonts w:ascii="Times New Roman" w:cs="Times New Roman" w:eastAsia="Times New Roman" w:hAnsi="Times New Roman"/>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 Line Borrowing</w:t>
      </w:r>
      <w:r>
        <w:rPr>
          <w:rFonts w:ascii="Times New Roman" w:cs="Times New Roman" w:eastAsia="Times New Roman" w:hAnsi="Times New Roman"/>
          <w:sz w:val="18"/>
          <w:szCs w:val="18"/>
          <w:color w:val="auto"/>
        </w:rPr>
        <w:t>” means a borrowing of a Swing Line Loan pursuant to Section 2.04.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 Line Lender</w:t>
      </w:r>
      <w:r>
        <w:rPr>
          <w:rFonts w:ascii="Times New Roman" w:cs="Times New Roman" w:eastAsia="Times New Roman" w:hAnsi="Times New Roman"/>
          <w:sz w:val="18"/>
          <w:szCs w:val="18"/>
          <w:color w:val="auto"/>
        </w:rPr>
        <w:t>” means Bank of America in its capacity as provider of Swing Line Loans, or any successor swing line lender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 Line Loan</w:t>
      </w:r>
      <w:r>
        <w:rPr>
          <w:rFonts w:ascii="Times New Roman" w:cs="Times New Roman" w:eastAsia="Times New Roman" w:hAnsi="Times New Roman"/>
          <w:sz w:val="18"/>
          <w:szCs w:val="18"/>
          <w:color w:val="auto"/>
        </w:rPr>
        <w:t>” has the meaning specified in Section 2.04(a).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 Line Loan Notice</w:t>
      </w:r>
      <w:r>
        <w:rPr>
          <w:rFonts w:ascii="Times New Roman" w:cs="Times New Roman" w:eastAsia="Times New Roman" w:hAnsi="Times New Roman"/>
          <w:sz w:val="18"/>
          <w:szCs w:val="18"/>
          <w:color w:val="auto"/>
        </w:rPr>
        <w:t>” means a notice of a Swing Line Borrowing pursuant to Section 2.04(b), which shall be substantially in the form of Exhibit B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 Line Sublimit</w:t>
      </w:r>
      <w:r>
        <w:rPr>
          <w:rFonts w:ascii="Times New Roman" w:cs="Times New Roman" w:eastAsia="Times New Roman" w:hAnsi="Times New Roman"/>
          <w:sz w:val="18"/>
          <w:szCs w:val="18"/>
          <w:color w:val="auto"/>
        </w:rPr>
        <w:t>” means an amount equal to the lesser of (a) $10,000,000 and (b) the Revolving Credit Facility. The Swing Line Sublimit is part of, and not in addition to, the Revolving Credit Facility.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4" w:name="page95"/>
    <w:bookmarkEnd w:id="9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Borrowing</w:t>
      </w:r>
      <w:r>
        <w:rPr>
          <w:rFonts w:ascii="Times New Roman" w:cs="Times New Roman" w:eastAsia="Times New Roman" w:hAnsi="Times New Roman"/>
          <w:sz w:val="18"/>
          <w:szCs w:val="18"/>
          <w:color w:val="auto"/>
        </w:rPr>
        <w:t>” means a borrowing consisting of simultaneous Term Loans of the same Type and, in the case of Term SOFR Loans, having the same Interest Period made by each of the Term Lenders pursuant to Section 2.01(a).</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Commitment</w:t>
      </w:r>
      <w:r>
        <w:rPr>
          <w:rFonts w:ascii="Times New Roman" w:cs="Times New Roman" w:eastAsia="Times New Roman" w:hAnsi="Times New Roman"/>
          <w:sz w:val="18"/>
          <w:szCs w:val="18"/>
          <w:color w:val="auto"/>
        </w:rPr>
        <w:t>” means, as to each Term Lender, its obligation to make Term Loans to the Borrower in Dollars pursuant to Section 2.01(a) in an aggregate principal amount at any one time outstanding not to exceed the amount set forth opposite such Term Lender’s name on Schedule 2.01 under the caption “Term Commitment” or in the Assignment and Assumption pursuant to which such Term Lender becomes a party hereto, as applicable, as such amount may be adjusted from time to time in accordance with this Agreement. The aggregate amount of Term Commitments in effect immediately prior to the initial Borrowing of the Term Loans on the Closing Date is $175,000,000.00.</w:t>
      </w:r>
    </w:p>
    <w:p>
      <w:pPr>
        <w:spacing w:after="0" w:line="179"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w:t>
      </w:r>
      <w:r>
        <w:rPr>
          <w:rFonts w:ascii="Times New Roman" w:cs="Times New Roman" w:eastAsia="Times New Roman" w:hAnsi="Times New Roman"/>
          <w:sz w:val="18"/>
          <w:szCs w:val="18"/>
          <w:color w:val="auto"/>
        </w:rPr>
        <w:t>” means, at any time, (a) on or prior to the Closing Date, the aggregate amount of the Term Commitments at such time and (b) thereafter, the aggregate principal amount of the Term Loans of all Term Lenders outstanding at such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Lender</w:t>
      </w:r>
      <w:r>
        <w:rPr>
          <w:rFonts w:ascii="Times New Roman" w:cs="Times New Roman" w:eastAsia="Times New Roman" w:hAnsi="Times New Roman"/>
          <w:sz w:val="18"/>
          <w:szCs w:val="18"/>
          <w:color w:val="auto"/>
        </w:rPr>
        <w:t>” means (a) at any time on or prior to the Closing Date, any Lender that has a Term Commitment at such time and (b) at any time after the Closing Date, any Lender that holds Term Loans at such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an advance made by any Term Lender in Dollars pursuant to Section 2.01(a).</w:t>
      </w:r>
    </w:p>
    <w:p>
      <w:pPr>
        <w:spacing w:after="0" w:line="225" w:lineRule="exact"/>
        <w:rPr>
          <w:sz w:val="20"/>
          <w:szCs w:val="20"/>
          <w:color w:val="auto"/>
        </w:rPr>
      </w:pPr>
    </w:p>
    <w:p>
      <w:pPr>
        <w:jc w:val="both"/>
        <w:ind w:firstLine="648"/>
        <w:spacing w:after="0" w:line="24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Note</w:t>
      </w:r>
      <w:r>
        <w:rPr>
          <w:rFonts w:ascii="Times New Roman" w:cs="Times New Roman" w:eastAsia="Times New Roman" w:hAnsi="Times New Roman"/>
          <w:sz w:val="18"/>
          <w:szCs w:val="18"/>
          <w:color w:val="auto"/>
        </w:rPr>
        <w:t>” means a promissory note made by the Borrower in favor of a Term Lender evidencing Term Loans made by such Term Lender, substantially in the form of Exhibit 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60" w:firstLine="644"/>
        <w:spacing w:after="0" w:line="261" w:lineRule="auto"/>
        <w:tabs>
          <w:tab w:leader="none" w:pos="20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and</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20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Base Rate Loan on any date, the rate per annum equal to the Term SOFR Screen Rate with a term of one month commencing that day;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the Term SOFR determined in accordance with either of the foregoing provisions (a) of (b) of this definition would otherwise be less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zero, Term SOFR shall be deemed zero for purposes of this Agreement.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Loan</w:t>
      </w:r>
      <w:r>
        <w:rPr>
          <w:rFonts w:ascii="Times New Roman" w:cs="Times New Roman" w:eastAsia="Times New Roman" w:hAnsi="Times New Roman"/>
          <w:sz w:val="18"/>
          <w:szCs w:val="18"/>
          <w:color w:val="auto"/>
        </w:rPr>
        <w:t>” means a Revolving Credit Loan or a Term Loan that bears interest at a rate based on clause (a) of the definition of the Term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Replacement Date</w:t>
      </w:r>
      <w:r>
        <w:rPr>
          <w:rFonts w:ascii="Times New Roman" w:cs="Times New Roman" w:eastAsia="Times New Roman" w:hAnsi="Times New Roman"/>
          <w:sz w:val="18"/>
          <w:szCs w:val="18"/>
          <w:color w:val="auto"/>
        </w:rPr>
        <w:t>” has the meaning specified in Section 3.03(b).</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Screen Rate</w:t>
      </w:r>
      <w:r>
        <w:rPr>
          <w:rFonts w:ascii="Times New Roman" w:cs="Times New Roman" w:eastAsia="Times New Roman" w:hAnsi="Times New Roman"/>
          <w:sz w:val="18"/>
          <w:szCs w:val="18"/>
          <w:color w:val="auto"/>
        </w:rPr>
        <w:t>” means the forward-looking SOFR term administered by CME (or any successor administrator reasonably satisfactory to the Administrative Agent) and published on the applicable Reuters screen page (or such other commercially available source providing such quotations as may be designated by the Administrative Agent from time to time).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Threshold Amount</w:t>
      </w:r>
      <w:r>
        <w:rPr>
          <w:rFonts w:ascii="Times New Roman" w:cs="Times New Roman" w:eastAsia="Times New Roman" w:hAnsi="Times New Roman"/>
          <w:sz w:val="18"/>
          <w:szCs w:val="18"/>
          <w:color w:val="auto"/>
        </w:rPr>
        <w:t>” means, as of any date of determination, the greater of (a) $20,000,000 and (b) 12.5% of Consolidated EBITDA for the Measurement Period most recently ended on or prior to such date of determination.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Outstandings</w:t>
      </w:r>
      <w:r>
        <w:rPr>
          <w:rFonts w:ascii="Times New Roman" w:cs="Times New Roman" w:eastAsia="Times New Roman" w:hAnsi="Times New Roman"/>
          <w:sz w:val="18"/>
          <w:szCs w:val="18"/>
          <w:color w:val="auto"/>
        </w:rPr>
        <w:t>” means the aggregate Outstanding Amount of all Loans and all L/C Obligations.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Revolving Credit Outstandings</w:t>
      </w:r>
      <w:r>
        <w:rPr>
          <w:rFonts w:ascii="Times New Roman" w:cs="Times New Roman" w:eastAsia="Times New Roman" w:hAnsi="Times New Roman"/>
          <w:sz w:val="18"/>
          <w:szCs w:val="18"/>
          <w:color w:val="auto"/>
        </w:rPr>
        <w:t>” means the aggregate Outstanding Amount of all Revolving Credit Loans, Swing Line Loans and L/C Obligations.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means, with respect to a Loan, its character as a Base Rate Loan or a Term SOFR Loan.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xml:space="preserve">” means the Uniform Commercial Code as in effect in the State of New York;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Unreimbursed Amount</w:t>
      </w:r>
      <w:r>
        <w:rPr>
          <w:rFonts w:ascii="Times New Roman" w:cs="Times New Roman" w:eastAsia="Times New Roman" w:hAnsi="Times New Roman"/>
          <w:sz w:val="18"/>
          <w:szCs w:val="18"/>
          <w:color w:val="auto"/>
        </w:rPr>
        <w:t>” has the meaning specified in Section 2.03(c)(i).</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Business Day, except any Business Day on which any of the Securities Industry and Financial Markets Association, the New York Exchange or the Federal Reserve Bank of New York is not open for business because such day is a legal holiday under the federal laws of the United States or the laws of the State of New York, as applicable.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has the meaning specified in Section 3.01(e)(ii)(B)(3).</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(and/or portion thereof)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Wholly-Owned</w:t>
      </w:r>
      <w:r>
        <w:rPr>
          <w:rFonts w:ascii="Times New Roman" w:cs="Times New Roman" w:eastAsia="Times New Roman" w:hAnsi="Times New Roman"/>
          <w:sz w:val="18"/>
          <w:szCs w:val="18"/>
          <w:color w:val="auto"/>
        </w:rPr>
        <w:t>” means, with respect to a Subsidiary of Person, a Subsidiary of such Person all of the outstanding Equity Interests of which are owned by such Person and/or by one or more wholly-owned Subsidiaries of such Person.</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jc w:val="both"/>
        <w:ind w:firstLine="656"/>
        <w:spacing w:after="0" w:line="252" w:lineRule="auto"/>
        <w:tabs>
          <w:tab w:leader="none" w:pos="14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the term “document” includes any and all agreements, instruments, documents, Organization Documents, certificates, notices, reports, financial statements and other writings, however evidenced, whether in physical or electronic form, and any definition of, or reference to, any such document shall be construed as referring to such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18"/>
          <w:szCs w:val="18"/>
          <w:b w:val="1"/>
          <w:bCs w:val="1"/>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191" w:lineRule="exact"/>
        <w:rPr>
          <w:rFonts w:ascii="Times New Roman" w:cs="Times New Roman" w:eastAsia="Times New Roman" w:hAnsi="Times New Roman"/>
          <w:sz w:val="18"/>
          <w:szCs w:val="18"/>
          <w:color w:val="auto"/>
        </w:rPr>
      </w:pPr>
    </w:p>
    <w:p>
      <w:pPr>
        <w:ind w:firstLine="656"/>
        <w:spacing w:after="0" w:line="286" w:lineRule="auto"/>
        <w:tabs>
          <w:tab w:leader="none" w:pos="13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b w:val="1"/>
          <w:bCs w:val="1"/>
          <w:color w:val="auto"/>
        </w:rPr>
        <w:t>from and including;</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until</w:t>
      </w:r>
      <w:r>
        <w:rPr>
          <w:rFonts w:ascii="Times New Roman" w:cs="Times New Roman" w:eastAsia="Times New Roman" w:hAnsi="Times New Roman"/>
          <w:sz w:val="18"/>
          <w:szCs w:val="18"/>
          <w:color w:val="auto"/>
        </w:rPr>
        <w:t>” each mean “</w:t>
      </w:r>
      <w:r>
        <w:rPr>
          <w:rFonts w:ascii="Times New Roman" w:cs="Times New Roman" w:eastAsia="Times New Roman" w:hAnsi="Times New Roman"/>
          <w:sz w:val="18"/>
          <w:szCs w:val="18"/>
          <w:b w:val="1"/>
          <w:bCs w:val="1"/>
          <w:color w:val="auto"/>
        </w:rPr>
        <w:t>to but excluding;</w:t>
      </w:r>
      <w:r>
        <w:rPr>
          <w:rFonts w:ascii="Times New Roman" w:cs="Times New Roman" w:eastAsia="Times New Roman" w:hAnsi="Times New Roman"/>
          <w:sz w:val="18"/>
          <w:szCs w:val="18"/>
          <w:color w:val="auto"/>
        </w:rPr>
        <w:t>” and the word “</w:t>
      </w:r>
      <w:r>
        <w:rPr>
          <w:rFonts w:ascii="Times New Roman" w:cs="Times New Roman" w:eastAsia="Times New Roman" w:hAnsi="Times New Roman"/>
          <w:sz w:val="18"/>
          <w:szCs w:val="18"/>
          <w:b w:val="1"/>
          <w:bCs w:val="1"/>
          <w:color w:val="auto"/>
        </w:rPr>
        <w:t>through</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b w:val="1"/>
          <w:bCs w:val="1"/>
          <w:color w:val="auto"/>
        </w:rPr>
        <w:t>to and including.</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firstLine="656"/>
        <w:spacing w:after="0" w:line="282" w:lineRule="auto"/>
        <w:tabs>
          <w:tab w:leader="none" w:pos="15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item is required to be delivered, or any action is required to be taken, on a day other than a Business Day, such item shall be required to be delivered, and such action shall be required to be taken, on the next following Business Day.</w:t>
      </w:r>
    </w:p>
    <w:p>
      <w:pPr>
        <w:spacing w:after="0" w:line="16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i w:val="1"/>
          <w:iCs w:val="1"/>
          <w:color w:val="auto"/>
        </w:rPr>
        <w:t>Accounting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8" w:lineRule="auto"/>
        <w:tabs>
          <w:tab w:leader="none" w:pos="143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All accounting terms not specifically or completely defined herein shall be construed in conformity with, and all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(including financial ratios and other financial calculations) required to be submitted pursuant to this Agreement shall be prepared in conformity with, GAAP.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on financial liabilities shall be disregarded.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both"/>
        <w:ind w:firstLine="656"/>
        <w:spacing w:after="0" w:line="256" w:lineRule="auto"/>
        <w:tabs>
          <w:tab w:leader="none" w:pos="13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GAAP</w:t>
      </w:r>
      <w:r>
        <w:rPr>
          <w:rFonts w:ascii="Times New Roman" w:cs="Times New Roman" w:eastAsia="Times New Roman" w:hAnsi="Times New Roman"/>
          <w:sz w:val="18"/>
          <w:szCs w:val="18"/>
          <w:color w:val="auto"/>
        </w:rPr>
        <w:t>. If at any time any change in GAAP or any other accounting principles would affect the computation of any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until so amended such ratio or requirement shall continue to be computed in accordance with GAAP prior to such change therein, but only to the extent that, without material burden or expense (as determined by the Borrower in good faith), the Borrower, its auditors and/or its financial systems are capable of interpreting such provisions as if such accounting change had not occurred.</w:t>
      </w:r>
    </w:p>
    <w:p>
      <w:pPr>
        <w:spacing w:after="0" w:line="182" w:lineRule="exact"/>
        <w:rPr>
          <w:rFonts w:ascii="Times New Roman" w:cs="Times New Roman" w:eastAsia="Times New Roman" w:hAnsi="Times New Roman"/>
          <w:sz w:val="18"/>
          <w:szCs w:val="18"/>
          <w:color w:val="auto"/>
        </w:rPr>
      </w:pPr>
    </w:p>
    <w:p>
      <w:pPr>
        <w:jc w:val="both"/>
        <w:ind w:firstLine="656"/>
        <w:spacing w:after="0" w:line="261" w:lineRule="auto"/>
        <w:tabs>
          <w:tab w:leader="none" w:pos="1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Consolidation of Variable Interest Entities</w:t>
      </w:r>
      <w:r>
        <w:rPr>
          <w:rFonts w:ascii="Times New Roman" w:cs="Times New Roman" w:eastAsia="Times New Roman" w:hAnsi="Times New Roman"/>
          <w:sz w:val="18"/>
          <w:szCs w:val="18"/>
          <w:color w:val="auto"/>
        </w:rPr>
        <w:t>. All references herein to consolidated financial statements of the Borrower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Rounding</w:t>
      </w:r>
      <w:r>
        <w:rPr>
          <w:rFonts w:ascii="Times New Roman" w:cs="Times New Roman" w:eastAsia="Times New Roman" w:hAnsi="Times New Roman"/>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i w:val="1"/>
          <w:iCs w:val="1"/>
          <w:color w:val="auto"/>
        </w:rPr>
        <w:t>Times of Day; Rates</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 applicable). The Administrative Agent does not warrant, nor accept responsibility, nor shall the Administrative Agent have any liability with respect to the administration, submission or any other matter related to the rates in the definition of “Term SOFR”, any other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i w:val="1"/>
          <w:iCs w:val="1"/>
          <w:color w:val="auto"/>
        </w:rPr>
        <w:t>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9" w:name="page100"/>
    <w:bookmarkEnd w:id="99"/>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1.07.</w:t>
      </w:r>
      <w:r>
        <w:rPr>
          <w:sz w:val="20"/>
          <w:szCs w:val="20"/>
          <w:color w:val="auto"/>
        </w:rPr>
        <w:tab/>
      </w:r>
      <w:r>
        <w:rPr>
          <w:rFonts w:ascii="Times New Roman" w:cs="Times New Roman" w:eastAsia="Times New Roman" w:hAnsi="Times New Roman"/>
          <w:sz w:val="17"/>
          <w:szCs w:val="17"/>
          <w:i w:val="1"/>
          <w:iCs w:val="1"/>
          <w:color w:val="auto"/>
        </w:rPr>
        <w:t>Currency Equivalents Generally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2" w:lineRule="auto"/>
        <w:tabs>
          <w:tab w:leader="none" w:pos="141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under Article 6, Article 7 (other than for purposes of calculating the Consolidated Leverage Ratio or the Consolidated Interest Coverage Ratio) or Article 8 or any determination under any other provision of this Agreement requiring the use of a current exchange rate, all amounts incurred or proposed to be incurred in currencies other than Dollars shall be translated into Dollars at the exchange rate then in effect on the date of such determination; provided, however, that (x) for purposes of determining compliance with Article 7 with respect to the amount of any Indebtedness, Investment, Disposition, Restricted Payment or payment in respect of Junior Financing or payment in a currency other than Dollars, no Default or Event of Default shall be deemed to have occurred solely as a result of changes in rates of exchange occurring after the time such Indebtedness or Investment is incurred or Disposition, Restricted Payment or prepayment of Junior Financing is made, (y) for purposes of determining compliance with any Dollar-denominated restriction on the incurrence of Indebtedness, if such Indebtedness is incurred under a particular basket to Refinance other Indebtedness denominated in a foreign currency that was originally incurred under the same basket,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Dollar equivalent of the principal amount of the Indebtedness that is incurred to Refinance such Indebtedness does not exceed the Dollar equivalent of the principal amount of such Indebtedness being Refinanced, except by an amount equal to the accrued interest, dividends and premium (including tender premiums), if any, thereon plus defeasance costs, underwriting discounts and other amounts paid and fees and expenses (including OID, closing payments, upfront fees and similar fees) incurred in connection with such Refinancing plus an amount equal to any existing commitment unutilized and letters of credit undrawn thereunder and (z) for the avoidance of doubt, the foregoing provisions of this Section 1.07(a) shall otherwise apply to such Sections, including with respect to determining whether any Indebtedness or Investment may be incurred or Disposition, Restricted Payment or prepayment of Junior Financing may be made at any time under such Sections. For purposes of calculating the Consolidated Leverage Ratio and the Consolidated Interest Coverage Ratio, amounts denominated in currencies other than Dollars shall be translated into Dollars at the applicable exchange rates used in preparing the most recently delivered financial statements pursuant to Section 6.01(a) or Section 6.01(b).</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subject to such reasonable changes of construction as the Administrative Agent may from time to time specify with the Borrower’s consent (such consent not to be unreasonably withheld) to appropriately reflect a change in currency of any country and any relevant market conventions or practices relating to such change in currency.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0" w:name="page101"/>
    <w:bookmarkEnd w:id="100"/>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1.08.</w:t>
      </w:r>
      <w:r>
        <w:rPr>
          <w:sz w:val="20"/>
          <w:szCs w:val="20"/>
          <w:color w:val="auto"/>
        </w:rPr>
        <w:tab/>
      </w:r>
      <w:r>
        <w:rPr>
          <w:rFonts w:ascii="Times New Roman" w:cs="Times New Roman" w:eastAsia="Times New Roman" w:hAnsi="Times New Roman"/>
          <w:sz w:val="17"/>
          <w:szCs w:val="17"/>
          <w:i w:val="1"/>
          <w:iCs w:val="1"/>
          <w:color w:val="auto"/>
        </w:rPr>
        <w:t>Limited Condition Transactions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3" w:lineRule="auto"/>
        <w:tabs>
          <w:tab w:leader="none" w:pos="139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action being taken in connection with a Limited Condition Acquisition, for purposes of determining compliance with any provision of this Agreement that requires that no Default, Event of Default or specified Event of Default, as applicable, has occurred, is continuing or would result from any such action, as applicable, such condition shall, at the option of the Borrower (with written notice of the exercise of such option being provided to the Administrative Agent not later than 5 Business Days after the date on which the definitive acquisition agreements for such Limited Condition Acquisition are entered into), be deemed satisfied, so long as no Default, Event of Default or specified Event of Default, as applicable, exists on the date on which the definitive acquisition agreements for such Limited Condition Acquisition are entered. For the avoidance of doubt, if the Borrower has exercised its option under the first sentence of this clause (a), and any Default, Event of Default or specified Event of Default occurs following the date on which the definitive acquisition agreements for the applicable Limited Condition Acquisition were entered into and prior to or on the date of the consummation of such Limited Condition Acquisition, any such Default, Event of Default or specified Event of Default shall be deemed to not have occurred or be continuing for purposes of determining whether any action being taken in connection with such Limited Condition Acquisition is permitted hereunder.</w:t>
      </w:r>
    </w:p>
    <w:p>
      <w:pPr>
        <w:spacing w:after="0" w:line="19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action being taken in connection with a Limited Condition Acquisition, for purposes of:</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86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compliance with any provision of this Agreement which requires the calculation of the Consolidated Leverage Ratio or the Consolidated Interest Coverage Ratio (other than the covenants set forth in Sections 7.11(a) and 7.11(b)); or</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72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baskets and thresholds set forth in this Agreement (including baskets and thresholds measured as a percentage of Consolidated Total Assets or Consolidated EBITDA);</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1" w:name="page102"/>
    <w:bookmarkEnd w:id="101"/>
    <w:p>
      <w:pPr>
        <w:jc w:val="both"/>
        <w:spacing w:after="0" w:line="252" w:lineRule="auto"/>
        <w:rPr>
          <w:sz w:val="20"/>
          <w:szCs w:val="20"/>
          <w:color w:val="auto"/>
        </w:rPr>
      </w:pPr>
      <w:r>
        <w:rPr>
          <w:rFonts w:ascii="Times New Roman" w:cs="Times New Roman" w:eastAsia="Times New Roman" w:hAnsi="Times New Roman"/>
          <w:sz w:val="18"/>
          <w:szCs w:val="18"/>
          <w:color w:val="auto"/>
        </w:rPr>
        <w:t>in each case, at the option of the Borrower (with written notice of the exercise of such option being provided to the Administrative Agent not later than 5 Business Days after the date on which the definitive acquisition agreements for such Limited Condition Acquisition are entered into) (the Borrower’s election to exercise such option in connection with any Limited Condition Acquisition, an “</w:t>
      </w:r>
      <w:r>
        <w:rPr>
          <w:rFonts w:ascii="Times New Roman" w:cs="Times New Roman" w:eastAsia="Times New Roman" w:hAnsi="Times New Roman"/>
          <w:sz w:val="18"/>
          <w:szCs w:val="18"/>
          <w:b w:val="1"/>
          <w:bCs w:val="1"/>
          <w:color w:val="auto"/>
        </w:rPr>
        <w:t>LCA Election</w:t>
      </w:r>
      <w:r>
        <w:rPr>
          <w:rFonts w:ascii="Times New Roman" w:cs="Times New Roman" w:eastAsia="Times New Roman" w:hAnsi="Times New Roman"/>
          <w:sz w:val="18"/>
          <w:szCs w:val="18"/>
          <w:color w:val="auto"/>
        </w:rPr>
        <w:t>”), the date of determination of whether any such action is permitted hereunder shall be deemed to be the date on which the definitive acquisition agreements for such Limited Condition Acquisition are entered into (the “</w:t>
      </w:r>
      <w:r>
        <w:rPr>
          <w:rFonts w:ascii="Times New Roman" w:cs="Times New Roman" w:eastAsia="Times New Roman" w:hAnsi="Times New Roman"/>
          <w:sz w:val="18"/>
          <w:szCs w:val="18"/>
          <w:b w:val="1"/>
          <w:bCs w:val="1"/>
          <w:color w:val="auto"/>
        </w:rPr>
        <w:t>LCA Test Date</w:t>
      </w:r>
      <w:r>
        <w:rPr>
          <w:rFonts w:ascii="Times New Roman" w:cs="Times New Roman" w:eastAsia="Times New Roman" w:hAnsi="Times New Roman"/>
          <w:sz w:val="18"/>
          <w:szCs w:val="18"/>
          <w:color w:val="auto"/>
        </w:rPr>
        <w:t>”), and if, after giving pro forma effect to the Limited Condition Acquisition and the other transactions to be entered into in connection therewith (including any incurrence of Indebtedness and the use of proceeds thereof) as if they had occurred at the beginning of the Measurement Period most recently ended on or prior to the applicable LCA Test Date, the Borrower could have taken such action on the relevant LCA Test Date in compliance with such ratio or basket, such ratio or basket shall be deemed to have been complied with. For the avoidance of doubt, if the Borrower has made an LCA Election and any of the ratios or baskets for which compliance was determined or tested as of the LCA Test Date are exceeded as a result of fluctuations in any such ratio or basket, including due to fluctuations in Consolidated EBITDA or Consolidated Total Assets of the Borrower or the Person subject to such Limited Condition Acquisition, on or prior to the date of consummation of the relevant transaction or action, such baskets or ratios will not be deemed to have been exceeded as a result of such fluctuations. If the Borrower has made an LCA Election for any Limited Condition Acquisition, then in connection with any subsequent calculation of any ratio or test with respect to the incurrence of Indebtedness or Liens, or the making of distributions or Restricted Payments, Investments, payments pursuant to Section 7.15, Dispositions, mergers, or Dispositions of all or substantially all of the assets of the Borrower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any such ratio or test shall be calculated on a pro forma basis assuming such Limited Condition Acquisition and other transactions in connection therewith (including any incurrence of Indebtedness and the use of proceeds thereof) have been consummated.</w:t>
      </w:r>
    </w:p>
    <w:p>
      <w:pPr>
        <w:spacing w:after="0" w:line="19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1.09.</w:t>
      </w:r>
      <w:r>
        <w:rPr>
          <w:sz w:val="20"/>
          <w:szCs w:val="20"/>
          <w:color w:val="auto"/>
        </w:rPr>
        <w:tab/>
      </w:r>
      <w:r>
        <w:rPr>
          <w:rFonts w:ascii="Times New Roman" w:cs="Times New Roman" w:eastAsia="Times New Roman" w:hAnsi="Times New Roman"/>
          <w:sz w:val="17"/>
          <w:szCs w:val="17"/>
          <w:i w:val="1"/>
          <w:iCs w:val="1"/>
          <w:color w:val="auto"/>
        </w:rPr>
        <w:t>Pro Forma and Other Calculations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4" w:lineRule="auto"/>
        <w:tabs>
          <w:tab w:leader="none" w:pos="15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financial ratios and tests (including measurements of Consolidated Total Assets or Consolidated EBITDA), including the Consolidated Leverage Ratio or the Consolidated Interest Coverage Ratio, shall be calculated in the manner prescribed by this Section 1.09;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clauses (b), (c) or (d) of this Section 1.09, when calculating the Consolidated Leverage Ratio for purposes of the definition of “Applicable Rate” and Section 7.11, the events described in this Section 1.09 that occurred subsequent to the end of the applicable Measurement Period shall not be given pro forma effect. In addition, subject to Section 1.08, whenever a financial ratio or test is to be calculated on a pro forma basis or requires pro forma compliance, the reference to “Measurement Period” for purposes of calculating such financial ratio or test shall be deemed to be a reference to, and shall be based on, the most recently ended Measurement Period for which financial statements have been delivered pursuant to Section 4.01 or Section 6.01(a) or 6.01(b).</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jc w:val="both"/>
        <w:ind w:firstLine="656"/>
        <w:spacing w:after="0" w:line="253" w:lineRule="auto"/>
        <w:tabs>
          <w:tab w:leader="none" w:pos="16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any financial ratio or test (including Consolidated Total Assets or Consolidated EBITDA), Specified Transactions (with any incurrence or Refinancing of any Indebtedness in connection therewith to be subject to clause (d) of this Section 1.09) that have been made (i) during the applicable Measurement Period or (ii) subsequent to such Measurement Period and prior to or simultaneously with the event for which the calculation of any such ratio is made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Measurement Period (or, in the case of Consolidated Total Assets or “unrestricted” cash and Cash Equivalents, on the last day of the applicable Measurement Period). If, since the beginning of any applicable Measurement Period, any Person that subsequently became a Subsidiary or was merged, amalgamated or consolidated with or into the Borrower or any Subsidiary since the beginning of such Measurement Period shall have made any Specified Transaction that would have required adjustment pursuant to this Section 1.09, then such financial ratio or test (including Consolidated Total Assets and Consolidated EBITDA) shall be calculated to give pro forma effect thereto in accordance with this Section 1.09.</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13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Borrower or any Subsidiary incurs (including by assumption or guarantee) or Refinances (including by redemption, repurchase, repayment, retirement or extinguishment) any Indebtedness, in each case included in the calculations of any financial ratio or test, (i) during the applicable Measurement Period or (ii) subsequent to the end of the applicable Measurement Period and prior to or simultaneously with the event for which the calculation of any such ratio is made, then such financial ratio or test shall be calculated giving pro forma effect to such incurrence or Refinancing of Indebtedness (including pro forma effect to the application of the net proceeds therefrom), in each case to the extent required, as if the same had occurred on the last day of the applicable Measurement Period (except in the case of the Consolidated Interest Coverage Ratio (or similar ratio), in which case such incurrence or Refinancing of Indebtedness will be given effect, as if the same had occurred on the first day of the applicable Measurement Period);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with respect to any incurrence of Indebtedness, creation of Lien, Investment or Restricted Payment permitted by the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in reliance on the pro forma calculation of the Consolidated Leverage Ratio and/or the Consolidated Interest Coverage Ratio, as applicable, pro forma effect shall not be given to any Indebtedness being incurred, Lien created or Investment or Restricted Payment made (or expected to be incurred, created or made) substantially simultaneously or contemporaneously with the incurrence of any such Indebtedness, creation of such Lien or making of such Investment or Restricted Payment, as applicable, in reliance on any “basket” set forth in this Agreement (including any “baskets” measured as a percentage of Consolidated Total Assets or Consolidated EBITDA) including any Credit Extension under the Revolving Credit Facility or, except to the extent expressly required to be calculated otherwise in Section 2.14, in respect of any Incremental Commitment.</w:t>
      </w:r>
    </w:p>
    <w:p>
      <w:pPr>
        <w:spacing w:after="0" w:line="197" w:lineRule="exact"/>
        <w:rPr>
          <w:rFonts w:ascii="Times New Roman" w:cs="Times New Roman" w:eastAsia="Times New Roman" w:hAnsi="Times New Roman"/>
          <w:sz w:val="18"/>
          <w:szCs w:val="18"/>
          <w:color w:val="auto"/>
        </w:rPr>
      </w:pPr>
    </w:p>
    <w:p>
      <w:pPr>
        <w:jc w:val="both"/>
        <w:ind w:firstLine="656"/>
        <w:spacing w:after="0" w:line="253" w:lineRule="auto"/>
        <w:tabs>
          <w:tab w:leader="none" w:pos="13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pro forma effect is to be given to a pro forma event, the pro forma calculations shall be made in good faith by a Responsible Officer of the Borrower. If any Indebtedness bears a floating rate of interest and is being given pro forma effect, the interest on such Indebtedness shall be calculated as if the rate in effect on the date of the event for which the calculation of the Consolidated Interest Coverage Ratio is made had been the applicable rate for the entire period (taking into account any interest Swap Contracts applicable to such Indebtedness). To the extent interest expense generated by Swap Obligations that have been terminated is included in Consolidated Interest Charges prior to the date of the event for which the calculation of the Consolidated Interest Coverage Ratio is being made, Consolidated Interest Charges shall be adjusted to exclude such expense. Interest on a Capitalized Lease shall be deemed to accrue at an interest rate reasonably determined by a Responsible Officer of the Borrower to be the rate of interest implicit in such Capitalized Lease in accordance with GAAP.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Borrower or applicable Subsidiary may designate. For purposes of making the computations referred to above, interest on any Indebtedness under a revolving credit facility computed on a pro forma basis shall be computed based upon the average daily balance of such Indebtedness during the applicable period or, if lower, the maximum commitments under such revolving credit facility as of the date of the event for which the calculation of the Consolidated Interest Coverage Ratio is being made, except as set forth in Section 1.09(c).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ind w:firstLine="656"/>
        <w:spacing w:after="0" w:line="282" w:lineRule="auto"/>
        <w:tabs>
          <w:tab w:leader="none" w:pos="14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pro forma calculation may include, without limitation, adjustments calculated in accordance with Regulation S-X under the Securities Act of 1933, as amended.</w:t>
      </w:r>
    </w:p>
    <w:p>
      <w:pPr>
        <w:spacing w:after="0" w:line="161" w:lineRule="exact"/>
        <w:rPr>
          <w:rFonts w:ascii="Times New Roman" w:cs="Times New Roman" w:eastAsia="Times New Roman" w:hAnsi="Times New Roman"/>
          <w:sz w:val="18"/>
          <w:szCs w:val="18"/>
          <w:color w:val="auto"/>
        </w:rPr>
      </w:pPr>
    </w:p>
    <w:p>
      <w:pPr>
        <w:jc w:val="both"/>
        <w:ind w:firstLine="656"/>
        <w:spacing w:after="0" w:line="251" w:lineRule="auto"/>
        <w:tabs>
          <w:tab w:leader="none" w:pos="15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at any time with Sections 2.14(a), 7.01, 7.02, 7.03, 7.05 and 7.06, in the event that any Indebtedness, Lien, Disposition, Restricted Payment, prepayment, redemption, purchase, defeasance or other satisfaction of Junior Financings and/or Investment, as applicable, meets the criteria of more than one of the categories of transactions or items permitted pursuant to any clause of such Sections 2.14(a), 7.01 (other than Section 7.01(a)), 7.02 (other than Section 7.02(c)), 7.03, 7.05 and 7.06, the Borrower, in its sole discretion, may, from time to time, divide, classify and/or reclassify such transaction or item (or portion thereof) among any combination of one or more categories and will be required to include the amount and type of such transaction (or portion thereof) only in any one category at any time. For the avoidance of doubt, it is understood and agreed that any Indebtedness, Lien, Disposition, Restricted Payment, prepayment, redemption, purchase, defeasance or other satisfaction of Junior Financings and/or Investment need not be permitted solely by reference to one category of permitted Indebtedness, Lien, Disposition, Restricted Payment, prepayment, redemption, purchase, defeasance or other satisfaction of Junior Financings and/or Investment under Sections 2.14(a), 7.01, 7.02, 7.03, 7.05 and 7.06, respectively, but may instead be permitted in part under any combination thereof. In addition, with respect to any amount incurred or transaction entered into (or consummated) in reliance on a provision of this Agreement that does not require compliance with a financial ratio or test (including, without limitation, Section 2.14(a)(A)) (any such amount, a “</w:t>
      </w:r>
      <w:r>
        <w:rPr>
          <w:rFonts w:ascii="Times New Roman" w:cs="Times New Roman" w:eastAsia="Times New Roman" w:hAnsi="Times New Roman"/>
          <w:sz w:val="18"/>
          <w:szCs w:val="18"/>
          <w:b w:val="1"/>
          <w:bCs w:val="1"/>
          <w:color w:val="auto"/>
        </w:rPr>
        <w:t>Fixed Amount</w:t>
      </w:r>
      <w:r>
        <w:rPr>
          <w:rFonts w:ascii="Times New Roman" w:cs="Times New Roman" w:eastAsia="Times New Roman" w:hAnsi="Times New Roman"/>
          <w:sz w:val="18"/>
          <w:szCs w:val="18"/>
          <w:color w:val="auto"/>
        </w:rPr>
        <w:t>”) substantially concurrently with, or prior to, any amount incurred or transaction entered into (or consummated) in reliance on a provision of this Agreement that requires compliance with a financial ratio or test (including, without limitation, Section 2.14(a)(B), any Interest Coverage Ratio test and/or any Consolidated Leverage Ratio test) (any such amount, an “</w:t>
      </w:r>
      <w:r>
        <w:rPr>
          <w:rFonts w:ascii="Times New Roman" w:cs="Times New Roman" w:eastAsia="Times New Roman" w:hAnsi="Times New Roman"/>
          <w:sz w:val="18"/>
          <w:szCs w:val="18"/>
          <w:b w:val="1"/>
          <w:bCs w:val="1"/>
          <w:color w:val="auto"/>
        </w:rPr>
        <w:t>Incurrence-Based Amount</w:t>
      </w:r>
      <w:r>
        <w:rPr>
          <w:rFonts w:ascii="Times New Roman" w:cs="Times New Roman" w:eastAsia="Times New Roman" w:hAnsi="Times New Roman"/>
          <w:sz w:val="18"/>
          <w:szCs w:val="18"/>
          <w:color w:val="auto"/>
        </w:rPr>
        <w:t>”), it is understood and agreed that the Borrower may select that amounts incurred or transactions entered into (or consummated)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incurred or entered into (or consummated) in reliance on one or more of any Incurrence-Based Amount and/or Fixed Amount in its sole discretion;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unless the Borrower elects otherwise, each such amount or transaction will be deemed incurred, entered into or consummated first under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Incurrence-Based Amount to the maximum extent permitted thereunder. In addition, any Indebtedness, Lien, Restricted Payment, prepayment, redemption, purchase, defeasance or other satisfaction of Junior Financings and/or Investment incurred or made in reliance on any Fixed Amount (including Section 2.14(a)(A)) will automatically be reclassified as having been incurred in reliance on any applicable Incurrence-Based Amount of the same negative covenant (including Section 2.14(a)(B)) if the Borrower satisfies the relevant ratio or test applicable to such Incurrence-Based Amount at any time on a pro forma basis for the most recently completed Measurement Period after the incurrence in reliance on the relevant Fixed Amount.</w:t>
      </w:r>
    </w:p>
    <w:p>
      <w:pPr>
        <w:spacing w:after="0" w:line="20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i w:val="1"/>
          <w:iCs w:val="1"/>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the Delaware Limited Liability Company Act: if any asset, right, obligation or liability of any Person becomes the asset, right, obligation or liability of a different Person, then it shall be deemed to have been transferred from the original Person to the subsequent Person, and if any new Person comes into existence, such new Person shall be deemed to have been organized and acquired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ommitments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xtensions</w:t>
      </w:r>
    </w:p>
    <w:p>
      <w:pPr>
        <w:spacing w:after="0" w:line="20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i w:val="1"/>
          <w:iCs w:val="1"/>
          <w:color w:val="auto"/>
        </w:rPr>
        <w:t>The Loans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61" w:lineRule="auto"/>
        <w:tabs>
          <w:tab w:leader="none" w:pos="138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Borrowings. Subject to the terms and conditions set forth herein, each Term Lender severally agrees to make a single loan to the Borrower in Dollars on the Closing Date in an amount not to exceed such Term Lender’s Term Commitment. The Term Borrowing shall consist of Term Loans made simultaneously by the Term Lenders in Dollars in accordance with their respective Term Commitments. Amounts borrowed under this Section 2.01(a) and repaid or prepaid may not be reborrowed. Term Loans may be Base Rate Loans or Term SOFR Loans, as further provided herein.</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39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Credit Borrowings. Subject to the terms and conditions set forth herein, each Revolving Credit Lender severally agrees to make loans (each such loan, a “</w:t>
      </w:r>
      <w:r>
        <w:rPr>
          <w:rFonts w:ascii="Times New Roman" w:cs="Times New Roman" w:eastAsia="Times New Roman" w:hAnsi="Times New Roman"/>
          <w:sz w:val="18"/>
          <w:szCs w:val="18"/>
          <w:b w:val="1"/>
          <w:bCs w:val="1"/>
          <w:color w:val="auto"/>
        </w:rPr>
        <w:t>Revolving Credit Loan</w:t>
      </w:r>
      <w:r>
        <w:rPr>
          <w:rFonts w:ascii="Times New Roman" w:cs="Times New Roman" w:eastAsia="Times New Roman" w:hAnsi="Times New Roman"/>
          <w:sz w:val="18"/>
          <w:szCs w:val="18"/>
          <w:color w:val="auto"/>
        </w:rPr>
        <w:t xml:space="preserve">”) in Dollars to the Borrower from time to time, on any Business Day during the Availability Period, in an aggregate amount not to exceed at any time outstanding the amount of such Lender’s Revolving Credit 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after giving effect to any Revolving Credit Borrowing, (i) the Total Revolving Credit Outstandings shall not exceed the Revolving Credit Facility, and (ii) the Revolving Credit Exposure of each Revolving Credit Lender shall not exceed such Revolving Credit Lender’s Revolving Credit Commitment. Within the limits of each Revolving Credit Lender’s Revolving Credit Commitment, and subject to the other terms and conditions hereof, the Borrower may borrow under this Section 2.01(b), prepay under Section 2.05, and reborrow under this Section 2.01(b). Revolving Credit Loans may be Base Rate Loans or Term SOFR Loans, as further provided herein. For the avoidance of doubt, Revolving Credit Loans shall be made only in Dollars.</w:t>
      </w:r>
    </w:p>
    <w:p>
      <w:pPr>
        <w:spacing w:after="0" w:line="19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i w:val="1"/>
          <w:iCs w:val="1"/>
          <w:color w:val="auto"/>
        </w:rPr>
        <w:t>Borrowings, Conversions and Continuations of Loans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1" w:lineRule="auto"/>
        <w:tabs>
          <w:tab w:leader="none" w:pos="13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Term Borrowing, each Revolving Credit Borrowing, each conversion of Term Loans or Revolving Credit Loans from one Type to the other, and each continuation of Term SOFR Loans shall be made upon the Borrower’s irrevocable notice to the Administrative Agent, which may be given by (A) telephone, or (B) a Committed Loan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telephone notice must be confirmed immediately by delivery to the Administrative Agent of a Committed Loan Notice. Each such Committed Loan Notice must be received by the Administrative Agent not later than (i) 12:00 p.m. three Business Days prior to the requested date of any Borrowing of, conversion to or continuation of Term SOFR Loans denominated in Dollars or of any conversion of Term SOFR Loans denominated in Dollars to Base Rate Loans, and (ii) 10:00 a.m. on the requested date of any Borrowing of Base Rate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Borrower wishes to request Term SOFR Loans having an Interest Period other than one, three or six months in duration as provided in the definition of “Interest Period,” the applicable notice must be received by the Administrative Agent not later than 12:00 p.m. four Business Days prior to the requested date of such Borrowing, conversion or continuation of Term SOFR Loans denominated in Dollars, whereupon the Administrative Agent shall give prompt notice to the Appropriate Lenders of such request and determine whether the requested Interest Period is acceptable to all of them. Not later than 12:00 p.m., three Business Days before the requested date of such Borrowing, conversion or continuation of Term SOFR Loans denominated in Dollars, the Administrative Agent shall notify the Borrower (which notice may be by telephone) whether or not the requested Interest Period has been consented to by all the Lenders. Each Borrowing of, conversion to or continuation of Term SOFR Loans shall be in a principal amount of $5,000,000 or a whole multiple of $1,000,000 in excess thereof. Except as provided in Sections 2.03(c) and 2.04(c), each Borrowing of or conversion to Base Rate Loans shall be in a principal amount of $500,000 or a whole multiple of $100,000 in excess thereof. Each Committed Loan Notice shall specify (i) whether the Borrower is requesting a Term Borrowing, a Revolving Credit Borrowing, a conversion of Term Loans or Revolving Credit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Term Loans or Revolving Credit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Term Loans or Revolving Credit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Committed Loan Notice, but fails to specify an Interest Period, it will be deemed to have specified an Interest Period of one month. Notwithstanding anything to the contrary herein, a Swing Line Loan may not be converted to a Term SOFR Loan.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jc w:val="both"/>
        <w:ind w:firstLine="656"/>
        <w:spacing w:after="0" w:line="253" w:lineRule="auto"/>
        <w:tabs>
          <w:tab w:leader="none" w:pos="15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a Committed Loan Notice, the Administrative Agent shall promptly notify each Lender of the amount of its Applicable Percentage under the applicable Facility of the applicable Term Loans or Revolving Credit Loans, and if no timely notice of a conversion or continuation is provided by the Borrower, the Administrative Agent shall notify each Lender of the details of any automatic conversion to Base Rate Loans as described in Section 2.02(a). In the case of a Term Borrowing or a Revolving Credit Borrowing, each Appropriate Lender shall make the amount of its Loan available to the Administrative Agent in Same Day Funds at the Administrative Agent’s Office not later than 1:00 p.m. on the Business Day specified in the applicable Committed Loan Notice. Upon satisfaction of the applicable conditions set forth in Section 4.02 (and, if such Borrowing is the initial Credit Extension, Section 4.01),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provided, however, that if, on the date a Committed Loan Notice with respect to a Revolving Credit Borrowing is given by the Borrower, there are L/C Borrowings outstanding, then the proceeds of such Revolving Credit Borrowing, first, shall be applied to the payment in full of any such L/C Borrowings, and second, shall be made available to the Borrower as provided above.</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Term SOFR Loan may be continued or converted only on the last day of an Interest Period for such Term SOFR Loan. At the request of the Required Lenders, during the existence of a Default, no Loans may be requested as, converted to or continued as Term SOFR Loans without the consent of the Required Lenders.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and the Lenders of the interest rate applicable to any Interest Period for Term SOFR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Term Borrowings, all conversions of Term Loans from one Type to the other, and all continuations of Term Loans as the same Type, there shall not be more than eight Interest Periods in effect in respect of the Term Facility. After giving effect to all Revolving Credit Borrowings, all conversions of Revolving Credit Loans from one Type to the other, and all continuations of Revolving Credit Loans as the same Type, there shall not be more than eight Interest Periods in effect in respect of the Revolving Credit Facility.</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post each such amendment implementing such Conforming Changes to the Borrower and the Lenders reasonably promptly after such amendment becomes effective.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i w:val="1"/>
          <w:iCs w:val="1"/>
          <w:color w:val="auto"/>
        </w:rPr>
        <w:t>Letters of Credit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3" w:lineRule="auto"/>
        <w:tabs>
          <w:tab w:leader="none" w:pos="143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Letter of Credit Commitment</w:t>
      </w:r>
      <w:r>
        <w:rPr>
          <w:rFonts w:ascii="Times New Roman" w:cs="Times New Roman" w:eastAsia="Times New Roman" w:hAnsi="Times New Roman"/>
          <w:sz w:val="18"/>
          <w:szCs w:val="18"/>
          <w:color w:val="auto"/>
        </w:rPr>
        <w:t>. (i) Subject to the terms and conditions set forth herein, the L/C Issuer agrees, in reliance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agreements of the Revolving Credit Lenders set forth in this Section 2.03, (1) from time to time on any Business Day during the period from the Closing Date until the Letter of Credit Expiration Date, to issue Letters of Credit in Dollars for the account of the Borrower or its Subsidiaries, and to amend or extend Letters of Credit previously issued by it, in accordance with Section 2.03(b), and (2) to honor drawings under the Letters of Credit; and the Revolving Credit Lenders severally agree to participate in Letters of Credit issued for the account of the Borrower or its Subsidiaries and any drawings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any L/C Credit Extension with respect to any Letter of Credit, (x) the Total Revolving Credit Outstandings shall not exceed the Revolving Credit Facility, (y) the Revolving Credit Exposure of any Lender shall not exceed such Lender’s Revolving Credit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89"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issue any Letter of Credit if:</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726"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2.03(b)(iii), the expiry date of the requested Letter of Credit would occur more than twelve months after the date of issuance or last extension, unless the Required Revolving Lenders have approved such expiry date; or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45"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 of the requested Letter of Credit would occur after the Letter of Credit Expiration Date, unless (x) all the Revolving Credit Lenders and the L/C Issuer have approved such expiry date or (y) such Letter of Credit is cash collateralized on terms and pursuant to arrangements reasonably satisfactory to the L/C Issuer.</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be under any obligation to issue any Letter of Credit if:</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7" w:name="page108"/>
    <w:bookmarkEnd w:id="107"/>
    <w:p>
      <w:pPr>
        <w:jc w:val="both"/>
        <w:ind w:left="180" w:firstLine="652"/>
        <w:spacing w:after="0" w:line="255" w:lineRule="auto"/>
        <w:tabs>
          <w:tab w:leader="none" w:pos="173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88" w:lineRule="exact"/>
        <w:rPr>
          <w:rFonts w:ascii="Times New Roman" w:cs="Times New Roman" w:eastAsia="Times New Roman" w:hAnsi="Times New Roman"/>
          <w:sz w:val="18"/>
          <w:szCs w:val="18"/>
          <w:color w:val="auto"/>
        </w:rPr>
      </w:pPr>
    </w:p>
    <w:p>
      <w:pPr>
        <w:ind w:left="1580" w:hanging="748"/>
        <w:spacing w:after="0"/>
        <w:tabs>
          <w:tab w:leader="none" w:pos="15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the L/C Issuer applicable to letters of credit</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w:t>
      </w:r>
    </w:p>
    <w:p>
      <w:pPr>
        <w:spacing w:after="0" w:line="206" w:lineRule="exact"/>
        <w:rPr>
          <w:rFonts w:ascii="Times New Roman" w:cs="Times New Roman" w:eastAsia="Times New Roman" w:hAnsi="Times New Roman"/>
          <w:sz w:val="18"/>
          <w:szCs w:val="18"/>
          <w:color w:val="auto"/>
        </w:rPr>
      </w:pPr>
    </w:p>
    <w:p>
      <w:pPr>
        <w:ind w:left="180" w:firstLine="652"/>
        <w:spacing w:after="0" w:line="282" w:lineRule="auto"/>
        <w:tabs>
          <w:tab w:leader="none" w:pos="163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the L/C Issuer, the Letter of Credit is in an initial stated amount less than $100,000;</w:t>
      </w:r>
    </w:p>
    <w:p>
      <w:pPr>
        <w:spacing w:after="0" w:line="161" w:lineRule="exact"/>
        <w:rPr>
          <w:rFonts w:ascii="Times New Roman" w:cs="Times New Roman" w:eastAsia="Times New Roman" w:hAnsi="Times New Roman"/>
          <w:sz w:val="18"/>
          <w:szCs w:val="18"/>
          <w:color w:val="auto"/>
        </w:rPr>
      </w:pPr>
    </w:p>
    <w:p>
      <w:pPr>
        <w:ind w:left="1580" w:hanging="748"/>
        <w:spacing w:after="0"/>
        <w:tabs>
          <w:tab w:leader="none" w:pos="15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is to be denominated in a currency other than Dollars;</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71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Revolving Credit Lender is at that time a Defaulting Lender and there is any Fronting Exposure (after giving effect to any reallocation pursuant to Section 2.16(a)(iv)) with respect to such Defaulting Lender, unless the L/C Issuer has entered into arrangements, including the delivery of Cash Collateral, satisfactory to the L/C Issuer (in its sole discretion) with the Borrower or such Defaulting Lender to eliminate the L/C Issuer’s Fronting Exposure (after giving effect to any reallocation pursuant to Section 2.16(a)(iv)) with respect to the Defaulting Lender arising from either the Letter of Credit then proposed to be issued or that Letter of Credit and all other L/C Obligations as to which the L/C Issuer has actual Fronting Exposure; or</w:t>
      </w:r>
    </w:p>
    <w:p>
      <w:pPr>
        <w:spacing w:after="0" w:line="187" w:lineRule="exact"/>
        <w:rPr>
          <w:rFonts w:ascii="Times New Roman" w:cs="Times New Roman" w:eastAsia="Times New Roman" w:hAnsi="Times New Roman"/>
          <w:sz w:val="18"/>
          <w:szCs w:val="18"/>
          <w:color w:val="auto"/>
        </w:rPr>
      </w:pPr>
    </w:p>
    <w:p>
      <w:pPr>
        <w:ind w:left="1740" w:hanging="908"/>
        <w:spacing w:after="0"/>
        <w:tabs>
          <w:tab w:leader="none" w:pos="17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contains any provisions for automatic reinstatement of the stated amount after any drawing</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9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amend any Letter of Credit if the L/C Issuer would not be permitted at such time to issue such Letter of Credit in its amended form under the terms hereof.</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00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be under no obligation to amend any Letter of Credit if (A) the L/C Issuer would have no obligation at such time to issue such Letter of Credit in its amended form under the terms hereof, or (B) the beneficiary of the Letter of Credit does not accept the proposed amendment to such Letter of Credit.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8" w:name="page109"/>
    <w:bookmarkEnd w:id="108"/>
    <w:p>
      <w:pPr>
        <w:jc w:val="both"/>
        <w:ind w:left="4" w:firstLine="644"/>
        <w:spacing w:after="0" w:line="258" w:lineRule="auto"/>
        <w:tabs>
          <w:tab w:leader="none" w:pos="14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act on behalf of the Revolving Credit Lenders with respect to any Letters of Credit issued by it and the documents associated therewith, and the L/C Issuer shall have all of the benefits and immunities (A) provided to the Administrative Agent in Article 9 with respect to any acts taken or omissions suffered by the L/C Issuer in connection with Letters of Credit issued by it or proposed to be issued by it and Issuer Documents pertaining to such Letters of Credit as fully as if the term “Administrative Agent” as used in Article 9 included the L/C Issuer with respect to such acts or omissions, and (B) as additionally provided herein with respect to the L/C Issuer.</w:t>
      </w:r>
    </w:p>
    <w:p>
      <w:pPr>
        <w:spacing w:after="0" w:line="183" w:lineRule="exact"/>
        <w:rPr>
          <w:rFonts w:ascii="Times New Roman" w:cs="Times New Roman" w:eastAsia="Times New Roman" w:hAnsi="Times New Roman"/>
          <w:sz w:val="18"/>
          <w:szCs w:val="18"/>
          <w:color w:val="auto"/>
        </w:rPr>
      </w:pPr>
    </w:p>
    <w:p>
      <w:pPr>
        <w:ind w:left="704" w:hanging="704"/>
        <w:spacing w:after="0"/>
        <w:tabs>
          <w:tab w:leader="none" w:pos="7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for Issuance and Amendment of Letters of Credit; Auto-Extension Letters of Credit.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143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11:00 a.m.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reasonably require. In the case of a request for an amendment of any outstanding Letter of Credit, such Letter of Credit Application shall specify in form and detail satisfactory to the L/C Issuer (1) the Letter of Credit to be amended; (2) the proposed date of amendment thereof (which shall be a Business Day); (3) the nature of the proposed amendment; and (4) such other matters as the L/C Issuer may reasonably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09" w:name="page110"/>
    <w:bookmarkEnd w:id="109"/>
    <w:p>
      <w:pPr>
        <w:jc w:val="both"/>
        <w:ind w:left="-460" w:firstLine="644"/>
        <w:spacing w:after="0" w:line="253" w:lineRule="auto"/>
        <w:tabs>
          <w:tab w:leader="none" w:pos="10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Article 4 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Revolving Credit Lender shall be deemed to, and hereby irrevocably and unconditionally agrees to, purchase from the L/C Issuer a risk participation in such Letter of Credit in an amount equal to the product of such Revolving Credit Lender’s Applicable Revolving Credit Percentage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the amount of such Letter of Credit.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02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so requests in any applicable Letter of Credit Application, the L/C Issuer may, in its sole discretion, agree to issue a Letter of Credit that has automatic extension provisions (each, an “</w:t>
      </w:r>
      <w:r>
        <w:rPr>
          <w:rFonts w:ascii="Times New Roman" w:cs="Times New Roman" w:eastAsia="Times New Roman" w:hAnsi="Times New Roman"/>
          <w:sz w:val="18"/>
          <w:szCs w:val="18"/>
          <w:b w:val="1"/>
          <w:bCs w:val="1"/>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b w:val="1"/>
          <w:bCs w:val="1"/>
          <w:color w:val="auto"/>
        </w:rPr>
        <w:t>Non-Extension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in each such twelve-month period to be agreed upon at the time such Letter of Credit is issued. Unless otherwise directed by the 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Issuer, the Borrower shall not be required to make a specific request to the L/C Issuer for any such extension. Once an Auto-Extension Letter of Credit has been issued, the Revolving Credit Lenders shall be deemed to have authorized (but may not require) the L/C Issuer to permit the extension of such Letter of Credit at any time to an expiry date not later than the Letter of Credit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Section 2.03(a) or otherwise), or (B) it has received notice (which may be by telephone or in writing) on or before the day that is seven Business Days before the Non-Extension Notice Date (1) from the Administrative Agent that the Required Revolving Lenders have elected not to permit such extension or (2) from the Administrative Agent, any Revolving Credit Lender or the Borrower that one or more of the applicable conditions specified in Section 4.02 is not then satisfied, and in each such case directing the L/C Issuer not to permit such extension.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0" w:name="page111"/>
    <w:bookmarkEnd w:id="110"/>
    <w:p>
      <w:pPr>
        <w:jc w:val="both"/>
        <w:ind w:left="4" w:firstLine="644"/>
        <w:spacing w:after="0" w:line="253" w:lineRule="auto"/>
        <w:tabs>
          <w:tab w:leader="none" w:pos="141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so requests in any applicable Letter of Credit Application, the L/C Issuer may, in its discretion, agree to issue a Letter of Credit that permits the automatic reinstatement of all or a portion of the stated amount thereof after any drawing thereunder (each, an “</w:t>
      </w:r>
      <w:r>
        <w:rPr>
          <w:rFonts w:ascii="Times New Roman" w:cs="Times New Roman" w:eastAsia="Times New Roman" w:hAnsi="Times New Roman"/>
          <w:sz w:val="18"/>
          <w:szCs w:val="18"/>
          <w:b w:val="1"/>
          <w:bCs w:val="1"/>
          <w:color w:val="auto"/>
        </w:rPr>
        <w:t>Auto-Reinstatement Letter of Credit</w:t>
      </w:r>
      <w:r>
        <w:rPr>
          <w:rFonts w:ascii="Times New Roman" w:cs="Times New Roman" w:eastAsia="Times New Roman" w:hAnsi="Times New Roman"/>
          <w:sz w:val="18"/>
          <w:szCs w:val="18"/>
          <w:color w:val="auto"/>
        </w:rPr>
        <w:t>”). Unless otherwise directed by the L/C Issuer, the Borrower shall not be required to make a specific request to the L/C Issuer to permit such reinstatement. Once an Auto-Reinstatement Letter of Credit has been issued, except as provided in the following sentence, the Revolving Credit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Times New Roman" w:cs="Times New Roman" w:eastAsia="Times New Roman" w:hAnsi="Times New Roman"/>
          <w:sz w:val="18"/>
          <w:szCs w:val="18"/>
          <w:b w:val="1"/>
          <w:bCs w:val="1"/>
          <w:color w:val="auto"/>
        </w:rPr>
        <w:t>Non-Reinstatement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the L/C Issuer shall not permit such reinstatement if it has received a notice (which may be by telephone or in writing) on or before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day that is seven Business Days before the Non-Reinstatement Deadline (A) from the Administrative Agent that the Required Revolving Lenders have elected not to permit such reinstatement or (B) from the Administrative Agent, any Lender or the Borrower that one or more of the applicable conditions specified in Section 4.02 is not then satisfied (treating such reinstatement as an L/C Credit Extension for purposes of this clause) and, in each case, directing the L/C Issuer not to permit such reinstatement.</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50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175" w:lineRule="exact"/>
        <w:rPr>
          <w:rFonts w:ascii="Times New Roman" w:cs="Times New Roman" w:eastAsia="Times New Roman" w:hAnsi="Times New Roman"/>
          <w:sz w:val="18"/>
          <w:szCs w:val="18"/>
          <w:color w:val="auto"/>
        </w:rPr>
      </w:pPr>
    </w:p>
    <w:p>
      <w:pPr>
        <w:ind w:left="704" w:hanging="704"/>
        <w:spacing w:after="0"/>
        <w:tabs>
          <w:tab w:leader="none" w:pos="7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Drawings and Reimbursements; Funding of Participations.</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135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a drawing under such Letter of Credit, the L/C Issuer shall notify the Borrower and the Administrative Agent thereof. The Borrower shall reimburse the L/C Issuer through the Administrative Agent in an amount equal to the amount of such drawing (A) within one Business Day of the date of such drawing, if the L/C Issuer provides notice to the Borrower of such drawing prior to 11:00 a.m. (New York City time) on such next succeeding Business Day after the date of such drawing or (B) if such notice is received after such time, on the next Business Day following the date of receipt of such notice (each such required date for reimbursement under clause (A) or (B), as applicable, an “</w:t>
      </w:r>
      <w:r>
        <w:rPr>
          <w:rFonts w:ascii="Times New Roman" w:cs="Times New Roman" w:eastAsia="Times New Roman" w:hAnsi="Times New Roman"/>
          <w:sz w:val="18"/>
          <w:szCs w:val="18"/>
          <w:b w:val="1"/>
          <w:bCs w:val="1"/>
          <w:color w:val="auto"/>
        </w:rPr>
        <w:t>Honor Date</w:t>
      </w:r>
      <w:r>
        <w:rPr>
          <w:rFonts w:ascii="Times New Roman" w:cs="Times New Roman" w:eastAsia="Times New Roman" w:hAnsi="Times New Roman"/>
          <w:sz w:val="18"/>
          <w:szCs w:val="18"/>
          <w:color w:val="auto"/>
        </w:rPr>
        <w:t>”). If the Borrower fails to so reimburse the L/C Issuer by such time, the Administrative Agent shall promptly notify each Revolving Credit Lender of the Honor Date, the amount of the unreimbursed drawing (the “</w:t>
      </w:r>
      <w:r>
        <w:rPr>
          <w:rFonts w:ascii="Times New Roman" w:cs="Times New Roman" w:eastAsia="Times New Roman" w:hAnsi="Times New Roman"/>
          <w:sz w:val="18"/>
          <w:szCs w:val="18"/>
          <w:b w:val="1"/>
          <w:bCs w:val="1"/>
          <w:color w:val="auto"/>
        </w:rPr>
        <w:t>Unreimbursed Amount</w:t>
      </w:r>
      <w:r>
        <w:rPr>
          <w:rFonts w:ascii="Times New Roman" w:cs="Times New Roman" w:eastAsia="Times New Roman" w:hAnsi="Times New Roman"/>
          <w:sz w:val="18"/>
          <w:szCs w:val="18"/>
          <w:color w:val="auto"/>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Section 2.02 for the principal amount of Base Rate Loans, but subject to the amount of the unutilized portion of the Revolving Credit Commitments and the conditions set forth in Section 4.02 (other than the delivery of a Committed Loan Notice). Any notice given by the L/C Issuer or the Administrative Agent pursuant to this Section 2.03(c)(i) may be given by telephone if immediately confirmed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11" w:name="page112"/>
    <w:bookmarkEnd w:id="111"/>
    <w:p>
      <w:pPr>
        <w:jc w:val="both"/>
        <w:ind w:left="-460" w:firstLine="644"/>
        <w:spacing w:after="0" w:line="256" w:lineRule="auto"/>
        <w:tabs>
          <w:tab w:leader="none" w:pos="13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Credit Lender shall upon any notice pursuant to Section 2.03(c)(i) make funds available (and the Administrative Agent may apply Cash Collateral provided for this purpose) for the account of the L/C Issuer, in Dollars, at the Administrative Agent’s Office for Dollar-denominated payments in an amount equal to its Applicable Revolving Credit Percentage of the Unreimbursed Amount not later than 1:00 p.m. on the Business Day specified in such notice by the Administrative Agent, whereupon, subject to the provisions of Section 2.03(c)(iii), each Revolving Credit Lender that so makes funds available shall be deemed to have made a Revolving Credit Loan that is a Base Rate Loan to the Borrower in such amount. The Administrative Agent shall remit the funds so received to the L/C Issuer.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0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Unreimbursed Amount that is not fully refinanced by a Revolving Credit Borrowing of Base Rate Loans because the conditions set forth in Section 4.02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L/C Issuer pursuant to Section 2.03(c)(ii) shall be deemed payment in respect of its participation in such L/C Borrowing and shall constitute an L/C Advance from such Lender in satisfaction of its participation obligation under this Section 2.03</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1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each Revolving Credit Lender funds its Revolving Credit Loan or L/C Advance pursuant to this Section 2.03(c) to reimburse the L/C Issuer for any amount drawn under any Letter of Credit, interest in respect of such Lender’s Applicable Revolving Credit Percentage of such amount shall be solely for the account of the L/C Issuer.</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6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Credit Lender’s obligation to make Revolving Credit Loans or L/C Advances to reimburse the L/C Issuer for amounts drawn under Letters of Credit, as contemplated by this Section 2.03(c), shall be absolute and unconditional and shall not be affected by any circumstance, including (A) any setoff, counterclaim, recoupment, defense or other right which such Lender may have against the L/C Issuer,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Revolving Credit Lender’s obligation to make Revolving Credit Loans pursuant to this Section 2.03(c) is subject to the conditions set forth in Section 4.02 (other than delivery by the Borrower of a Committed Loan Notice ). No such making of an L/C Advance shall relieve or otherwise impair the obligation of the Borrower to reimburse the L/C Issuer for the amount of any payment made by the L/C Issuer under any Letter of Credit, together with interest as provided herein.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2" w:name="page113"/>
    <w:bookmarkEnd w:id="112"/>
    <w:p>
      <w:pPr>
        <w:jc w:val="both"/>
        <w:ind w:left="660" w:firstLine="644"/>
        <w:spacing w:after="0" w:line="253" w:lineRule="auto"/>
        <w:tabs>
          <w:tab w:leader="none" w:pos="223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Revolving Credit Lender fails to make available to the Administrative Agent for the account of the L/C Issuer any amount required to be paid by such Lender pursuant to the foregoing provisions of this Section 2.03(c) by the time specified in Section 2.03(c)(ii),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 be. A certificate of the L/C Issuer submitted to any Revolving Credit Lender (through the Administrative Agent) with respect to any amounts owing under this clause (vi) shall be conclusive absent manifest error.</w:t>
      </w:r>
    </w:p>
    <w:p>
      <w:pPr>
        <w:spacing w:after="0" w:line="194"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Participations.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7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L/C Issuer has made a payment under any Letter of Credit and has received from any Revolving Credit Lender such Lender’s L/C Advance in respect of such payment in accordance with Section 2.03(c),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Revolving Credit Percentage thereof in Dollars and in the same funds as those received by the Administrative Agent.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2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received by the Administrative Agent for the account of the L/C Issuer pursuant to Section 2.03(c)(i) is required to be returned under any of the circumstances described in Section 11.05 (including pursuant to any settlement entered into by the L/C Issuer in its discretion), each Revolving Credit Lender shall pay to the Administrative Agent for the account of the L/C Issuer its Applicable Revolving Credit Percentage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Loan Document Obligations and the termination of this Agreement.</w:t>
      </w:r>
    </w:p>
    <w:p>
      <w:pPr>
        <w:spacing w:after="0" w:line="185" w:lineRule="exact"/>
        <w:rPr>
          <w:rFonts w:ascii="Times New Roman" w:cs="Times New Roman" w:eastAsia="Times New Roman" w:hAnsi="Times New Roman"/>
          <w:sz w:val="18"/>
          <w:szCs w:val="18"/>
          <w:color w:val="auto"/>
        </w:rPr>
      </w:pPr>
    </w:p>
    <w:p>
      <w:pPr>
        <w:jc w:val="both"/>
        <w:ind w:firstLine="656"/>
        <w:spacing w:after="0" w:line="267" w:lineRule="auto"/>
        <w:tabs>
          <w:tab w:leader="none" w:pos="141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Obligations Absolute</w:t>
      </w:r>
      <w:r>
        <w:rPr>
          <w:rFonts w:ascii="Times New Roman" w:cs="Times New Roman" w:eastAsia="Times New Roman" w:hAnsi="Times New Roman"/>
          <w:sz w:val="18"/>
          <w:szCs w:val="18"/>
          <w:color w:val="auto"/>
        </w:rPr>
        <w:t>. The obligation of the Borrower to reimburse the L/C Issuer for each drawing under each Letter of Credit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 each L/C Borrowing shall be absolute, unconditional and irrevocable, and shall be paid strictly in accordance with the terms of this Agreement under all circumstances,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ind w:left="1960" w:hanging="656"/>
        <w:spacing w:after="0"/>
        <w:tabs>
          <w:tab w:leader="none" w:pos="1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this Agreement, or any other Loan Document;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1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by the L/C Issuer of any requirement that exists for the L/C Issuer’s protection and not the protection of the Borrower or any waiver by the L/C Issuer which does not in fact materially prejudice the Borrower;</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of a demand for payment presented electronically even if such Letter of Credit requires that demand be in the form of a</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26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81" w:lineRule="auto"/>
        <w:tabs>
          <w:tab w:leader="none" w:pos="22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64" w:lineRule="exact"/>
        <w:rPr>
          <w:rFonts w:ascii="Times New Roman" w:cs="Times New Roman" w:eastAsia="Times New Roman" w:hAnsi="Times New Roman"/>
          <w:sz w:val="17"/>
          <w:szCs w:val="17"/>
          <w:color w:val="auto"/>
        </w:rPr>
      </w:pPr>
    </w:p>
    <w:p>
      <w:pPr>
        <w:ind w:left="660" w:right="20" w:firstLine="644"/>
        <w:spacing w:after="0" w:line="282" w:lineRule="auto"/>
        <w:tabs>
          <w:tab w:leader="none" w:pos="243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the Borrower or any of its Subsidiaries.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both"/>
        <w:ind w:firstLine="656"/>
        <w:spacing w:after="0" w:line="252" w:lineRule="auto"/>
        <w:tabs>
          <w:tab w:leader="none" w:pos="14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Role of L/C Issuer</w:t>
      </w:r>
      <w:r>
        <w:rPr>
          <w:rFonts w:ascii="Times New Roman" w:cs="Times New Roman" w:eastAsia="Times New Roman" w:hAnsi="Times New Roman"/>
          <w:sz w:val="18"/>
          <w:szCs w:val="18"/>
          <w:color w:val="auto"/>
        </w:rPr>
        <w:t>. Each Lender and the Borrower agree that, in paying any drawing under a Letter of Credit, the L/C Issuer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Revolving Credit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assumption is not intended to, and shall not, preclude the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(viii) of Section 2.03(e);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anything in such clauses to the contrary notwithstanding, the Borrower may have a claim against the L/C Issuer, and the L/C Issuer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18"/>
          <w:szCs w:val="18"/>
          <w:b w:val="1"/>
          <w:bCs w:val="1"/>
          <w:color w:val="auto"/>
        </w:rPr>
        <w:t>SWIFT</w:t>
      </w:r>
      <w:r>
        <w:rPr>
          <w:rFonts w:ascii="Times New Roman" w:cs="Times New Roman" w:eastAsia="Times New Roman" w:hAnsi="Times New Roman"/>
          <w:sz w:val="18"/>
          <w:szCs w:val="18"/>
          <w:color w:val="auto"/>
        </w:rPr>
        <w:t>”) message or overnight courier, or any other commercially reasonable means of communicating with a beneficiary.</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Applicability of ISP</w:t>
      </w:r>
      <w:r>
        <w:rPr>
          <w:rFonts w:ascii="Times New Roman" w:cs="Times New Roman" w:eastAsia="Times New Roman" w:hAnsi="Times New Roman"/>
          <w:sz w:val="18"/>
          <w:szCs w:val="18"/>
          <w:color w:val="auto"/>
        </w:rPr>
        <w:t>. Unless otherwise expressly agreed by the L/C Issuer and the Borrower when a Letter of Credit is issued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such agreement applicable to an Existing Letter of Credit), the rules of the ISP shall apply to each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5" w:name="page116"/>
    <w:bookmarkEnd w:id="115"/>
    <w:p>
      <w:pPr>
        <w:jc w:val="both"/>
        <w:ind w:firstLine="656"/>
        <w:spacing w:after="0" w:line="254" w:lineRule="auto"/>
        <w:tabs>
          <w:tab w:leader="none" w:pos="160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Letter of Credit Fees</w:t>
      </w:r>
      <w:r>
        <w:rPr>
          <w:rFonts w:ascii="Times New Roman" w:cs="Times New Roman" w:eastAsia="Times New Roman" w:hAnsi="Times New Roman"/>
          <w:sz w:val="18"/>
          <w:szCs w:val="18"/>
          <w:color w:val="auto"/>
        </w:rPr>
        <w:t>. The Borrower shall pay to the Administrative Agent for the account of each Revolving Credit Lender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its Applicable Revolving Credit Percentage a Letter of Credit fee (the “</w:t>
      </w:r>
      <w:r>
        <w:rPr>
          <w:rFonts w:ascii="Times New Roman" w:cs="Times New Roman" w:eastAsia="Times New Roman" w:hAnsi="Times New Roman"/>
          <w:sz w:val="18"/>
          <w:szCs w:val="18"/>
          <w:b w:val="1"/>
          <w:bCs w:val="1"/>
          <w:color w:val="auto"/>
        </w:rPr>
        <w:t>Letter of Credit Fee</w:t>
      </w:r>
      <w:r>
        <w:rPr>
          <w:rFonts w:ascii="Times New Roman" w:cs="Times New Roman" w:eastAsia="Times New Roman" w:hAnsi="Times New Roman"/>
          <w:sz w:val="18"/>
          <w:szCs w:val="18"/>
          <w:color w:val="auto"/>
        </w:rPr>
        <w:t>”) for each Letter of Credit equal to the Applicable Rate for Revolving Credit Loans that are Term SOFR Loans times the daily amount available to be drawn under such Letter of Credit. For purposes of computing the daily amount available to be drawn under any Letter of Credit, the amount of such Letter of Credit shall be determined in accordance with Section 1.06. Letter of Credit Fees shall be (i) due and payable on the first Business Day after the end of each March, June, September and December, commencing with the first such date to occur after the issuance of such Letter of Credit and on the Letter of Credit Expiration Date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Fronting Fee and Documentary and Processing Charges Payable to L/C Issuer</w:t>
      </w:r>
      <w:r>
        <w:rPr>
          <w:rFonts w:ascii="Times New Roman" w:cs="Times New Roman" w:eastAsia="Times New Roman" w:hAnsi="Times New Roman"/>
          <w:sz w:val="18"/>
          <w:szCs w:val="18"/>
          <w:color w:val="auto"/>
        </w:rPr>
        <w:t>. The Borrower shall pay directly to the L/C Issuer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account a fronting fee with respect to each Letter of Credit, at the rate per annum equal to 0.125%,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and on the Letter of Credit Expiration Date. For purposes of computing the daily amount available to be drawn under any Letter of Credit, the amount of such Letter of Credit shall be determined in accordance with Section 1.06.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88" w:lineRule="exact"/>
        <w:rPr>
          <w:rFonts w:ascii="Times New Roman" w:cs="Times New Roman" w:eastAsia="Times New Roman" w:hAnsi="Times New Roman"/>
          <w:sz w:val="18"/>
          <w:szCs w:val="18"/>
          <w:color w:val="auto"/>
        </w:rPr>
      </w:pPr>
    </w:p>
    <w:p>
      <w:pPr>
        <w:ind w:firstLine="656"/>
        <w:spacing w:after="0" w:line="284" w:lineRule="auto"/>
        <w:tabs>
          <w:tab w:leader="none" w:pos="136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Conflict with Issuer Documents</w:t>
      </w:r>
      <w:r>
        <w:rPr>
          <w:rFonts w:ascii="Times New Roman" w:cs="Times New Roman" w:eastAsia="Times New Roman" w:hAnsi="Times New Roman"/>
          <w:sz w:val="18"/>
          <w:szCs w:val="18"/>
          <w:color w:val="auto"/>
        </w:rPr>
        <w:t>. In the event of any conflict between the terms hereof and the terms of any Issuer Document,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shall control.</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144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Letters of Credit Issued for Subsidiaries</w:t>
      </w:r>
      <w:r>
        <w:rPr>
          <w:rFonts w:ascii="Times New Roman" w:cs="Times New Roman" w:eastAsia="Times New Roman" w:hAnsi="Times New Roman"/>
          <w:sz w:val="18"/>
          <w:szCs w:val="18"/>
          <w:color w:val="auto"/>
        </w:rPr>
        <w:t>. Notwithstanding that a Letter of Credit issued or outstanding hereunder is in support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or is for the account of, a Subsidiary, the Borrower shall be obligated to reimburse the L/C Issuer hereunder for any and all drawings under such Letter of Credit. The Borrower hereby acknowledges that the issuance of Letters of Credit for the account of the Subsidiaries inures to the benefit of the Borrower, and that the Borrower’s business derives substantial benefits from the businesses of such Subsidiaries.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6" w:name="page117"/>
    <w:bookmarkEnd w:id="116"/>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i w:val="1"/>
          <w:iCs w:val="1"/>
          <w:color w:val="auto"/>
        </w:rPr>
        <w:t>Swing Line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3" w:lineRule="auto"/>
        <w:tabs>
          <w:tab w:leader="none" w:pos="14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Swing Line</w:t>
      </w:r>
      <w:r>
        <w:rPr>
          <w:rFonts w:ascii="Times New Roman" w:cs="Times New Roman" w:eastAsia="Times New Roman" w:hAnsi="Times New Roman"/>
          <w:sz w:val="18"/>
          <w:szCs w:val="18"/>
          <w:color w:val="auto"/>
        </w:rPr>
        <w:t>. Subject to the terms and conditions set forth herein, the Swing Line Lender, in reliance upon the agreements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Lenders set forth in this Section 2.04, may in its sole discretion make loans (each such loan, a “</w:t>
      </w:r>
      <w:r>
        <w:rPr>
          <w:rFonts w:ascii="Times New Roman" w:cs="Times New Roman" w:eastAsia="Times New Roman" w:hAnsi="Times New Roman"/>
          <w:sz w:val="18"/>
          <w:szCs w:val="18"/>
          <w:b w:val="1"/>
          <w:bCs w:val="1"/>
          <w:color w:val="auto"/>
        </w:rPr>
        <w:t>Swing Line Loan</w:t>
      </w:r>
      <w:r>
        <w:rPr>
          <w:rFonts w:ascii="Times New Roman" w:cs="Times New Roman" w:eastAsia="Times New Roman" w:hAnsi="Times New Roman"/>
          <w:sz w:val="18"/>
          <w:szCs w:val="18"/>
          <w:color w:val="auto"/>
        </w:rPr>
        <w:t xml:space="preserve">”) to the Borrower in Dollars from time to time on any Business Day during the Availability Period in an aggregate amount not to exceed at any time outstanding the amount of the Swing Line Sublimit, notwithstanding the fact that such Swing Line Loans, when aggregated with the Applicable Revolving Credit Percentage of the Outstanding Amount of Revolving Credit Loans and L/C Obligations of the Lender acting as Swing Line Lender, may exceed the amount of such Lender’s Revolving Credit 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after giving effect to any Swing Line Loan, (A) the Total Revolving Credit Outstandings shall not exceed the Revolving Credit Facility at such time, and (B) the Revolving Credit Exposure of any Revolving Credit Lender shall not exceed such Lender’s Revolving Credit Commitment, (ii) the Borrower shall not use the proceeds of any Swing Line Loan to refinance any outstanding Swing Line Loan and</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32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Section 2.04, prepay under Section 2.05, and reborrow under this Section 2.04. Each Swing Line Loan shall bear interest only at a rate based on the Base Rate.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the amount of such Swing Line Loan.</w:t>
      </w:r>
    </w:p>
    <w:p>
      <w:pPr>
        <w:spacing w:after="0" w:line="186" w:lineRule="exact"/>
        <w:rPr>
          <w:rFonts w:ascii="Times New Roman" w:cs="Times New Roman" w:eastAsia="Times New Roman" w:hAnsi="Times New Roman"/>
          <w:sz w:val="18"/>
          <w:szCs w:val="18"/>
          <w:color w:val="auto"/>
        </w:rPr>
      </w:pPr>
    </w:p>
    <w:p>
      <w:pPr>
        <w:jc w:val="both"/>
        <w:ind w:firstLine="656"/>
        <w:spacing w:after="0" w:line="253" w:lineRule="auto"/>
        <w:tabs>
          <w:tab w:leader="none" w:pos="144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Borrowing Procedures</w:t>
      </w:r>
      <w:r>
        <w:rPr>
          <w:rFonts w:ascii="Times New Roman" w:cs="Times New Roman" w:eastAsia="Times New Roman" w:hAnsi="Times New Roman"/>
          <w:sz w:val="18"/>
          <w:szCs w:val="18"/>
          <w:color w:val="auto"/>
        </w:rPr>
        <w:t>. Each Swing Line Borrowing shall be made upon the Borrower’s irrevocable notice to the Swing Line Lender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the Administrative Agent, which may be given by (A) telephone or (B) by a Swing Line Loan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principal amount of $100,000,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1:00 p.m. on the date of the proposed Swing Line Borrowing (A) directing the Swing Line Lender not to make such Swing Line Loan as a result of the limitations set forth in the first proviso to the first sentence of Section 2.04(a), or (B) that one or more of the applicable conditions specified in Article 4 is not then satisfied, then, subject to the terms and conditions hereof, the Swing Line Lender will, not later than 3:00 p.m. on the borrowing date specified in such Swing Line Loan Notice, make the amount of its Swing Line Loan available to the Borrower at its office by crediting the account of the Borrower on the books of the Swing Line Lender in Same Day Funds.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7" w:name="page118"/>
    <w:bookmarkEnd w:id="117"/>
    <w:p>
      <w:pPr>
        <w:jc w:val="both"/>
        <w:ind w:firstLine="656"/>
        <w:spacing w:after="0" w:line="253" w:lineRule="auto"/>
        <w:tabs>
          <w:tab w:leader="none" w:pos="134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Refinancing of Swing Line Loans</w:t>
      </w:r>
      <w:r>
        <w:rPr>
          <w:rFonts w:ascii="Times New Roman" w:cs="Times New Roman" w:eastAsia="Times New Roman" w:hAnsi="Times New Roman"/>
          <w:sz w:val="18"/>
          <w:szCs w:val="18"/>
          <w:color w:val="auto"/>
        </w:rPr>
        <w:t>. (i) The Swing Line Lender at any time in its sole and absolute discretion may request,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Committed Loan Notice for purposes hereof) and in accordance with the requirements of Section 2.02, without regard to the minimum and multiples specified therein for the principal amount of Base Rate Loans, but subject to the unutilized portion of the Revolving Credit Facility and the conditions set forth in Section 4.02. The Swing Line Lender shall furnish the Borrower with a copy of the applicable Committed Loan Notice promptly after delivering such notice to the Administrative Agent. Each Revolving Credit Lender shall make an amount equal to its Applicable Revolving Credit Percentage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Committed Loan Notice, whereupon, subject to Section 2.04(c)(ii), each Revolving Credit Lender that so makes funds available shall be deemed to have made a Base Rate Loan to the Borrower in such amount. The Administrative Agent shall remit the funds so received to the Swing Line Lender.</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2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any Swing Line Loan cannot be refinanced by such a Revolving Credit Borrowing in accordance with Section 2.04(c)(i),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Section 2.04(c)(i) shall be deemed payment in respect of such participation.</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12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Revolving Credit Lender fails to make available to the Administrative Agent for the account of the Swing Line Lender any amount required to be paid by such Lender pursuant to the foregoing provisions of this Section 2.04(c) by the time specified in Section 2.04(c) (i),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8" w:name="page119"/>
    <w:bookmarkEnd w:id="118"/>
    <w:p>
      <w:pPr>
        <w:jc w:val="both"/>
        <w:ind w:left="660" w:firstLine="644"/>
        <w:spacing w:after="0" w:line="261" w:lineRule="auto"/>
        <w:tabs>
          <w:tab w:leader="none" w:pos="222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Credit Lender’s obligation to make Revolving Credit Loans or to purchase and fund risk participations in Swing Line Loans pursuant to this Section 2.04(c) shall be absolute and unconditional and shall not be affected by any circumstance, including</w:t>
      </w:r>
    </w:p>
    <w:p>
      <w:pPr>
        <w:jc w:val="both"/>
        <w:ind w:left="660" w:hanging="4"/>
        <w:spacing w:after="0" w:line="253" w:lineRule="auto"/>
        <w:tabs>
          <w:tab w:leader="none" w:pos="9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Revolving Credit Lender’s obligation to make Revolving Credit Loans pursuant to this Section 2.04(c) is subject to the conditions set forth in Section 4.02. No such funding of risk participations shall relieve or otherwise impair the obligation of the Borrower to repay Swing Line Loans, together with interest as provided herein.</w:t>
      </w:r>
    </w:p>
    <w:p>
      <w:pPr>
        <w:spacing w:after="0" w:line="185" w:lineRule="exact"/>
        <w:rPr>
          <w:sz w:val="20"/>
          <w:szCs w:val="20"/>
          <w:color w:val="auto"/>
        </w:rPr>
      </w:pPr>
    </w:p>
    <w:p>
      <w:pPr>
        <w:jc w:val="both"/>
        <w:ind w:firstLine="656"/>
        <w:spacing w:after="0" w:line="267" w:lineRule="auto"/>
        <w:tabs>
          <w:tab w:leader="none" w:pos="135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Repayment of Participations</w:t>
      </w:r>
      <w:r>
        <w:rPr>
          <w:rFonts w:ascii="Times New Roman" w:cs="Times New Roman" w:eastAsia="Times New Roman" w:hAnsi="Times New Roman"/>
          <w:sz w:val="18"/>
          <w:szCs w:val="18"/>
          <w:color w:val="auto"/>
        </w:rPr>
        <w:t>. (i)At any time after any Revolving Credit Lender has purchased and funded a risk participation in a Swing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206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Swing Line Lender in respect of principal or interest on any Swing Line Loan is required to be returned by the Swing Line Lender under any of the circumstances described in Section 11.05 (including pursuant to any settlement entered into by the Swing Line Lender in its discretion), each Revolving Credit Lender shall pay to the Swing Line Lender its Applicable Revolving Credit Percentage thereof on demand of the Administrative Agent,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14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for Account of Swing Line Lender</w:t>
      </w:r>
      <w:r>
        <w:rPr>
          <w:rFonts w:ascii="Times New Roman" w:cs="Times New Roman" w:eastAsia="Times New Roman" w:hAnsi="Times New Roman"/>
          <w:sz w:val="18"/>
          <w:szCs w:val="18"/>
          <w:color w:val="auto"/>
        </w:rPr>
        <w:t>. The Swing Line Lender shall be responsible for invoicing the Borrower for interest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Swing Line Loans. Until each Revolving Credit Lender funds its Revolving Credit Loans that are Base Rate Loans or risk participation pursuant to this Section 2.04 to refinance such Revolving Credit Lender’s Applicable Revolving Credit Percentage of any Swing Line Loan, interest in respect of such Applicable Revolving Credit Percentage shall be solely for the account of the Swing Line Lender.</w:t>
      </w:r>
    </w:p>
    <w:p>
      <w:pPr>
        <w:spacing w:after="0" w:line="179" w:lineRule="exact"/>
        <w:rPr>
          <w:rFonts w:ascii="Times New Roman" w:cs="Times New Roman" w:eastAsia="Times New Roman" w:hAnsi="Times New Roman"/>
          <w:sz w:val="18"/>
          <w:szCs w:val="18"/>
          <w:color w:val="auto"/>
        </w:rPr>
      </w:pPr>
    </w:p>
    <w:p>
      <w:pPr>
        <w:ind w:right="20" w:firstLine="656"/>
        <w:spacing w:after="0" w:line="284" w:lineRule="auto"/>
        <w:tabs>
          <w:tab w:leader="none" w:pos="13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 Directly to Swing Line Lender</w:t>
      </w:r>
      <w:r>
        <w:rPr>
          <w:rFonts w:ascii="Times New Roman" w:cs="Times New Roman" w:eastAsia="Times New Roman" w:hAnsi="Times New Roman"/>
          <w:sz w:val="18"/>
          <w:szCs w:val="18"/>
          <w:color w:val="auto"/>
        </w:rPr>
        <w:t>. The Borrower shall make all payments of principal and interest in respect of the Swing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directly to the Swing Line Lender.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i w:val="1"/>
          <w:iCs w:val="1"/>
          <w:color w:val="auto"/>
        </w:rPr>
        <w:t>Prepayments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2" w:lineRule="auto"/>
        <w:tabs>
          <w:tab w:leader="none" w:pos="145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Voluntary Prepayments of Loans</w:t>
      </w:r>
      <w:r>
        <w:rPr>
          <w:rFonts w:ascii="Times New Roman" w:cs="Times New Roman" w:eastAsia="Times New Roman" w:hAnsi="Times New Roman"/>
          <w:sz w:val="18"/>
          <w:szCs w:val="18"/>
          <w:color w:val="auto"/>
        </w:rPr>
        <w:t>. (i) Revolving Credit Loans and Term Loans. The Borrower may, upon notice to the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Agent, at any time or from time to time voluntarily prepay Term Loans and Revolving Credit Loans in whole or in part without premium or penalty;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such notice must be received by the Administrative Agent not later than 12:00 p.m. (1) three Business Days prior to any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prepayment of Term SOFR Loans and (2) on the date of prepayment of Base Rate Loans; (B) any prepayment of Term SOFR Loans shall be in a principal amount of $2,500,000 or a whole multiple of $1,000,000 in excess thereof (or, if less, the entire principal amount thereof then outstanding); and (C) any prepayment of Base Rate Loans shall be in a principal amount of $500,000 or a whole multiple of $100,000 in excess thereof (or,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Any prepayment of a Term SOFR Loan shall be accompanied by all accrued interest on the amount prepaid, together with any additional amounts required pursuant to Section 3.05. Each prepayment of the outstanding Term Loans pursuant to this Section 2.05(a) shall be applied to the principal repayment installments of Term Loans as directed by the Borrower, and subject to Section 2.16, each such prepayment shall be paid to the Lenders in accordance with their respective Applicable Percentages in respect of each of the relevant Facilities. A notice of prepayment made pursuant to this Section 2.05(a)(i) may state that such notice is conditioned upon the occurrence of one or more events specified therein, in which case such notice may be revoked by the Borrower (by notice to the Administrative Agent on or prior to the specified date of prepayment) if such condition is not satisfied.</w:t>
      </w:r>
    </w:p>
    <w:p>
      <w:pPr>
        <w:spacing w:after="0" w:line="19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2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Swing Line Loans</w:t>
      </w:r>
      <w:r>
        <w:rPr>
          <w:rFonts w:ascii="Times New Roman" w:cs="Times New Roman" w:eastAsia="Times New Roman" w:hAnsi="Times New Roman"/>
          <w:sz w:val="18"/>
          <w:szCs w:val="18"/>
          <w:color w:val="auto"/>
        </w:rPr>
        <w:t>. The Borrower may, upon notice to the Swing Line Lender (with a copy to the Administrative Agent),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or from time to time, voluntarily prepay Swing Line Loans in whole or in part without premium or penalty;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notice must be received by the Swing Line Lender and the Administrative Agent not later than 1:00 p.m. on the date of the prepayment, and (B) any such prepayment shall be in a minimum principal amount of $100,000 (or, if less, the entire principal amount thereof then outstanding). Each such notice shall specify the date and amount of such prepayment. A notice of prepayment made pursuant to this Section 2.05(a)(ii) may state that such notice is conditioned upon the occurrence of one or more events specified therein, in which case such notice may be revoked by the Borrower (by notice to the Administrative Agent on or prior to the specified date of prepayment) if such condition is not satisfied.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0" w:name="page121"/>
    <w:bookmarkEnd w:id="120"/>
    <w:p>
      <w:pPr>
        <w:jc w:val="both"/>
        <w:ind w:firstLine="656"/>
        <w:spacing w:after="0" w:line="258" w:lineRule="auto"/>
        <w:tabs>
          <w:tab w:leader="none" w:pos="160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Prepayments of Term Loans</w:t>
      </w:r>
      <w:r>
        <w:rPr>
          <w:rFonts w:ascii="Times New Roman" w:cs="Times New Roman" w:eastAsia="Times New Roman" w:hAnsi="Times New Roman"/>
          <w:sz w:val="18"/>
          <w:szCs w:val="18"/>
          <w:color w:val="auto"/>
        </w:rPr>
        <w:t>. (i)</w:t>
      </w:r>
      <w:r>
        <w:rPr>
          <w:rFonts w:ascii="Times New Roman" w:cs="Times New Roman" w:eastAsia="Times New Roman" w:hAnsi="Times New Roman"/>
          <w:sz w:val="18"/>
          <w:szCs w:val="18"/>
          <w:i w:val="1"/>
          <w:iCs w:val="1"/>
          <w:color w:val="auto"/>
        </w:rPr>
        <w:t xml:space="preserve"> Dispositions and Recovery Events</w:t>
      </w:r>
      <w:r>
        <w:rPr>
          <w:rFonts w:ascii="Times New Roman" w:cs="Times New Roman" w:eastAsia="Times New Roman" w:hAnsi="Times New Roman"/>
          <w:sz w:val="18"/>
          <w:szCs w:val="18"/>
          <w:color w:val="auto"/>
        </w:rPr>
        <w:t>. Upon the receipt by the Borrower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of Net Cash Proceeds from any Disposition or Recovery Event, the Borrower shall prepay an aggregate principal amount of Term Loans equal to 100% of such Net Cash Proceeds within five Business Days upon receipt thereof by such Person (such prepayments to be applied as set forth in clause</w:t>
      </w:r>
    </w:p>
    <w:p>
      <w:pPr>
        <w:jc w:val="both"/>
        <w:ind w:firstLine="8"/>
        <w:spacing w:after="0" w:line="232" w:lineRule="auto"/>
        <w:tabs>
          <w:tab w:leader="none" w:pos="3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with respect to any Net Cash Proceeds realized under a Disposition or Recovery Event described in this Section 2.05(b)(i), at the election of the Borrower (as notified by the Borrower to the Administrative Agent within five Business Days upon receipt thereof), the Borrower or such Subsidiary may reinvest all or any portion of such Net Cash Proceeds in property that is used or useful in the business of the Borrower and its Subsidiaries so long as within 540 days after the receipt of such Net Cash Proceeds, such Net Cash Proceeds shall have been so reinvested (as certified by the Borrower in writing to the Administrative Agent) (or if any portion of such proceeds are not so reinvested within such 540-day period but within such 540 day period are contractually committed to be reinvested, such proceeds shall be reinvested within 180 days from the end of such 540-day period);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Net Cash Proceeds not subject to such definitive agreement or so reinvested by such 540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shall be immediately applied to the prepayment of the Term Loans as set forth in this Section 2.05(b)(i).</w:t>
      </w:r>
    </w:p>
    <w:p>
      <w:pPr>
        <w:spacing w:after="0" w:line="202"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229"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incurrence or issuance by the Borrower or any of its Subsidiaries of any Indebtedness (other than Indebtedness expressly permitted to be incurred or issued pursuant to Section 7.02), the Borrower shall prepay an aggregate principal amount of Loans equal to 100% of all Net Cash Proceeds received therefrom immediately upon receipt thereof by the Borrower or such Subsidiary (such prepayments to be applied as set forth in clause (iii) below).</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2106"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prepayment of Term Loans pursuant to the foregoing provisions of this Section 2.05(b) shall be applied to the remaining principal installments of the Term Facility on a pro rata basis.</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Prepayments of Revolving Credit Loans.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95"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the Total Revolving Credit Outstandings at any time exceed the Revolving Credit Facility at such time, the Borrower shall immediately prepay Revolving Credit Loans, Swing Line Loans and L/C Borrowings and/or Cash Collateralize the L/C Obligations (other than L/C Borrowings) in an aggregate amount equal to such excess.</w:t>
      </w:r>
    </w:p>
    <w:p>
      <w:pPr>
        <w:spacing w:after="0" w:line="173"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129"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of the Revolving Credit Facility made pursuant to this Section 2.05(c),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shall be applied ratably to the L/C Borrowings and the Swing Line Loans,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shall be applied ratably to the outstanding Revolving Credit Loans, and,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shall be used to Cash Collateralize the remaining L/C Obligations. Upon the drawing of any Letter of Credit that has been Cash Collateralized, the funds held as Cash Collateral shall be applied (without any further action by or notice to or from the Borrower or any other Loan Party) to reimburse the L/C Issuer or the Revolving Credit Lenders, as applicable.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1" w:name="page122"/>
    <w:bookmarkEnd w:id="121"/>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i w:val="1"/>
          <w:iCs w:val="1"/>
          <w:color w:val="auto"/>
        </w:rPr>
        <w:t>Termination or Reduction of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4" w:lineRule="auto"/>
        <w:tabs>
          <w:tab w:leader="none" w:pos="14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w:t>
      </w:r>
      <w:r>
        <w:rPr>
          <w:rFonts w:ascii="Times New Roman" w:cs="Times New Roman" w:eastAsia="Times New Roman" w:hAnsi="Times New Roman"/>
          <w:sz w:val="18"/>
          <w:szCs w:val="18"/>
          <w:color w:val="auto"/>
        </w:rPr>
        <w:t>. The Borrower may, upon notice to the Administrative Agent, terminate the Revolving Credit Facility, or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permanently reduce the Revolving Credit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notice shall be received by the Administrative Agent not later than 12:00 p.m. three Business Days prior to the date of termination or reduction, (ii) any such partial reduction shall be in an aggregate amount of $2,500,000 or any whole multiple of $1,000,000 in excess thereof and (iii) the Borrower shall not terminate or reduce the Revolving Credit Facility if, after giving effect thereto and to any concurrent prepayments hereunder, (A) the Total Revolving Credit Outstandings would exceed the Revolving Credit Facility, (B) the Outstanding Amount of L/C Obligations not fully Cash Collateralized hereunder would exceed the Letter of Credit Sublimit, or (C) the Outstanding Amount of Swing Line Loans would exceed the Swing Line Sublimit. A notice of termination or reduction of Commitments made pursuant to this Section 2.06(a) may state that such notice is conditioned upon the occurrence of one or more events specified therein, in which case such notice may be revoked by the Borrower (by notice to the Administrative Agent on or prior to the specified date of termination) if such condition is not satisfied.</w:t>
      </w:r>
    </w:p>
    <w:p>
      <w:pPr>
        <w:spacing w:after="0" w:line="188"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w:t>
      </w:r>
      <w:r>
        <w:rPr>
          <w:rFonts w:ascii="Times New Roman" w:cs="Times New Roman" w:eastAsia="Times New Roman" w:hAnsi="Times New Roman"/>
          <w:sz w:val="18"/>
          <w:szCs w:val="18"/>
          <w:color w:val="auto"/>
        </w:rPr>
        <w:t>.  (i) The aggregate Term Commitments shall be automatically and permanently reduced to zero on the date of the Term</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6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Credit Commitments shall terminate on the Maturity Date for the Revolving Credit Facility. If after giving effect to any reduction or termination of Revolving Credit Commitments under this Section 2.06, the Letter of Credit Sublimit or the Swing Line Sublimit exceeds the Revolving Credit Facility at such time, the Letter of Credit Sublimit or the Swing Line Sublimit, as the case may be, shall be automatically reduced by the amount of such excess.</w:t>
      </w:r>
    </w:p>
    <w:p>
      <w:pPr>
        <w:spacing w:after="0" w:line="177" w:lineRule="exact"/>
        <w:rPr>
          <w:rFonts w:ascii="Times New Roman" w:cs="Times New Roman" w:eastAsia="Times New Roman" w:hAnsi="Times New Roman"/>
          <w:sz w:val="18"/>
          <w:szCs w:val="18"/>
          <w:color w:val="auto"/>
        </w:rPr>
      </w:pPr>
    </w:p>
    <w:p>
      <w:pPr>
        <w:jc w:val="both"/>
        <w:ind w:firstLine="656"/>
        <w:spacing w:after="0" w:line="258" w:lineRule="auto"/>
        <w:tabs>
          <w:tab w:leader="none" w:pos="166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Application of Commitment Reductions; Payment of Fees</w:t>
      </w:r>
      <w:r>
        <w:rPr>
          <w:rFonts w:ascii="Times New Roman" w:cs="Times New Roman" w:eastAsia="Times New Roman" w:hAnsi="Times New Roman"/>
          <w:sz w:val="18"/>
          <w:szCs w:val="18"/>
          <w:color w:val="auto"/>
        </w:rPr>
        <w:t>. The Administrative Agent will promptly notify the Lenders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or reduction of the Letter of Credit Sublimit, Swing Line Sublimit or the Revolving Credit Commitment under this Section 2.06. Upon any reduction of the Revolving Credit Commitments, the Revolving Credit Commitment of each Revolving Credit Lender shall be reduced by such Lender’s Applicable Revolving Credit Percentage of such reduction amount. All fees in respect of the Revolving Credit Facility accrued until the effective date of any termination of the Revolving Credit Facility shall be paid on the effective date of such termination.</w:t>
      </w:r>
    </w:p>
    <w:p>
      <w:pPr>
        <w:spacing w:after="0" w:line="183"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i w:val="1"/>
          <w:iCs w:val="1"/>
          <w:color w:val="auto"/>
        </w:rPr>
        <w:t>Repayment of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67" w:lineRule="auto"/>
        <w:tabs>
          <w:tab w:leader="none" w:pos="153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Loans</w:t>
      </w:r>
      <w:r>
        <w:rPr>
          <w:rFonts w:ascii="Times New Roman" w:cs="Times New Roman" w:eastAsia="Times New Roman" w:hAnsi="Times New Roman"/>
          <w:sz w:val="18"/>
          <w:szCs w:val="18"/>
          <w:color w:val="auto"/>
        </w:rPr>
        <w:t>. The Borrower shall repay to the Term Lenders the aggregate principal amount of all Term Loans outstanding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dates in the respective amounts set forth opposite such dates (which amounts shall be reduced as a result of the application of prepayments under Section 2.05, as directed by the Borrower):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2" w:name="page123"/>
    <w:bookmarkEnd w:id="122"/>
    <w:tbl>
      <w:tblPr>
        <w:tblLayout w:type="fixed"/>
        <w:tblInd w:w="1710" w:type="dxa"/>
        <w:tblCellMar>
          <w:top w:w="0" w:type="dxa"/>
          <w:left w:w="0" w:type="dxa"/>
          <w:bottom w:w="0" w:type="dxa"/>
          <w:right w:w="0" w:type="dxa"/>
        </w:tblCellMar>
      </w:tblPr>
      <w:tr>
        <w:trPr>
          <w:trHeight w:val="250"/>
        </w:trPr>
        <w:tc>
          <w:tcPr>
            <w:tcW w:w="6320" w:type="dxa"/>
            <w:vAlign w:val="bottom"/>
            <w:tcBorders>
              <w:top w:val="single" w:sz="8" w:color="auto"/>
              <w:left w:val="single" w:sz="8" w:color="auto"/>
              <w:bottom w:val="single" w:sz="8" w:color="auto"/>
              <w:right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6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31, 2027</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30, 2027</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31, 2028</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30, 2028</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31, 2029</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2029</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30, 2029</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2029</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31, 2030</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2030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30, 2030</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r>
        <w:trPr>
          <w:trHeight w:val="223"/>
        </w:trPr>
        <w:tc>
          <w:tcPr>
            <w:tcW w:w="6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2030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5,000,000.00</w:t>
            </w:r>
          </w:p>
        </w:tc>
      </w:tr>
    </w:tbl>
    <w:p>
      <w:pPr>
        <w:spacing w:after="0" w:line="19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final principal repayment installment of the Term Loans shall be repaid on the Maturity Date for the Term Facility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shall be in an amount equal to the aggregate principal amount of all Term Loans outstanding on such date.</w:t>
      </w:r>
    </w:p>
    <w:p>
      <w:pPr>
        <w:spacing w:after="0" w:line="158" w:lineRule="exact"/>
        <w:rPr>
          <w:sz w:val="20"/>
          <w:szCs w:val="20"/>
          <w:color w:val="auto"/>
        </w:rPr>
      </w:pPr>
    </w:p>
    <w:p>
      <w:pPr>
        <w:ind w:firstLine="656"/>
        <w:spacing w:after="0" w:line="284" w:lineRule="auto"/>
        <w:tabs>
          <w:tab w:leader="none" w:pos="15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Revolving Credit Loans</w:t>
      </w:r>
      <w:r>
        <w:rPr>
          <w:rFonts w:ascii="Times New Roman" w:cs="Times New Roman" w:eastAsia="Times New Roman" w:hAnsi="Times New Roman"/>
          <w:sz w:val="18"/>
          <w:szCs w:val="18"/>
          <w:color w:val="auto"/>
        </w:rPr>
        <w:t>. The Borrower shall repay to the Revolving Credit Lenders on the Maturity Date for the Revolving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the aggregate principal amount of all Revolving Credit Loans outstanding on such date.</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3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Swing Line Loans</w:t>
      </w:r>
      <w:r>
        <w:rPr>
          <w:rFonts w:ascii="Times New Roman" w:cs="Times New Roman" w:eastAsia="Times New Roman" w:hAnsi="Times New Roman"/>
          <w:sz w:val="18"/>
          <w:szCs w:val="18"/>
          <w:color w:val="auto"/>
        </w:rPr>
        <w:t>. The Borrower shall repay each Swing Line Loan on the earlier to occur of (i) the date ten Business Days after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Swing Line Loan is made and (ii) the Maturity Date for the Revolving Credit Facility.</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(a) Subject to the provisions of Section 2.08(b), (i) each Term SOFR Loan shall bear interest on the outstanding principal amount thereof for each Interest Period at a rate per annum equal to the Term SOFR for such Interest Period plus the Applicable Rate; (ii) each Base Rate Loan shall bear interest on the outstanding principal amount thereof from the applicable borrowing date at a rate per annum equal to the Base Rate plus the Applicable Rate; and (iii) each Swing Line Loan shall bear interest on the outstanding principal amount thereof from the applicable borrowing date at a rate per annum equal to the Base Rate plus the Applicable 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3" w:name="page124"/>
    <w:bookmarkEnd w:id="123"/>
    <w:p>
      <w:pPr>
        <w:jc w:val="both"/>
        <w:ind w:firstLine="656"/>
        <w:spacing w:after="0" w:line="266" w:lineRule="auto"/>
        <w:tabs>
          <w:tab w:leader="none" w:pos="1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5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79" w:lineRule="exact"/>
        <w:rPr>
          <w:rFonts w:ascii="Times New Roman" w:cs="Times New Roman" w:eastAsia="Times New Roman" w:hAnsi="Times New Roman"/>
          <w:sz w:val="18"/>
          <w:szCs w:val="18"/>
          <w:color w:val="auto"/>
        </w:rPr>
      </w:pPr>
    </w:p>
    <w:p>
      <w:pPr>
        <w:ind w:left="2260" w:hanging="956"/>
        <w:spacing w:after="0"/>
        <w:tabs>
          <w:tab w:leader="none" w:pos="22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past due amounts (including interest on past due interest) shall be due and payable upon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2.08(b)(iii) above,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4"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 In addition to certain fees described in Sections 2.03(h) and (i):</w:t>
      </w:r>
    </w:p>
    <w:p>
      <w:pPr>
        <w:spacing w:after="0" w:line="225" w:lineRule="exact"/>
        <w:rPr>
          <w:sz w:val="20"/>
          <w:szCs w:val="20"/>
          <w:color w:val="auto"/>
        </w:rPr>
      </w:pPr>
    </w:p>
    <w:p>
      <w:pPr>
        <w:jc w:val="both"/>
        <w:ind w:firstLine="656"/>
        <w:spacing w:after="0" w:line="258" w:lineRule="auto"/>
        <w:tabs>
          <w:tab w:leader="none" w:pos="139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Commitment Fee</w:t>
      </w:r>
      <w:r>
        <w:rPr>
          <w:rFonts w:ascii="Times New Roman" w:cs="Times New Roman" w:eastAsia="Times New Roman" w:hAnsi="Times New Roman"/>
          <w:sz w:val="18"/>
          <w:szCs w:val="18"/>
          <w:color w:val="auto"/>
        </w:rPr>
        <w:t>. The Borrower shall pay to the Administrative Agent for the account of each Revolving Credit Lender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its Applicable Revolving Credit Percentage, a commitment fee (the “</w:t>
      </w: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xml:space="preserve">”) in Dollars equal to the product of (i) the Applicable Fee Rate </w:t>
      </w:r>
      <w:r>
        <w:rPr>
          <w:rFonts w:ascii="Times New Roman" w:cs="Times New Roman" w:eastAsia="Times New Roman" w:hAnsi="Times New Roman"/>
          <w:sz w:val="18"/>
          <w:szCs w:val="18"/>
          <w:i w:val="1"/>
          <w:iCs w:val="1"/>
          <w:color w:val="auto"/>
        </w:rPr>
        <w:t xml:space="preserve">times </w:t>
      </w:r>
      <w:r>
        <w:rPr>
          <w:rFonts w:ascii="Times New Roman" w:cs="Times New Roman" w:eastAsia="Times New Roman" w:hAnsi="Times New Roman"/>
          <w:sz w:val="18"/>
          <w:szCs w:val="18"/>
          <w:color w:val="auto"/>
        </w:rPr>
        <w:t>(ii) the actual daily amount by which the Revolving Credit Facility exceeds the sum of (A) the Outstanding Amount of Revolving Credit Loans and</w:t>
      </w:r>
    </w:p>
    <w:p>
      <w:pPr>
        <w:jc w:val="both"/>
        <w:ind w:firstLine="8"/>
        <w:spacing w:after="0" w:line="252" w:lineRule="auto"/>
        <w:tabs>
          <w:tab w:leader="none" w:pos="2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Amount of L/C Obligations, subject to adjustment as provided in Section 2.16. For the avoidance of doubt, the Outstanding Amount of Swing Line Loans shall not be counted towards or considered usage of the Aggregate Commitments for purposes of determining the Commitment Fee. The Commitment Fee shall accrue at all times during the Availability Period, including at any time during which one or more of the conditions in Article 4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Fee Rate during any quarter, the actual daily amount shall be computed and multiplied by the Applicable Fee Rate separately for each period during such quarter that such Applicable Fee Rate was in effect.</w:t>
      </w:r>
    </w:p>
    <w:p>
      <w:pPr>
        <w:spacing w:after="0" w:line="186" w:lineRule="exact"/>
        <w:rPr>
          <w:rFonts w:ascii="Times New Roman" w:cs="Times New Roman" w:eastAsia="Times New Roman" w:hAnsi="Times New Roman"/>
          <w:sz w:val="18"/>
          <w:szCs w:val="18"/>
          <w:color w:val="auto"/>
        </w:rPr>
      </w:pPr>
    </w:p>
    <w:p>
      <w:pPr>
        <w:jc w:val="both"/>
        <w:ind w:firstLine="656"/>
        <w:spacing w:after="0" w:line="276" w:lineRule="auto"/>
        <w:tabs>
          <w:tab w:leader="none" w:pos="135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Fees</w:t>
      </w:r>
      <w:r>
        <w:rPr>
          <w:rFonts w:ascii="Times New Roman" w:cs="Times New Roman" w:eastAsia="Times New Roman" w:hAnsi="Times New Roman"/>
          <w:sz w:val="18"/>
          <w:szCs w:val="18"/>
          <w:color w:val="auto"/>
        </w:rPr>
        <w:t>. (i) The Borrower shall pay to the Arrangers and the Administrative Agent for their own respective accounts, in Dollars,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amounts and at the times specified in the Fee Letter. Such fees shall be fully earned when paid and shall not be refundable for any reason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ind w:left="660" w:firstLine="644"/>
        <w:spacing w:after="0" w:line="282" w:lineRule="auto"/>
        <w:tabs>
          <w:tab w:leader="none" w:pos="2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Computation of Interest and Fees; Retroactive Adjustments of Applicable Rate</w:t>
      </w:r>
      <w:r>
        <w:rPr>
          <w:rFonts w:ascii="Times New Roman" w:cs="Times New Roman" w:eastAsia="Times New Roman" w:hAnsi="Times New Roman"/>
          <w:sz w:val="18"/>
          <w:szCs w:val="18"/>
          <w:color w:val="auto"/>
        </w:rPr>
        <w:t xml:space="preserve">. (a) All computations of interest for Base Rate Loans (including Base Rate Loans determined by reference to the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Section 2.12(a), bear interest for one day. Each determination by the Administrative Agent of an interest rate or fee hereunder shall be conclusive and binding for all purposes, absent manifest error.</w:t>
      </w:r>
    </w:p>
    <w:p>
      <w:pPr>
        <w:spacing w:after="0" w:line="185" w:lineRule="exact"/>
        <w:rPr>
          <w:sz w:val="20"/>
          <w:szCs w:val="20"/>
          <w:color w:val="auto"/>
        </w:rPr>
      </w:pPr>
    </w:p>
    <w:p>
      <w:pPr>
        <w:jc w:val="both"/>
        <w:ind w:firstLine="656"/>
        <w:spacing w:after="0" w:line="253" w:lineRule="auto"/>
        <w:tabs>
          <w:tab w:leader="none" w:pos="13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any restatement of or other adjustment to the financial statements of the Borrower or for any other reason, the Borrower or the Lenders determine that (i) the 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Section 2.03(c)(iii), 2.03(i) or 2.08(b) or under Article 8. The Borrower’s obligations under this paragraph shall survive the termination of the Aggregate Commitments and the repayment of all other Obligations hereunder.</w:t>
      </w:r>
    </w:p>
    <w:p>
      <w:pPr>
        <w:spacing w:after="0" w:line="192"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8"/>
          <w:szCs w:val="18"/>
          <w:i w:val="1"/>
          <w:iCs w:val="1"/>
          <w:color w:val="auto"/>
        </w:rPr>
        <w:t>Evidence of Debt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5" w:lineRule="auto"/>
        <w:tabs>
          <w:tab w:leader="none" w:pos="143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Extensions made by each Lender shall be evidenced by one or more accounts or records maintained by the Administrative Agent in the ordinary course of business. The accounts or records maintained by the Administrative Agent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Loan Document Obligations.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both"/>
        <w:ind w:firstLine="656"/>
        <w:spacing w:after="0" w:line="261" w:lineRule="auto"/>
        <w:tabs>
          <w:tab w:leader="none" w:pos="155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accounts and records referred to in Section 2.11(a),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8"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i w:val="1"/>
          <w:iCs w:val="1"/>
          <w:color w:val="auto"/>
        </w:rPr>
        <w:t>Payments Generally; Administrative Agent’s Clawback</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4" w:lineRule="auto"/>
        <w:tabs>
          <w:tab w:leader="none" w:pos="158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All payments to be made by the Borrower shall be made free and clear of and without condition or deduction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Same Day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in each case be deemed received on the next succeeding Business Day and any applicable interest or fee shall continue to accrue. Except as set forth in the definition of Interest Period,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152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Funding by Lenders; Presumption by Administrative Agent</w:t>
      </w:r>
      <w:r>
        <w:rPr>
          <w:rFonts w:ascii="Times New Roman" w:cs="Times New Roman" w:eastAsia="Times New Roman" w:hAnsi="Times New Roman"/>
          <w:sz w:val="18"/>
          <w:szCs w:val="18"/>
          <w:color w:val="auto"/>
        </w:rPr>
        <w:t>.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Section 2.02 (or, in the case of a Borrowing of Base Rate Loans, that such Lender has made such share available in accordance with and at the time required by Section 2.02)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jc w:val="both"/>
        <w:ind w:left="660" w:firstLine="644"/>
        <w:spacing w:after="0" w:line="258" w:lineRule="auto"/>
        <w:tabs>
          <w:tab w:leader="none" w:pos="21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 by Borrower; Presumptions by Administrative Agent</w:t>
      </w:r>
      <w:r>
        <w:rPr>
          <w:rFonts w:ascii="Times New Roman" w:cs="Times New Roman" w:eastAsia="Times New Roman" w:hAnsi="Times New Roman"/>
          <w:sz w:val="18"/>
          <w:szCs w:val="18"/>
          <w:color w:val="auto"/>
        </w:rPr>
        <w:t>. Unless the Administrative Agent shall have received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Appropriate Lenders or the L/C Issuer, as the case may be, the amount due.</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b w:val="1"/>
          <w:bCs w:val="1"/>
          <w:color w:val="auto"/>
        </w:rPr>
        <w:t>Rescindable Amount</w:t>
      </w:r>
      <w:r>
        <w:rPr>
          <w:rFonts w:ascii="Times New Roman" w:cs="Times New Roman" w:eastAsia="Times New Roman" w:hAnsi="Times New Roman"/>
          <w:sz w:val="18"/>
          <w:szCs w:val="18"/>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notice of the Administrative Agent to any Lender or the Borrower with respect to any amount owing under this subsection (b) shall be conclusive, absent manifest error.</w:t>
      </w:r>
    </w:p>
    <w:p>
      <w:pPr>
        <w:spacing w:after="0" w:line="160" w:lineRule="exact"/>
        <w:rPr>
          <w:sz w:val="20"/>
          <w:szCs w:val="20"/>
          <w:color w:val="auto"/>
        </w:rPr>
      </w:pPr>
    </w:p>
    <w:p>
      <w:pPr>
        <w:jc w:val="both"/>
        <w:ind w:firstLine="656"/>
        <w:spacing w:after="0" w:line="261" w:lineRule="auto"/>
        <w:tabs>
          <w:tab w:leader="none" w:pos="13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Failure to Satisfy Conditions Precedent</w:t>
      </w:r>
      <w:r>
        <w:rPr>
          <w:rFonts w:ascii="Times New Roman" w:cs="Times New Roman" w:eastAsia="Times New Roman" w:hAnsi="Times New Roman"/>
          <w:sz w:val="18"/>
          <w:szCs w:val="18"/>
          <w:color w:val="auto"/>
        </w:rPr>
        <w:t>. If any Lender makes available to the Administrative Agent funds for any Loan to be made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Lender as provided in the foregoing provisions of this Article 2, and such funds are not made available to the Borrower by the Administrative Agent because the conditions to the applicable Credit Extension set forth in Article 4 are not satisfied or waived in accordance with the terms hereof, the Administrative Agent shall return such funds (in like funds as received from such Lender) to such Lender, without interest.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6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Obligations of Lenders Several</w:t>
      </w:r>
      <w:r>
        <w:rPr>
          <w:rFonts w:ascii="Times New Roman" w:cs="Times New Roman" w:eastAsia="Times New Roman" w:hAnsi="Times New Roman"/>
          <w:sz w:val="18"/>
          <w:szCs w:val="18"/>
          <w:color w:val="auto"/>
        </w:rPr>
        <w:t>. The obligations of the Lenders hereunder to make Term Loans and Revolving Credit Loans, to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participations in Letters of Credit and Swing Line Loans and to make payments pursuant to Section 11.04(c) are several and not joint. The failure of any Lender to make any Loan, to fund any such participation or to make any payment under Section 11.04(c)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11.04(c).</w:t>
      </w:r>
    </w:p>
    <w:p>
      <w:pPr>
        <w:spacing w:after="0" w:line="183" w:lineRule="exact"/>
        <w:rPr>
          <w:rFonts w:ascii="Times New Roman" w:cs="Times New Roman" w:eastAsia="Times New Roman" w:hAnsi="Times New Roman"/>
          <w:sz w:val="18"/>
          <w:szCs w:val="18"/>
          <w:color w:val="auto"/>
        </w:rPr>
      </w:pPr>
    </w:p>
    <w:p>
      <w:pPr>
        <w:ind w:right="20" w:firstLine="656"/>
        <w:spacing w:after="0" w:line="284" w:lineRule="auto"/>
        <w:tabs>
          <w:tab w:leader="none" w:pos="147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Funding Source</w:t>
      </w:r>
      <w:r>
        <w:rPr>
          <w:rFonts w:ascii="Times New Roman" w:cs="Times New Roman" w:eastAsia="Times New Roman" w:hAnsi="Times New Roman"/>
          <w:sz w:val="18"/>
          <w:szCs w:val="18"/>
          <w:color w:val="auto"/>
        </w:rPr>
        <w:t>. Nothing herein shall be deemed to obligate any Lender to obtain the funds for any Loan in any particular place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or to constitute a representation by any Lender that it has obtained or will obtain the funds for any Loan in any particular place or manner.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7" w:name="page128"/>
    <w:bookmarkEnd w:id="127"/>
    <w:p>
      <w:pPr>
        <w:jc w:val="both"/>
        <w:ind w:firstLine="656"/>
        <w:spacing w:after="0" w:line="258" w:lineRule="auto"/>
        <w:tabs>
          <w:tab w:leader="none" w:pos="1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Insufficient Funds</w:t>
      </w:r>
      <w:r>
        <w:rPr>
          <w:rFonts w:ascii="Times New Roman" w:cs="Times New Roman" w:eastAsia="Times New Roman" w:hAnsi="Times New Roman"/>
          <w:sz w:val="18"/>
          <w:szCs w:val="18"/>
          <w:color w:val="auto"/>
        </w:rPr>
        <w:t>. Except as provided in Section 8.03, if at any time insufficient funds are received by and available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Administrative Agent to pay fully all amounts of principal, L/C Borrowings, interest and fees then due hereunder, such funds shall be applied (i)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toward payment of principal and L/C Borrowings then due hereunder, ratably among the parties entitled thereto in accordance with the amounts of principal and L/C Borrowings then due to such parties.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Sharing of Payments by Lenders</w:t>
      </w:r>
      <w:r>
        <w:rPr>
          <w:rFonts w:ascii="Times New Roman" w:cs="Times New Roman" w:eastAsia="Times New Roman" w:hAnsi="Times New Roman"/>
          <w:sz w:val="18"/>
          <w:szCs w:val="18"/>
          <w:color w:val="auto"/>
        </w:rPr>
        <w:t xml:space="preserve">. If any Lender shall, by exercising any right of setoff or counterclaim or otherwise, obtain payment in respect of (a) Loan Document Obligations due and payable to such Lender hereunder and under the other Loan Documents at such time in excess of its ratable share (according to the proportion of (i) the amount of such Loan Document Obligations due and payable to such Lender at such time to (ii) the aggregate amount of the Loan Document Obligations due and payable to all Lenders hereunder and under the other Loan Documents at such time) of payments on account of the Loan Document Obligations due and payable to all Lenders hereunder and under the other Loan Documents at such time obtained by all the Lenders at such time or (b) Loan Document Obligations owing (but not due and payable) to such Lender hereunder and under the other Loan Documents at such time in excess of its ratable share (according to the proportion of (i) the amount of such Loan Document Obligations owing (but not due and payable) to such Lender at such time to (ii) the aggregate amount of the Loan Document Obligations owing (but not due and payable) to all Lenders hereunder and under the other Loan Parties at such time) of payment on account of the Loan Document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Loan Document Obligations then due and payable to the Lenders or owing (but not due and payable) to the Lenders,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7" w:lineRule="exact"/>
        <w:rPr>
          <w:sz w:val="20"/>
          <w:szCs w:val="20"/>
          <w:color w:val="auto"/>
        </w:rPr>
      </w:pPr>
    </w:p>
    <w:p>
      <w:pPr>
        <w:jc w:val="both"/>
        <w:ind w:left="660" w:right="20" w:firstLine="644"/>
        <w:spacing w:after="0" w:line="266" w:lineRule="auto"/>
        <w:tabs>
          <w:tab w:leader="none" w:pos="222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2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shall not be construed to apply to (x) any payment made by or on behalf of the Borrower pursuant to and in accordance with the express terms of this Agreement (including the application of funds arising from the existence of a Defaulting Lender), (y) the application of Cash Collateral provided for in Section 2.15, or (z) any payment obtained by a Lender as consideration for the assignment of or sale of a participation in any of its Loans or subparticipations in L/C Obligations or Swing Line Loans to any assignee or participant, other than an assignment to the Borrower or any Subsidiary (as to which the provisions of this Section shall apply).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8" w:name="page129"/>
    <w:bookmarkEnd w:id="1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74"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i w:val="1"/>
          <w:iCs w:val="1"/>
          <w:color w:val="auto"/>
        </w:rPr>
        <w:t>Incremental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6" w:lineRule="auto"/>
        <w:tabs>
          <w:tab w:leader="none" w:pos="141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Borrower Request</w:t>
      </w:r>
      <w:r>
        <w:rPr>
          <w:rFonts w:ascii="Times New Roman" w:cs="Times New Roman" w:eastAsia="Times New Roman" w:hAnsi="Times New Roman"/>
          <w:sz w:val="18"/>
          <w:szCs w:val="18"/>
          <w:color w:val="auto"/>
        </w:rPr>
        <w:t>. The Borrower may by written notice to the Administrative Agent elect to request (x) prior to the Maturity Date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Revolving Credit Facility, an increase to the existing Revolving Credit Commitments (each, an “</w:t>
      </w:r>
      <w:r>
        <w:rPr>
          <w:rFonts w:ascii="Times New Roman" w:cs="Times New Roman" w:eastAsia="Times New Roman" w:hAnsi="Times New Roman"/>
          <w:sz w:val="18"/>
          <w:szCs w:val="18"/>
          <w:b w:val="1"/>
          <w:bCs w:val="1"/>
          <w:color w:val="auto"/>
        </w:rPr>
        <w:t>Incremental Revolving Commitment</w:t>
      </w:r>
      <w:r>
        <w:rPr>
          <w:rFonts w:ascii="Times New Roman" w:cs="Times New Roman" w:eastAsia="Times New Roman" w:hAnsi="Times New Roman"/>
          <w:sz w:val="18"/>
          <w:szCs w:val="18"/>
          <w:color w:val="auto"/>
        </w:rPr>
        <w:t>”) and/or (y) an increase to the existing Term Facility or the establishment of commitments in respect of a new tranche of term loans (each, an “</w:t>
      </w:r>
      <w:r>
        <w:rPr>
          <w:rFonts w:ascii="Times New Roman" w:cs="Times New Roman" w:eastAsia="Times New Roman" w:hAnsi="Times New Roman"/>
          <w:sz w:val="18"/>
          <w:szCs w:val="18"/>
          <w:b w:val="1"/>
          <w:bCs w:val="1"/>
          <w:color w:val="auto"/>
        </w:rPr>
        <w:t>Incremental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and, together with any Incremental Revolving Commitment, “</w:t>
      </w:r>
      <w:r>
        <w:rPr>
          <w:rFonts w:ascii="Times New Roman" w:cs="Times New Roman" w:eastAsia="Times New Roman" w:hAnsi="Times New Roman"/>
          <w:sz w:val="18"/>
          <w:szCs w:val="18"/>
          <w:b w:val="1"/>
          <w:bCs w:val="1"/>
          <w:color w:val="auto"/>
        </w:rPr>
        <w:t>Incremental Facilities</w:t>
      </w:r>
      <w:r>
        <w:rPr>
          <w:rFonts w:ascii="Times New Roman" w:cs="Times New Roman" w:eastAsia="Times New Roman" w:hAnsi="Times New Roman"/>
          <w:sz w:val="18"/>
          <w:szCs w:val="18"/>
          <w:color w:val="auto"/>
        </w:rPr>
        <w:t>”), in an aggregate amount not to exceed the sum of</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0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(1) $175,000,000 and (2) 100% of Consolidated EBITDA for the Measurement Period most recently ended on or prior to the applicable Increase Effective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an unlimited amount so long as, in the case of this clause (B), after giving effect to the relevant Incremental Facility, the Consolidated Leverage Ratio does not exceed 1.50:1.00 calculated on a pro forma basis (but without giving effect to any amount incurred substantially simultaneously or contemporaneously therewith under clause (A) above or under any revolving facility, including the Revolving Credit Facility), including the application of the proceeds thereof (in each case, without “netting” the cash proceeds of the applicable Incremental Facility) and, in the case of any Incremental Revolving Commitments, assuming a full drawing of such Incremental Revolving Commitments, in each case from any existing Lender (each of which shall be entitled to agree or decline to participate in its sole discretion) and/or any Additional Lender. Each such notice pursuant to this Section 2.14(a) shall specify (i) the date (each, an “</w:t>
      </w:r>
      <w:r>
        <w:rPr>
          <w:rFonts w:ascii="Times New Roman" w:cs="Times New Roman" w:eastAsia="Times New Roman" w:hAnsi="Times New Roman"/>
          <w:sz w:val="18"/>
          <w:szCs w:val="18"/>
          <w:b w:val="1"/>
          <w:bCs w:val="1"/>
          <w:color w:val="auto"/>
        </w:rPr>
        <w:t>Increase Effective Date</w:t>
      </w:r>
      <w:r>
        <w:rPr>
          <w:rFonts w:ascii="Times New Roman" w:cs="Times New Roman" w:eastAsia="Times New Roman" w:hAnsi="Times New Roman"/>
          <w:sz w:val="18"/>
          <w:szCs w:val="18"/>
          <w:color w:val="auto"/>
        </w:rPr>
        <w:t>”) on which the Borrower proposes that the Incremental Commitments shall be effective, which shall be the date on which the Incremental Term Commitment is drawn in full, (ii) the identity of each Eligible Assignee to whom the Borrower proposes any portion of such Incremental Commitments be allocated and the amounts of such allocations and (iii) whether such Incremental Commitments are Incremental Revolving Commitments or Incremental Term Commitments. Each Incremental Commitment shall be in an aggregate amount of $10,000,000 or any whole multiple of $5,000,000 in excess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 may be less than $10,000,000 if such amount represents all remaining availability under the aggregate limit in respect of Incremental Commitments set forth in above).</w:t>
      </w:r>
    </w:p>
    <w:p>
      <w:pPr>
        <w:spacing w:after="0" w:line="18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As of the Increase Effective Date, subject to Section 1.08:</w:t>
      </w:r>
    </w:p>
    <w:p>
      <w:pPr>
        <w:spacing w:after="0" w:line="227"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shall have occurred and be continuing or would result from the borrowings to be made on the Increase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jc w:val="both"/>
        <w:ind w:left="660" w:firstLine="644"/>
        <w:spacing w:after="0" w:line="252" w:lineRule="auto"/>
        <w:tabs>
          <w:tab w:leader="none" w:pos="225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in the case of clause (B) below, the representations and warranties contained in Article 5 and the other Loan Documents are true and correct in all material respects (or, with respect to any such representation or warranty that is qualified by materiality or Material Adverse Effect, in all respects), and (B) in the case of any Incremental Commitment the proceeds of which are to be used to consummate any acquisition, Investment or similar transaction, the Specified Representations are true and correct in all material respects (or, with respect to any such representation or warranty that is qualified by materiality or Material Adverse Effect, in all respects), in each case on and as of the Increase Effective Date, except to the extent that such representations and warranties specifically refer to an earlier date, in which case they shall have been true and correct in all material respects (or, with respect to any such representation or warranty that is qualified by materiality or Material Adverse Effect, in all respects) as of such earlier date, and except that for purposes of this Section 2.14(b), the representations and warranties contained in Section 5.05(a) shall be deemed to refer to the most recent financial statements furnished pursuant to subsections (a) and</w:t>
      </w:r>
    </w:p>
    <w:p>
      <w:pPr>
        <w:spacing w:after="0" w:line="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Section 6.01,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New Loans and Commitments</w:t>
      </w:r>
      <w:r>
        <w:rPr>
          <w:rFonts w:ascii="Times New Roman" w:cs="Times New Roman" w:eastAsia="Times New Roman" w:hAnsi="Times New Roman"/>
          <w:sz w:val="18"/>
          <w:szCs w:val="18"/>
          <w:color w:val="auto"/>
        </w:rPr>
        <w:t>. The terms and provisions of Loans made pursuant to Incremental Commitments shall be 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left="660" w:firstLine="644"/>
        <w:spacing w:after="0" w:line="253" w:lineRule="auto"/>
        <w:tabs>
          <w:tab w:leader="none" w:pos="207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(including with respect to interest rates, interest margins, rate floors, upfront fees, funding discounts, original issue discounts and prepayment terms and premiums) of, and documentation entered into in respect of, any Incremental Term Commitments shall be on terms, and pursuant to documentation, agreed between the Borrower and the lenders providing such Incremental Commitments, other than as contemplated by clauses (ii), (iii), (iv), and (v) below; provided that to the extent the terms and documentation in respect of any Incremental Term Commitments are not consistent with the Term Loans (except to the extent permitted by clause (ii), (iii), (iv) or (v) below) they shall be reasonably satisfactory to the Administrative Agent (except for such terms which are applicable only to periods after the Latest Maturity Date and it being understood that to the extent any financial maintenance covenant is added or made more restrictive with respect to the Incremental Term Commitments, such financial maintenance covenant shall automatically and without any action of any party hereto be added or made more restrictive for the benefit of the Term Facility and the Revolving Credit Facility and no consent shall be required from the Administrative Agent or any Lender therefor);</w:t>
      </w:r>
    </w:p>
    <w:p>
      <w:pPr>
        <w:spacing w:after="0" w:line="194" w:lineRule="exact"/>
        <w:rPr>
          <w:rFonts w:ascii="Times New Roman" w:cs="Times New Roman" w:eastAsia="Times New Roman" w:hAnsi="Times New Roman"/>
          <w:sz w:val="18"/>
          <w:szCs w:val="18"/>
          <w:color w:val="auto"/>
        </w:rPr>
      </w:pPr>
    </w:p>
    <w:p>
      <w:pPr>
        <w:ind w:left="660" w:firstLine="644"/>
        <w:spacing w:after="0" w:line="282" w:lineRule="auto"/>
        <w:tabs>
          <w:tab w:leader="none" w:pos="225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any Incremental Term Loans shall be no shorter than the remaining Weighted Average Life to Maturity of the Term Loans;</w:t>
      </w:r>
    </w:p>
    <w:p>
      <w:pPr>
        <w:spacing w:after="0" w:line="157" w:lineRule="exact"/>
        <w:rPr>
          <w:rFonts w:ascii="Times New Roman" w:cs="Times New Roman" w:eastAsia="Times New Roman" w:hAnsi="Times New Roman"/>
          <w:sz w:val="18"/>
          <w:szCs w:val="18"/>
          <w:color w:val="auto"/>
        </w:rPr>
      </w:pPr>
    </w:p>
    <w:p>
      <w:pPr>
        <w:ind w:left="660" w:right="20" w:firstLine="644"/>
        <w:spacing w:after="0" w:line="286" w:lineRule="auto"/>
        <w:tabs>
          <w:tab w:leader="none" w:pos="211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of the Incremental Term Loans (the “</w:t>
      </w:r>
      <w:r>
        <w:rPr>
          <w:rFonts w:ascii="Times New Roman" w:cs="Times New Roman" w:eastAsia="Times New Roman" w:hAnsi="Times New Roman"/>
          <w:sz w:val="18"/>
          <w:szCs w:val="18"/>
          <w:b w:val="1"/>
          <w:bCs w:val="1"/>
          <w:color w:val="auto"/>
        </w:rPr>
        <w:t>Incremental Term Loan Maturity Date</w:t>
      </w:r>
      <w:r>
        <w:rPr>
          <w:rFonts w:ascii="Times New Roman" w:cs="Times New Roman" w:eastAsia="Times New Roman" w:hAnsi="Times New Roman"/>
          <w:sz w:val="18"/>
          <w:szCs w:val="18"/>
          <w:color w:val="auto"/>
        </w:rPr>
        <w:t>”) shall not be earlier than the then Latest Maturity Date;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ind w:left="660" w:firstLine="644"/>
        <w:spacing w:after="0" w:line="282" w:lineRule="auto"/>
        <w:tabs>
          <w:tab w:leader="none" w:pos="208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Commitments shall (x) have the same guarantees as the existing Commitments and Loans, (y) be secured only by the Collateral and (z) rank pari passu in right of payment and of security with the Loans;</w:t>
      </w:r>
    </w:p>
    <w:p>
      <w:pPr>
        <w:spacing w:after="0" w:line="16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Term Commitments may share no more than ratably in any mandatory prepayment required with respect to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Facility;</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227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terms and provisions of any Incremental Revolving Commitments shall be identical to, and pursuant to the same documentation as, the Revolving Credit Loans (it being understood that the pricing, interest rate margins, rate floors and undrawn fees on the Revolving Credit Facility may be increased for all the Revolving Credit Lenders, but additional upfront or similar fees may be payable to the Lenders participating in the Incremental Revolving Commitments without any requirement to pay such amounts to any existing Revolving Credit Lenders), (y) the maturity date of any Incremental Revolving Commitments shall be the same as the maturity date for the Revolving Credit Facility and (z) the Incremental Revolving Commitments shall require no scheduled amortization or mandatory commitment reduction prior to the Maturity Date for the Revolving Credit Facility.</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Incremental Commitments shall be effected by a joinder agreement (the “</w:t>
      </w:r>
      <w:r>
        <w:rPr>
          <w:rFonts w:ascii="Times New Roman" w:cs="Times New Roman" w:eastAsia="Times New Roman" w:hAnsi="Times New Roman"/>
          <w:sz w:val="18"/>
          <w:szCs w:val="18"/>
          <w:b w:val="1"/>
          <w:bCs w:val="1"/>
          <w:color w:val="auto"/>
        </w:rPr>
        <w:t>Increase Joinder</w:t>
      </w:r>
      <w:r>
        <w:rPr>
          <w:rFonts w:ascii="Times New Roman" w:cs="Times New Roman" w:eastAsia="Times New Roman" w:hAnsi="Times New Roman"/>
          <w:sz w:val="18"/>
          <w:szCs w:val="18"/>
          <w:color w:val="auto"/>
        </w:rPr>
        <w:t>”) executed by the Borrower, the Administrative Agent and each Lender making such Incremental Commitment, in form and substance reasonably satisfactory to each of them. Notwithstanding the provisions of Section 11.01, the Increase Joinder may, without the consent of any other Lenders, effect such amendments to this Agreement and the other Loan Documents as may be necessary or appropriate, in the reasonable opinion of the Administrative Agent, to effect the provisions of this Section 2.14, including any such amendments necessary or appropriate to ensure that Incremental Term Loans are “fungible” with any existing class of Term Loans. In addition, unless otherwise specifically provided herein or in the Increase Joinder, all references in Loan Documents to Revolving Credit Loans or Term Loans shall be deemed, unless the context otherwise requires, to include references to Revolving Credit Loans made pursuant to Incremental Revolving Commitments and Incremental Term Loans that are Term Loans, respectively, made pursuant to this Agreement. This Section 2.14 shall supersede any provisions in Section 2.13 or Section 11.01 to the contrary.</w:t>
      </w:r>
    </w:p>
    <w:p>
      <w:pPr>
        <w:spacing w:after="0" w:line="190" w:lineRule="exact"/>
        <w:rPr>
          <w:sz w:val="20"/>
          <w:szCs w:val="20"/>
          <w:color w:val="auto"/>
        </w:rPr>
      </w:pPr>
    </w:p>
    <w:p>
      <w:pPr>
        <w:jc w:val="both"/>
        <w:ind w:firstLine="656"/>
        <w:spacing w:after="0" w:line="256" w:lineRule="auto"/>
        <w:tabs>
          <w:tab w:leader="none" w:pos="15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of Revolving Credit Loans</w:t>
      </w:r>
      <w:r>
        <w:rPr>
          <w:rFonts w:ascii="Times New Roman" w:cs="Times New Roman" w:eastAsia="Times New Roman" w:hAnsi="Times New Roman"/>
          <w:sz w:val="18"/>
          <w:szCs w:val="18"/>
          <w:color w:val="auto"/>
        </w:rPr>
        <w:t>. To the extent the Commitments being increased on the relevant Increase Effective Date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Incremental Revolving Commitments, then each Revolving Credit Lender that is acquiring an Incremental Revolving Commitment on the Increase Effective Date shall make a Revolving Credit Loan, the proceeds of which will be used to prepay the Revolving Credit Loans of the other Revolving Credit Lenders immediately prior to such Increase Effective Date, so that, after giving effect thereto, the Revolving Credit Loans outstanding are held by the Revolving Credit Lenders pro rata based on their Revolving Credit Commitments after giving effect to such Increase Effective Date. If there is a new borrowing of Revolving Credit Loans on such Increase Effective Date, the Revolving Credit Lenders after giving effect to such Increase Effective Date shall make such Revolving Credit Loans in accordance with Section 2.01(b).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i w:val="1"/>
          <w:iCs w:val="1"/>
          <w:color w:val="auto"/>
        </w:rPr>
        <w:t>Cash Collateral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5" w:lineRule="auto"/>
        <w:tabs>
          <w:tab w:leader="none" w:pos="138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Credit Support Events</w:t>
      </w:r>
      <w:r>
        <w:rPr>
          <w:rFonts w:ascii="Times New Roman" w:cs="Times New Roman" w:eastAsia="Times New Roman" w:hAnsi="Times New Roman"/>
          <w:sz w:val="18"/>
          <w:szCs w:val="18"/>
          <w:color w:val="auto"/>
        </w:rPr>
        <w:t>. If (i) the L/C Issuer has honored any full or partial drawing request under any Letter of Credit and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drawing has resulted in an L/C Borrowing, (ii) as of the Letter of Credit Expiration Date, any L/C Obligation for any reason remains outstanding, (iii) the Borrower shall be required to provide Cash Collateral pursuant to Section 8.02(c), or (iv) there shall exist a Defaulting Lender, the Borrower shall immediately (in the case of clause (iii) above) or within two Business Days (in all other cases), following any request by the Administrative Agent or the L/C Issuer, provide Cash Collateral in an amount not less than the applicable Minimum Collateral Amount (determined in the case of Cash Collateral provided pursuant to clause (iv) above, after giving effect to Section 2.16(a)(iv) and any Cash Collateral provided by the Defaulting Lender). Upon the drawing of any Letter of Credit for which funds are on deposit as Cash Collateral, such funds shall be applied, to the extent permitted under applicable Laws, to reimburse the L/C Issuer.</w:t>
      </w:r>
    </w:p>
    <w:p>
      <w:pPr>
        <w:spacing w:after="0" w:line="184" w:lineRule="exact"/>
        <w:rPr>
          <w:rFonts w:ascii="Times New Roman" w:cs="Times New Roman" w:eastAsia="Times New Roman" w:hAnsi="Times New Roman"/>
          <w:sz w:val="18"/>
          <w:szCs w:val="18"/>
          <w:color w:val="auto"/>
        </w:rPr>
      </w:pPr>
    </w:p>
    <w:p>
      <w:pPr>
        <w:jc w:val="both"/>
        <w:ind w:firstLine="656"/>
        <w:spacing w:after="0" w:line="253" w:lineRule="auto"/>
        <w:tabs>
          <w:tab w:leader="none" w:pos="135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 of Security Interest</w:t>
      </w:r>
      <w:r>
        <w:rPr>
          <w:rFonts w:ascii="Times New Roman" w:cs="Times New Roman" w:eastAsia="Times New Roman" w:hAnsi="Times New Roman"/>
          <w:sz w:val="18"/>
          <w:szCs w:val="18"/>
          <w:color w:val="auto"/>
        </w:rPr>
        <w:t>. The Borrower, and to the extent provided by any Defaulting Lender, such Defaulting Lender, hereby grants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Section 2.15(c). If at any time the Administrative Agent reasonably determines that Cash Collateral is subject to any right or claim of any Person other than the Administrative Agent or the L/C Issuer as herein provided, other than Liens permitted under Section 7.01(m),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8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Application</w:t>
      </w:r>
      <w:r>
        <w:rPr>
          <w:rFonts w:ascii="Times New Roman" w:cs="Times New Roman" w:eastAsia="Times New Roman" w:hAnsi="Times New Roman"/>
          <w:sz w:val="18"/>
          <w:szCs w:val="18"/>
          <w:color w:val="auto"/>
        </w:rPr>
        <w:t>. Notwithstanding anything to the contrary contained in this Agreement, Cash Collateral provided under any of this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2.15 or Sections 2.04, 2.05, 2.06, 2.16, or 8.02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2" w:name="page133"/>
    <w:bookmarkEnd w:id="132"/>
    <w:p>
      <w:pPr>
        <w:jc w:val="both"/>
        <w:ind w:firstLine="656"/>
        <w:spacing w:after="0" w:line="258" w:lineRule="auto"/>
        <w:tabs>
          <w:tab w:leader="none" w:pos="14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Cash Collateral (or the appropriate portion thereof) provided to reduce Fronting Exposure or to secure other obligations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released promptly following (i) in whole upon the elimination of the applicable Fronting Exposure or other obligations giving rise thereto (including by the termination of Defaulting Lender status of the applicable Lender (or, as appropriate, its assignee following compliance with Section 11.06(b)(vi))) or</w:t>
      </w:r>
    </w:p>
    <w:p>
      <w:pPr>
        <w:jc w:val="both"/>
        <w:ind w:firstLine="8"/>
        <w:spacing w:after="0" w:line="255" w:lineRule="auto"/>
        <w:tabs>
          <w:tab w:leader="none" w:pos="2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part at any time at which the amount of Cash Collateral exceeds the amount required to be provided as Cash Collateral to eliminate such excess;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any such release shall be without prejudice to, and any disbursement or other transfer of Cash Collateral shall be and remain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Lien conferred under the Loan Documents and the other applicable provisions of the Loan Documents.</w:t>
      </w:r>
    </w:p>
    <w:p>
      <w:pPr>
        <w:spacing w:after="0" w:line="184"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7"/>
          <w:szCs w:val="17"/>
          <w:i w:val="1"/>
          <w:iCs w:val="1"/>
          <w:color w:val="auto"/>
        </w:rPr>
        <w:t>Defaulting Lenders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84" w:lineRule="auto"/>
        <w:tabs>
          <w:tab w:leader="none" w:pos="139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until such time as that Lender is no longer a Defaulting Lender, to the extent permitted by applicable Law:</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67" w:lineRule="auto"/>
        <w:tabs>
          <w:tab w:leader="none" w:pos="20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Waivers and Amendments</w:t>
      </w:r>
      <w:r>
        <w:rPr>
          <w:rFonts w:ascii="Times New Roman" w:cs="Times New Roman" w:eastAsia="Times New Roman" w:hAnsi="Times New Roman"/>
          <w:sz w:val="18"/>
          <w:szCs w:val="18"/>
          <w:color w:val="auto"/>
        </w:rPr>
        <w:t>. Such Defaulting Lender’s right to approve or disapprove any amendment, waiver or consent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this Agreement shall be restricted as set forth in Section 11.01 and in the definition of “Required Lenders” and “Required Revolving Lenders.”</w:t>
      </w:r>
    </w:p>
    <w:p>
      <w:pPr>
        <w:spacing w:after="0" w:line="173" w:lineRule="exact"/>
        <w:rPr>
          <w:rFonts w:ascii="Times New Roman" w:cs="Times New Roman" w:eastAsia="Times New Roman" w:hAnsi="Times New Roman"/>
          <w:sz w:val="18"/>
          <w:szCs w:val="18"/>
          <w:color w:val="auto"/>
        </w:rPr>
      </w:pPr>
    </w:p>
    <w:p>
      <w:pPr>
        <w:jc w:val="both"/>
        <w:ind w:left="660" w:firstLine="644"/>
        <w:spacing w:after="0" w:line="251" w:lineRule="auto"/>
        <w:tabs>
          <w:tab w:leader="none" w:pos="209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Lender Waterfall</w:t>
      </w:r>
      <w:r>
        <w:rPr>
          <w:rFonts w:ascii="Times New Roman" w:cs="Times New Roman" w:eastAsia="Times New Roman" w:hAnsi="Times New Roman"/>
          <w:sz w:val="18"/>
          <w:szCs w:val="18"/>
          <w:color w:val="auto"/>
        </w:rPr>
        <w:t>. Any payment of principal, interest, fees or other amounts received by the Administrative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the account of such Defaulting Lender (whether voluntary or mandatory, at maturity, pursuant to Article 8 or otherwise) or received by the Administrative Agent from a Defaulting Lender pursuant to Section 11.08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on a pro rata basis of any amounts owing by such Defaulting Lender to the L/C Issuer or Swing Line Lender hereunder;</w:t>
      </w:r>
      <w:r>
        <w:rPr>
          <w:rFonts w:ascii="Times New Roman" w:cs="Times New Roman" w:eastAsia="Times New Roman" w:hAnsi="Times New Roman"/>
          <w:sz w:val="18"/>
          <w:szCs w:val="18"/>
          <w:i w:val="1"/>
          <w:iCs w:val="1"/>
          <w:color w:val="auto"/>
        </w:rPr>
        <w:t xml:space="preserve"> third</w:t>
      </w:r>
      <w:r>
        <w:rPr>
          <w:rFonts w:ascii="Times New Roman" w:cs="Times New Roman" w:eastAsia="Times New Roman" w:hAnsi="Times New Roman"/>
          <w:sz w:val="18"/>
          <w:szCs w:val="18"/>
          <w:color w:val="auto"/>
        </w:rPr>
        <w:t>, to Cash Collateralize the L/C Issuer’s Fronting Exposure with respect to such Defaulting Lender in accordance with Section 2.15;</w:t>
      </w:r>
      <w:r>
        <w:rPr>
          <w:rFonts w:ascii="Times New Roman" w:cs="Times New Roman" w:eastAsia="Times New Roman" w:hAnsi="Times New Roman"/>
          <w:sz w:val="18"/>
          <w:szCs w:val="18"/>
          <w:i w:val="1"/>
          <w:iCs w:val="1"/>
          <w:color w:val="auto"/>
        </w:rPr>
        <w:t xml:space="preserve"> fourth</w:t>
      </w:r>
      <w:r>
        <w:rPr>
          <w:rFonts w:ascii="Times New Roman" w:cs="Times New Roman" w:eastAsia="Times New Roman" w:hAnsi="Times New Roman"/>
          <w:sz w:val="18"/>
          <w:szCs w:val="18"/>
          <w:color w:val="auto"/>
        </w:rPr>
        <w: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Section 2.15;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Section 2.16(a)(iv). Any payments, prepayments or other amounts paid or payable to a Defaulting Lender that are applied (or held) to pay amounts owed by a Defaulting Lender or to post Cash Collateral pursuant to this Section 2.16(a)(ii) shall be deemed paid to and redirected by such Defaulting Lender, and each Lender irrevocably consents hereto.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3" w:name="page134"/>
    <w:bookmarkEnd w:id="133"/>
    <w:p>
      <w:pPr>
        <w:jc w:val="both"/>
        <w:ind w:left="-460" w:firstLine="644"/>
        <w:spacing w:after="0" w:line="267" w:lineRule="auto"/>
        <w:tabs>
          <w:tab w:leader="none" w:pos="110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Fees</w:t>
      </w:r>
      <w:r>
        <w:rPr>
          <w:rFonts w:ascii="Times New Roman" w:cs="Times New Roman" w:eastAsia="Times New Roman" w:hAnsi="Times New Roman"/>
          <w:sz w:val="18"/>
          <w:szCs w:val="18"/>
          <w:color w:val="auto"/>
        </w:rPr>
        <w:t>. (A) No Defaulting Lender shall be entitled to receive any fee payable under Section 2.09(a) for any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which that Lender is a Defaulting Lender (and the Borrower shall not be required to pay any such fee that otherwise would have been required to have been paid to that Defaulting Lender).</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60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Section 2.15</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59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fee payable under Section 2.09(a) or (b) or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clause (iv) below, (y) pay to the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86"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30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Reallocation of Applicable Percentages to Reduce Fronting Exposure</w:t>
      </w:r>
      <w:r>
        <w:rPr>
          <w:rFonts w:ascii="Times New Roman" w:cs="Times New Roman" w:eastAsia="Times New Roman" w:hAnsi="Times New Roman"/>
          <w:sz w:val="18"/>
          <w:szCs w:val="18"/>
          <w:color w:val="auto"/>
        </w:rPr>
        <w:t>. All or any part of such Defaulting Lender’s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 in L/C Obligations and Swing Line Loans shall be reallocated among the Non-Defaulting Lenders that are Revolving Credit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Revolving Credit Commitment. Subject to Section 11.21,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2"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12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Collateral, Repayment of Swing Line Loans</w:t>
      </w:r>
      <w:r>
        <w:rPr>
          <w:rFonts w:ascii="Times New Roman" w:cs="Times New Roman" w:eastAsia="Times New Roman" w:hAnsi="Times New Roman"/>
          <w:sz w:val="18"/>
          <w:szCs w:val="18"/>
          <w:color w:val="auto"/>
        </w:rPr>
        <w:t>. If the reallocation described in clause (iv) above cannot, or can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be effected, the Borrower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Section 2.15.</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5" w:right="339" w:bottom="1440" w:gutter="0" w:footer="0" w:header="0"/>
        </w:sectPr>
      </w:pPr>
    </w:p>
    <w:bookmarkStart w:id="134" w:name="page135"/>
    <w:bookmarkEnd w:id="134"/>
    <w:p>
      <w:pPr>
        <w:jc w:val="both"/>
        <w:ind w:firstLine="656"/>
        <w:spacing w:after="0" w:line="254" w:lineRule="auto"/>
        <w:tabs>
          <w:tab w:leader="none" w:pos="152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Lender Cure</w:t>
      </w:r>
      <w:r>
        <w:rPr>
          <w:rFonts w:ascii="Times New Roman" w:cs="Times New Roman" w:eastAsia="Times New Roman" w:hAnsi="Times New Roman"/>
          <w:sz w:val="18"/>
          <w:szCs w:val="18"/>
          <w:color w:val="auto"/>
        </w:rPr>
        <w:t>. If the Borrower, the Administrative Agent, Swing Line Lender and the L/C Issuer agree in writing that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 Line Loans to be held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basis by the Lenders in accordance with their Applicable Percentages (without giving effect to Section 2.16(a)(iv), whereupon such Lender will cease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be a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axes</w:t>
      </w:r>
      <w:r>
        <w:rPr>
          <w:rFonts w:ascii="Times New Roman" w:cs="Times New Roman" w:eastAsia="Times New Roman" w:hAnsi="Times New Roman"/>
          <w:sz w:val="18"/>
          <w:szCs w:val="18"/>
          <w:color w:val="auto"/>
        </w:rPr>
        <w:t>, Y</w:t>
      </w:r>
      <w:r>
        <w:rPr>
          <w:rFonts w:ascii="Times New Roman" w:cs="Times New Roman" w:eastAsia="Times New Roman" w:hAnsi="Times New Roman"/>
          <w:sz w:val="12"/>
          <w:szCs w:val="12"/>
          <w:color w:val="auto"/>
        </w:rPr>
        <w:t>ield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rotection and</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llegality</w:t>
      </w:r>
    </w:p>
    <w:p>
      <w:pPr>
        <w:spacing w:after="0" w:line="20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i w:val="1"/>
          <w:iCs w:val="1"/>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67" w:lineRule="auto"/>
        <w:tabs>
          <w:tab w:leader="none" w:pos="150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 Free of Taxes; Obligation to Withhold; Payments on Account of Taxes</w:t>
      </w:r>
      <w:r>
        <w:rPr>
          <w:rFonts w:ascii="Times New Roman" w:cs="Times New Roman" w:eastAsia="Times New Roman" w:hAnsi="Times New Roman"/>
          <w:sz w:val="18"/>
          <w:szCs w:val="18"/>
          <w:color w:val="auto"/>
        </w:rPr>
        <w:t>. (i) Any and all payments by or on account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of any Loan Party under any Loan Document shall be made without deduction or withholding for any Taxes, except as required by applicable Laws.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05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Loan Party or the Administrative Agent shall determine in its sole good faith discretion that it is required by the Code to withhold or deduct any Taxes, including United States federal backup withholding and withholding Taxes, from any payment, then (A) such Loan Party or the Administrative Agent shall be entitled to withhold or make such deductions as are determined by it to be required based upon the information and documentation it has received pursuant to subsection (e) below, (B) such Loan Party or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withholdings or deductions (including withholdings and deductions applicable to additional sums payable under this Section 3.01) the applicable Recipient receives an amount equal to the sum it would have received had no such withholding or deduction been made.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5" w:name="page136"/>
    <w:bookmarkEnd w:id="135"/>
    <w:p>
      <w:pPr>
        <w:jc w:val="both"/>
        <w:ind w:left="660" w:firstLine="644"/>
        <w:spacing w:after="0" w:line="254" w:lineRule="auto"/>
        <w:tabs>
          <w:tab w:leader="none" w:pos="228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Loan Party or the Administrative Agent shall determine in its sole good faith discretion that it is required by any applicable Laws other than the Code to withhold or deduct any Taxes from any payment, then (A) such Loan Party or the Administrative Agent, as required by such Laws, shall be entitled to withhold or make such deductions as are determined by it to be required based upon the information and documentation it has received pursuant to subsection (e)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withholdings or deductions (including withholdings and deductions applicable to additional sums payable under this Section 3.01) the applicable Recipient receives an amount equal to the sum it would have received had no such withholding or deduction been made.</w:t>
      </w:r>
    </w:p>
    <w:p>
      <w:pPr>
        <w:spacing w:after="0" w:line="186" w:lineRule="exact"/>
        <w:rPr>
          <w:rFonts w:ascii="Times New Roman" w:cs="Times New Roman" w:eastAsia="Times New Roman" w:hAnsi="Times New Roman"/>
          <w:sz w:val="18"/>
          <w:szCs w:val="18"/>
          <w:color w:val="auto"/>
        </w:rPr>
      </w:pPr>
    </w:p>
    <w:p>
      <w:pPr>
        <w:ind w:right="20" w:firstLine="656"/>
        <w:spacing w:after="0" w:line="284" w:lineRule="auto"/>
        <w:tabs>
          <w:tab w:leader="none" w:pos="144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Other Taxes by the Borrower</w:t>
      </w:r>
      <w:r>
        <w:rPr>
          <w:rFonts w:ascii="Times New Roman" w:cs="Times New Roman" w:eastAsia="Times New Roman" w:hAnsi="Times New Roman"/>
          <w:sz w:val="18"/>
          <w:szCs w:val="18"/>
          <w:color w:val="auto"/>
        </w:rPr>
        <w:t>. The Borrower shall timely pay to the relevant Governmental Authority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 or at the option of the Administrative Agent timely reimburse it for the payment of, any Other Taxes.</w:t>
      </w:r>
    </w:p>
    <w:p>
      <w:pPr>
        <w:spacing w:after="0" w:line="158" w:lineRule="exact"/>
        <w:rPr>
          <w:rFonts w:ascii="Times New Roman" w:cs="Times New Roman" w:eastAsia="Times New Roman" w:hAnsi="Times New Roman"/>
          <w:sz w:val="18"/>
          <w:szCs w:val="18"/>
          <w:color w:val="auto"/>
        </w:rPr>
      </w:pPr>
    </w:p>
    <w:p>
      <w:pPr>
        <w:jc w:val="both"/>
        <w:ind w:firstLine="656"/>
        <w:spacing w:after="0" w:line="256" w:lineRule="auto"/>
        <w:tabs>
          <w:tab w:leader="none" w:pos="138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Indemnifications</w:t>
      </w:r>
      <w:r>
        <w:rPr>
          <w:rFonts w:ascii="Times New Roman" w:cs="Times New Roman" w:eastAsia="Times New Roman" w:hAnsi="Times New Roman"/>
          <w:sz w:val="18"/>
          <w:szCs w:val="18"/>
          <w:color w:val="auto"/>
        </w:rPr>
        <w:t>. (i) The Borrower shall indemnify each Recipient, and shall make payment in respect thereof within 10 days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therefor, for the full amount of any Indemnified Taxes (including Indemnified Taxes imposed or asserted on or attributable to amounts payable under this Section 3.01)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w:t>
      </w:r>
    </w:p>
    <w:p>
      <w:pPr>
        <w:spacing w:after="0" w:line="184"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07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the Borrower has not already indemnified the Administrative Agent for such Indemnified Taxes and without limiting the obligation of the Borrower to do so), (y) the Administrative Agent and the Loan Parties, as applicable, against any Taxes attributable to such Lender’s failure to comply with the provisions of Section 11.06(d) relating to the 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shall be conclusive absent manifest error. Each Lender and the L/C Issuer hereby authorizes the Administrative Agent to set off and apply any and all amounts at any time owing to such Lender or the L/C Issuer, as the case may be, under this Agreement or any other Loan Document or otherwise payable by the Administrative Agent to such Lender from any other source against any amount due to the Administrative Agent under this clause (ii).</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jc w:val="both"/>
        <w:ind w:firstLine="656"/>
        <w:spacing w:after="0" w:line="258" w:lineRule="auto"/>
        <w:tabs>
          <w:tab w:leader="none" w:pos="135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Evidence of Payments</w:t>
      </w:r>
      <w:r>
        <w:rPr>
          <w:rFonts w:ascii="Times New Roman" w:cs="Times New Roman" w:eastAsia="Times New Roman" w:hAnsi="Times New Roman"/>
          <w:sz w:val="18"/>
          <w:szCs w:val="18"/>
          <w:color w:val="auto"/>
        </w:rPr>
        <w:t>. As soon as practicable after any payment of Taxes by the Borrower or the Administrative Agent, as the case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to a Governmental Authority as provided in this Section 3.01, the Borrower shall deliver to the Administrative Agent or the Administrative Agent shall deliver to the Borrower, as the case may be, the original or a certified copy of a receipt issued by such Governmental Authority evidencing such payment, a copy of any return required by the applicable Laws to report such payment or other evidence of such payment reasonably satisfactory to the Borrower or the Administrative Agent, as the case may be.</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5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of Lenders; Tax Documentation</w:t>
      </w:r>
      <w:r>
        <w:rPr>
          <w:rFonts w:ascii="Times New Roman" w:cs="Times New Roman" w:eastAsia="Times New Roman" w:hAnsi="Times New Roman"/>
          <w:sz w:val="18"/>
          <w:szCs w:val="18"/>
          <w:color w:val="auto"/>
        </w:rPr>
        <w:t>. (i) Any Lender that is entitled to an exemption from or reduction of withholding Tax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3.01(e)(ii)(A),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7"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722"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772"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7" w:name="page138"/>
    <w:bookmarkEnd w:id="137"/>
    <w:p>
      <w:pPr>
        <w:jc w:val="both"/>
        <w:ind w:left="840" w:firstLine="640"/>
        <w:spacing w:after="0" w:line="256" w:lineRule="auto"/>
        <w:tabs>
          <w:tab w:leader="none" w:pos="226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87" w:lineRule="exact"/>
        <w:rPr>
          <w:rFonts w:ascii="Times New Roman" w:cs="Times New Roman" w:eastAsia="Times New Roman" w:hAnsi="Times New Roman"/>
          <w:sz w:val="18"/>
          <w:szCs w:val="18"/>
          <w:color w:val="auto"/>
        </w:rPr>
      </w:pPr>
    </w:p>
    <w:p>
      <w:pPr>
        <w:ind w:left="2180" w:hanging="700"/>
        <w:spacing w:after="0"/>
        <w:tabs>
          <w:tab w:leader="none" w:pos="21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232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 (x) a certificate substantially in the form of Exhibit M-1 to the effect that such Foreign Lender is not a “bank” within the meaning of Section 881(c)(3)(A) of the Code, a “10 percent shareholder” of the Borrower within the meaning of Section 881(c)(3)(B) of the Code, or a “controlled foreign corporation” described in Section 881(c)(3)(C) of the Code, and that no payments hereunder to such Lender are effectively connected with the conduct of a U.S. trade or business (a “</w:t>
      </w:r>
      <w:r>
        <w:rPr>
          <w:rFonts w:ascii="Times New Roman" w:cs="Times New Roman" w:eastAsia="Times New Roman" w:hAnsi="Times New Roman"/>
          <w:sz w:val="18"/>
          <w:szCs w:val="18"/>
          <w:b w:val="1"/>
          <w:bCs w:val="1"/>
          <w:color w:val="auto"/>
        </w:rPr>
        <w:t>U.S.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and (y) executed copies of IRS Form W-8BEN or IRS Form W-8BEN-E, as applicable; or</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255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copies of IRS Form W-8IMY, accompanied by IRS Form W-8ECI, IRS Form W-8BEN or IRS Form W-8BEN-E, as applicable, a U.S. Tax Compliance Certificate substantially in the form of Exhibit M-2 or Exhibit M-3, IRS Form W-9, and/or other certification documents from each beneficial owner,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M-4 on behalf of each such direct and indirect partner;</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65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39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38" w:name="page139"/>
    <w:bookmarkEnd w:id="138"/>
    <w:p>
      <w:pPr>
        <w:jc w:val="both"/>
        <w:ind w:left="1300" w:firstLine="652"/>
        <w:spacing w:after="0" w:line="254" w:lineRule="auto"/>
        <w:tabs>
          <w:tab w:leader="none" w:pos="2739"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Laws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7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agrees that if any form or certification it previously delivered pursuant to this Section 3.01 expires or becomes obsolete or inaccurate in any respect, it shall update such form or certification or promptly notify the Borrower and the Administrative Agent in writing of its legal inability to do so.</w:t>
      </w:r>
    </w:p>
    <w:p>
      <w:pPr>
        <w:spacing w:after="0" w:line="173" w:lineRule="exact"/>
        <w:rPr>
          <w:rFonts w:ascii="Times New Roman" w:cs="Times New Roman" w:eastAsia="Times New Roman" w:hAnsi="Times New Roman"/>
          <w:sz w:val="18"/>
          <w:szCs w:val="18"/>
          <w:color w:val="auto"/>
        </w:rPr>
      </w:pPr>
    </w:p>
    <w:p>
      <w:pPr>
        <w:jc w:val="both"/>
        <w:ind w:firstLine="656"/>
        <w:spacing w:after="0" w:line="252" w:lineRule="auto"/>
        <w:tabs>
          <w:tab w:leader="none" w:pos="13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Certain Refunds</w:t>
      </w:r>
      <w:r>
        <w:rPr>
          <w:rFonts w:ascii="Times New Roman" w:cs="Times New Roman" w:eastAsia="Times New Roman" w:hAnsi="Times New Roman"/>
          <w:sz w:val="18"/>
          <w:szCs w:val="18"/>
          <w:color w:val="auto"/>
        </w:rPr>
        <w:t>. Unless required by applicable Laws, at no time shall the Administrative Agent have any obligation to 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or otherwise pursue on behalf of a Lender or the L/C Issuer, or have any obligation to pay to any Lender or the L/C Issuer, any refund of Taxes withheld or deducted from the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Section 3.01, it shall pay to such Loan Party an amount equal to such refund (but only to the extent of indemnity payments made, or additional amounts paid, by such Loan Party under this Section 3.01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jc w:val="both"/>
        <w:ind w:firstLine="656"/>
        <w:spacing w:after="0" w:line="267" w:lineRule="auto"/>
        <w:tabs>
          <w:tab w:leader="none" w:pos="143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Each party’s obligations under this Section 3.01 shall survive the resignation or replacement of the Administrative Agent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assignment of rights by, or the replacement of, a Lender or the L/C Issuer, the termination of the Commitments and the repayment, satisfaction or discharge of all other Obligations under any Loan Document.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If any Lender reasonably determines that any Law has made it unlawful, or that any Governmental Authority has asserted that it is unlawful, for any Lender or its applicable Lending Office to make, maintain or fund Loans whose interest is determined by reference to the Term SOFR, or to determine or charge interest rates based upon the Term SOFR, or any Governmental Authority has imposed material restrictions on the authority of such Lender to purchase or sell, or to take deposits of, Dollars, then, on notice thereof by such Lender to the Borrower through the Administrative Agent, (i) any obligation of such Lender to make or continue Term SOFR Loans or to convert Base Rate Loans to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w:t>
      </w:r>
    </w:p>
    <w:p>
      <w:pPr>
        <w:spacing w:after="0" w:line="1" w:lineRule="exact"/>
        <w:rPr>
          <w:sz w:val="20"/>
          <w:szCs w:val="20"/>
          <w:color w:val="auto"/>
        </w:rPr>
      </w:pPr>
    </w:p>
    <w:p>
      <w:pPr>
        <w:jc w:val="both"/>
        <w:ind w:firstLine="8"/>
        <w:spacing w:after="0" w:line="251" w:lineRule="auto"/>
        <w:tabs>
          <w:tab w:leader="none" w:pos="25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upon demand from such Lender (with a copy to the Administrative Agent), prepay or, if applicable and such Loans are denominated in Dollars,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to such day, or immediately, if such Lender may not lawfully continue to maintain such Term SOFR Loans and (y) if such notice asserts the illegality of such Lender determining or charging interest rates based upon the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the Term SOFR. Upon any such prepayment or conversion, the Borrower shall also pay accrued interest on the amount so prepaid or converted.</w:t>
      </w:r>
    </w:p>
    <w:p>
      <w:pPr>
        <w:spacing w:after="0" w:line="191"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i w:val="1"/>
          <w:iCs w:val="1"/>
          <w:color w:val="auto"/>
        </w:rPr>
        <w:t>Inability to Determine Rates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5" w:lineRule="auto"/>
        <w:tabs>
          <w:tab w:leader="none" w:pos="136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request for a Term SOFR Loan, conversion of a Base Rate Loan to a Term SOFR Loan or continuation of a of Term SOFR Loan, as applicable, (i) the Administrative Agent determines (which determination shall be conclusive absent manifest error) that (A) no Successor Rate has been determined in accordance with Section 3.03(b), and the circumstances under clause (i) of Section 3.03(b)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 respect to a proposed Loan does not adequately and fairly reflect the cost to such Lenders of funding such Loan, the Administrative Agent will promptly so notify the Borrower and each Lender.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0" w:name="page141"/>
    <w:bookmarkEnd w:id="14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Section 3.03(a), until the Administrative Agent upon instruction of the Required Lenders) revokes such notice.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receipt of such notice, (i) the Borrower may revoke any pending request for a Borrowing of,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spacing w:after="0" w:line="178" w:lineRule="exact"/>
        <w:rPr>
          <w:sz w:val="20"/>
          <w:szCs w:val="20"/>
          <w:color w:val="auto"/>
        </w:rPr>
      </w:pPr>
    </w:p>
    <w:p>
      <w:pPr>
        <w:jc w:val="both"/>
        <w:ind w:firstLine="656"/>
        <w:spacing w:after="0" w:line="261" w:lineRule="auto"/>
        <w:tabs>
          <w:tab w:leader="none" w:pos="165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Replacement of Term SOFR or Successor Rate</w:t>
      </w:r>
      <w:r>
        <w:rPr>
          <w:rFonts w:ascii="Times New Roman" w:cs="Times New Roman" w:eastAsia="Times New Roman" w:hAnsi="Times New Roman"/>
          <w:sz w:val="18"/>
          <w:szCs w:val="18"/>
          <w:color w:val="auto"/>
        </w:rPr>
        <w:t>. Notwithstanding anything to the contrary in this Agreement or any other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8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4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one month, three month or six month interest periods of Term SOFR, including, without limitation, because the Term SOFR Screen Rate for such interest periods is not available or published on a current basis and such circumstances are unlikely to be temporary;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07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or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reasonably satisfactory to the Administrative Agent, that will continue to provide such interest periods of Term SOFR after such specific date (the latest date on which one month, three month or six month interest periods of Term SOFR or the Term SOFR Screen Rate are no longer available permanently or indefinitely, the “</w:t>
      </w:r>
      <w:r>
        <w:rPr>
          <w:rFonts w:ascii="Times New Roman" w:cs="Times New Roman" w:eastAsia="Times New Roman" w:hAnsi="Times New Roman"/>
          <w:sz w:val="18"/>
          <w:szCs w:val="18"/>
          <w:b w:val="1"/>
          <w:bCs w:val="1"/>
          <w:color w:val="auto"/>
        </w:rPr>
        <w:t>Scheduled Unavailability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p>
      <w:pPr>
        <w:jc w:val="both"/>
        <w:spacing w:after="0" w:line="259" w:lineRule="auto"/>
        <w:rPr>
          <w:sz w:val="20"/>
          <w:szCs w:val="20"/>
          <w:color w:val="auto"/>
        </w:rPr>
      </w:pPr>
      <w:r>
        <w:rPr>
          <w:rFonts w:ascii="Times New Roman" w:cs="Times New Roman" w:eastAsia="Times New Roman" w:hAnsi="Times New Roman"/>
          <w:sz w:val="18"/>
          <w:szCs w:val="18"/>
          <w:color w:val="auto"/>
        </w:rPr>
        <w:t>then, on a date and time determined by the Administrative Agent (any such date, the “</w:t>
      </w:r>
      <w:r>
        <w:rPr>
          <w:rFonts w:ascii="Times New Roman" w:cs="Times New Roman" w:eastAsia="Times New Roman" w:hAnsi="Times New Roman"/>
          <w:sz w:val="18"/>
          <w:szCs w:val="18"/>
          <w:b w:val="1"/>
          <w:bCs w:val="1"/>
          <w:color w:val="auto"/>
        </w:rPr>
        <w:t>Term SOFR Replacement Date</w:t>
      </w:r>
      <w:r>
        <w:rPr>
          <w:rFonts w:ascii="Times New Roman" w:cs="Times New Roman" w:eastAsia="Times New Roman" w:hAnsi="Times New Roman"/>
          <w:sz w:val="18"/>
          <w:szCs w:val="18"/>
          <w:color w:val="auto"/>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b w:val="1"/>
          <w:bCs w:val="1"/>
          <w:color w:val="auto"/>
        </w:rPr>
        <w:t>Successor Rate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herein, (i) if the Administrative Agent determines that Daily Simple SOFR is not available on or prior to the Term SOFR Replacement Date, or (ii) if the events or circumstances of the type described in Section 3.03(b)(i) or (ii) have occurred with respect to the Successor Rate then in effect, then in each case, the Administrative Agent and the Borrower may amend this Agreement solely for the purpose of replacing Term SOFR or any then current Successor Rate in accordance with this Section 3.03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Administrative Agent will promptly (in one or more notices) notify the Borrower and each Lender of the implementation of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2" w:name="page143"/>
    <w:bookmarkEnd w:id="142"/>
    <w:p>
      <w:pPr>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Section 3.03, those Lenders that either have not made, or do not have an obligation under this Agreement to make, the relevant Loans in U.S. Dollars shall be excluded from any determination of Required Lenders.</w:t>
      </w:r>
    </w:p>
    <w:p>
      <w:pPr>
        <w:spacing w:after="0" w:line="16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i w:val="1"/>
          <w:iCs w:val="1"/>
          <w:color w:val="auto"/>
        </w:rPr>
        <w:t>Increased Costs; Reserves on Term SOFR Loans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360" w:hanging="704"/>
        <w:spacing w:after="0"/>
        <w:tabs>
          <w:tab w:leader="none" w:pos="13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Generally. If any Change in Law shall:</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15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4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17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L/C Issuer any other condition, cost or expense (other than Taxes) affecting this Agreement or Term SOFR Loans made by such Lender or any Letter of Credit or participation therein;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converting to, continuing or maintaining any Loan the interest on which is determined by reference to the Term SOFR (or, in the case of clause (ii) above, any Loan), or of maintaining its obligation to make any such Loan, or to increase the cost to such Lender, the L/C Issuer or such other Recipient of participating in, issuing or maintaining any Letter of Credit (or of maintaining its obligation to participate in or to issue any Letter of Credit), or to reduce the amount of any sum received or receivable by such Lender, the L/C Issuer or other Recipient hereunder (whether of principal, interest or any other amount) then, upon request of such Lender, the L/C Issuer or other Recipient, the Borrower will pay to such Lender, the L/C Issuer or other Recipient, as the case may be, such additional amount or amounts as will compensate such Lender, the L/C Issuer or other Recipient, as the case may be, for such additional costs incurred or reduced amount received or receivable.</w:t>
      </w:r>
    </w:p>
    <w:p>
      <w:pPr>
        <w:spacing w:after="0" w:line="190" w:lineRule="exact"/>
        <w:rPr>
          <w:sz w:val="20"/>
          <w:szCs w:val="20"/>
          <w:color w:val="auto"/>
        </w:rPr>
      </w:pPr>
    </w:p>
    <w:p>
      <w:pPr>
        <w:jc w:val="both"/>
        <w:ind w:firstLine="656"/>
        <w:spacing w:after="0" w:line="254" w:lineRule="auto"/>
        <w:tabs>
          <w:tab w:leader="none" w:pos="143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Requirements</w:t>
      </w:r>
      <w:r>
        <w:rPr>
          <w:rFonts w:ascii="Times New Roman" w:cs="Times New Roman" w:eastAsia="Times New Roman" w:hAnsi="Times New Roman"/>
          <w:sz w:val="18"/>
          <w:szCs w:val="18"/>
          <w:color w:val="auto"/>
        </w:rPr>
        <w:t>. If any Lender or the L/C Issuer determines that any Change in Law affecting such Lender or the L/C Issuer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and liquidity),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jc w:val="both"/>
        <w:ind w:firstLine="656"/>
        <w:spacing w:after="0" w:line="256" w:lineRule="auto"/>
        <w:tabs>
          <w:tab w:leader="none" w:pos="134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Certificates for Reimbursement</w:t>
      </w:r>
      <w:r>
        <w:rPr>
          <w:rFonts w:ascii="Times New Roman" w:cs="Times New Roman" w:eastAsia="Times New Roman" w:hAnsi="Times New Roman"/>
          <w:sz w:val="18"/>
          <w:szCs w:val="18"/>
          <w:color w:val="auto"/>
        </w:rPr>
        <w:t>. A certificate of a Lender or the L/C Issuer setting forth the amount or amounts necessary to compensate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Lender or the L/C Issuer or its holding company, as the case may be, as specified in subsection (a) or (b) of this Section and delivered to the Borrower shall (i) be conclusive absent manifest error and (ii) certify that the claim for compensation referred to therein is generally consistent with such Lender’s or L/C Issuer’s treatment of other borrowers of such Lender or L/C Issuer in the U.S. leveraged loan market with respect to similarly affected commitments, loans and/or participations under agreements with such borrowers having provisions similar to this Section 3.04, but such Lender or L/C Issuer, as the case may be, shall not be required to disclose any confidential or proprietary information therein. The Borrower shall pay such Lender or the L/C Issuer, as the case may be, the amount shown as due on any such certificate within 10 days after receipt thereof.</w:t>
      </w:r>
    </w:p>
    <w:p>
      <w:pPr>
        <w:spacing w:after="0" w:line="182" w:lineRule="exact"/>
        <w:rPr>
          <w:rFonts w:ascii="Times New Roman" w:cs="Times New Roman" w:eastAsia="Times New Roman" w:hAnsi="Times New Roman"/>
          <w:sz w:val="18"/>
          <w:szCs w:val="18"/>
          <w:color w:val="auto"/>
        </w:rPr>
      </w:pPr>
    </w:p>
    <w:p>
      <w:pPr>
        <w:jc w:val="both"/>
        <w:ind w:firstLine="656"/>
        <w:spacing w:after="0" w:line="256" w:lineRule="auto"/>
        <w:tabs>
          <w:tab w:leader="none" w:pos="150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 in Requests</w:t>
      </w:r>
      <w:r>
        <w:rPr>
          <w:rFonts w:ascii="Times New Roman" w:cs="Times New Roman" w:eastAsia="Times New Roman" w:hAnsi="Times New Roman"/>
          <w:sz w:val="18"/>
          <w:szCs w:val="18"/>
          <w:color w:val="auto"/>
        </w:rPr>
        <w:t>. Failure or delay on the part of any Lender or the L/C Issuer to demand compensation pursuant to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provisions of this Section 3.04 shall not constitute a waiver of such Lender’s or the L/C Issuer’s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be required to compensate a Lender or the L/C Issuer pursuant to the foregoing provisions of this Section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i w:val="1"/>
          <w:iCs w:val="1"/>
          <w:color w:val="auto"/>
        </w:rPr>
        <w:t>Compensation for Losses</w:t>
      </w:r>
      <w:r>
        <w:rPr>
          <w:rFonts w:ascii="Times New Roman" w:cs="Times New Roman" w:eastAsia="Times New Roman" w:hAnsi="Times New Roman"/>
          <w:sz w:val="18"/>
          <w:szCs w:val="18"/>
          <w:color w:val="auto"/>
        </w:rPr>
        <w:t>.  Upon demand of any Lender (with a copy to the Administrative Agent) from time to time,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shall promptly compensate such Lender for and hold such Lender harmless from any loss, cost or expense incurred by it as a result of:</w:t>
      </w:r>
    </w:p>
    <w:p>
      <w:pPr>
        <w:spacing w:after="0" w:line="207" w:lineRule="exact"/>
        <w:rPr>
          <w:sz w:val="20"/>
          <w:szCs w:val="20"/>
          <w:color w:val="auto"/>
        </w:rPr>
      </w:pPr>
    </w:p>
    <w:p>
      <w:pPr>
        <w:ind w:firstLine="656"/>
        <w:spacing w:after="0" w:line="282" w:lineRule="auto"/>
        <w:tabs>
          <w:tab w:leader="none" w:pos="136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of any Term SOFR Loan on a day other than the last day of the Interest Period for such Loan (whether voluntary, mandatory, automatic, by reason of acceleration, or otherwise);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2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(for a reason other than the failure of such Lender to make a Loan) to prepay, borrow, continue or convert any Term SOFR Loan on the date or in the amount notified by the Borrower; or</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9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of a Term SOFR Loan on a day other than the last day of the Interest Period therefor as a result of a request by the Borrower pursuant to Section 11.13.</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4" w:name="page145"/>
    <w:bookmarkEnd w:id="14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Such loss, cost or expense to any Lender shall be deemed to include an amount determined by such Lender to be the excess, if any, of (i) the amount of interest that would have accrued on the principal amount of such Term SOFR Loan had such event not occurred, at the Term SOFR that would have been applicable to such Loan (but not including the Applicable Rate applicable thereto), for the period from the date of such event to the last day of the then current Interest Period therefor (or, in the case of a failure to borrow, convert or continue, for the period that would have been the Interest Period for such Term SOFR Loan), over (ii) the amount of interest that would accrue on such principal amount for such period at the interest rate which such Lender would bid were it to bid, at the commencement of such period, for dollar deposits of a comparable amount and period from other banks, and shall</w:t>
      </w:r>
    </w:p>
    <w:p>
      <w:pPr>
        <w:spacing w:after="0" w:line="5" w:lineRule="exact"/>
        <w:rPr>
          <w:sz w:val="20"/>
          <w:szCs w:val="20"/>
          <w:color w:val="auto"/>
        </w:rPr>
      </w:pPr>
    </w:p>
    <w:p>
      <w:pPr>
        <w:ind w:firstLine="8"/>
        <w:spacing w:after="0" w:line="260" w:lineRule="auto"/>
        <w:tabs>
          <w:tab w:leader="none" w:pos="27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any losses of anticipated profits and (y) include any foreign exchange losses. A certificate of any Lender delivered to the Borrower setting forth any amount or amounts that such Lender is entitled to receive pursuant to this Section shall be conclusive absent manifest error.</w:t>
      </w:r>
    </w:p>
    <w:p>
      <w:pPr>
        <w:spacing w:after="0" w:line="179"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7"/>
          <w:szCs w:val="17"/>
          <w:i w:val="1"/>
          <w:iCs w:val="1"/>
          <w:color w:val="auto"/>
        </w:rPr>
        <w:t>Mitigation Obligations; Replacement of Lenders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3" w:lineRule="auto"/>
        <w:tabs>
          <w:tab w:leader="none" w:pos="141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Designation of a Different Lending Office</w:t>
      </w:r>
      <w:r>
        <w:rPr>
          <w:rFonts w:ascii="Times New Roman" w:cs="Times New Roman" w:eastAsia="Times New Roman" w:hAnsi="Times New Roman"/>
          <w:sz w:val="18"/>
          <w:szCs w:val="18"/>
          <w:color w:val="auto"/>
        </w:rPr>
        <w:t>. Each Lender may make any Credit Extension to the Borrower through any Lending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that the exercise of this option shall not affect the obligation of the Borrower to repay the Credit Extension in accordance with the terms of this Agreement. If any Lender or the L/C Issuer requests compensation under Section 3.04, or the Borrower is required to pay any Indemnified Taxes or additional amounts to any Lender, the L/C Issuer, or any Governmental Authority for the account of any Lender or the L/C Issuer pursuant to Section 3.01, or if any Lender gives a notice pursuant to Section 3.02,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Section 3.01 or 3.04, as the case may be, in the future, or eliminate the need for the notice pursuant to Section 3.02,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Replacement of Lenders</w:t>
      </w:r>
      <w:r>
        <w:rPr>
          <w:rFonts w:ascii="Times New Roman" w:cs="Times New Roman" w:eastAsia="Times New Roman" w:hAnsi="Times New Roman"/>
          <w:sz w:val="18"/>
          <w:szCs w:val="18"/>
          <w:color w:val="auto"/>
        </w:rPr>
        <w:t>. If any Lender requests compensation under Section 3.04, or if the Borrower is required to pay any Indemnified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or additional amounts to any Lender or any Governmental Authority for the account of any Lender pursuant to Section 3.01, and in each case, such Lender has declined or is unable to designate a different Lending Office in accordance with Section 3.06(a), the Borrower may replace such Lender in accordance with Section 11.13.</w:t>
      </w:r>
    </w:p>
    <w:p>
      <w:pPr>
        <w:spacing w:after="0" w:line="18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All of the Loan Parties’ obligations under this Article 3 shall survive termination of the Aggregate Commitments, repayment of all other Obligations hereunder, and resignation of the Administrative Agent.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recedent 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xtensions</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Conditions to Initial Credit Extensions</w:t>
      </w:r>
      <w:r>
        <w:rPr>
          <w:rFonts w:ascii="Times New Roman" w:cs="Times New Roman" w:eastAsia="Times New Roman" w:hAnsi="Times New Roman"/>
          <w:sz w:val="18"/>
          <w:szCs w:val="18"/>
          <w:color w:val="auto"/>
        </w:rPr>
        <w:t>. The obligation of each Lender to make its initial Credit Extension hereunder is subject to satisfaction of the following conditions precedent:</w:t>
      </w:r>
    </w:p>
    <w:p>
      <w:pPr>
        <w:spacing w:after="0" w:line="160" w:lineRule="exact"/>
        <w:rPr>
          <w:sz w:val="20"/>
          <w:szCs w:val="20"/>
          <w:color w:val="auto"/>
        </w:rPr>
      </w:pPr>
    </w:p>
    <w:p>
      <w:pPr>
        <w:jc w:val="both"/>
        <w:ind w:firstLine="656"/>
        <w:spacing w:after="0" w:line="266" w:lineRule="auto"/>
        <w:tabs>
          <w:tab w:leader="none" w:pos="158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the following, each of which shall be originals or electronic copies (followed promptly by originals) unless otherwise specified, each properly executed by a Responsible Officer of the signing Loan Party, each dated the Closing Date (or, in the case of certificates of governmental officials, a recent date before the Closing Date):</w:t>
      </w:r>
    </w:p>
    <w:p>
      <w:pPr>
        <w:spacing w:after="0" w:line="17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counterparts of the Restatement Agreement from each Loan Party and each Lender, in each case, as of the Closing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6"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executed by the Borrower in favor of each Lender requesting a Note at least three (3) Business Days before the Closing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6"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63"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or is to be a party (or a certification that such Responsible Officers have not changed since the Original Closing Date or the 2022 Closing Date, as applicable);</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2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documents and certifications as the Administrative Agent may reasonably require to evidence that each Loan Party is duly organized or formed, and that each Loan Party is validly existing, in good standing and qualified to engage in business in such Loan Party’s jurisdiction of organization or formation, as applicable (or, in the case of the Organization Documents of any Loan Party, a certification that such Organization Documents have not been amended since the Original Closing Date or the 2022 Closing Date, as applicable);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9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a Responsible Officer of the Borrower certifying (A) that the conditions specified in Section 4.02 (other than with respect to (1) the representation set forth in Section 5.18 and (2) the representations set forth in any Loan Document dated the Closing Date) and Section 4.02(a) have been satisfied and (B) that there has been no event or circumstance since the date of the Audited Financial Statements that has had or could be reasonably expected to have, either individually or in the aggregate, a Material Adverse Effect;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jc w:val="both"/>
        <w:ind w:left="660" w:firstLine="644"/>
        <w:spacing w:after="0" w:line="266" w:lineRule="auto"/>
        <w:tabs>
          <w:tab w:leader="none" w:pos="21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attesting to the Solvency of the Borrower and its Subsidiaries, taken as a whole, giving effect to the Transactions (as defined in the Solvency Certificate attached hereto as Exhibit N) and the Borrowings hereunder as if they occurred on the Closing Date, from the Borrower’s chief financial officer, substantially in the form of Exhibit N.</w:t>
      </w:r>
    </w:p>
    <w:p>
      <w:pPr>
        <w:spacing w:after="0" w:line="173"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Historical Financial Statements</w:t>
      </w:r>
      <w:r>
        <w:rPr>
          <w:rFonts w:ascii="Times New Roman" w:cs="Times New Roman" w:eastAsia="Times New Roman" w:hAnsi="Times New Roman"/>
          <w:sz w:val="18"/>
          <w:szCs w:val="18"/>
          <w:color w:val="auto"/>
        </w:rPr>
        <w:t>. The Administrative Agent shall have received the historical financial statements referred to in Section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5.05(a).</w:t>
      </w:r>
    </w:p>
    <w:p>
      <w:pPr>
        <w:spacing w:after="0" w:line="205" w:lineRule="exact"/>
        <w:rPr>
          <w:sz w:val="20"/>
          <w:szCs w:val="20"/>
          <w:color w:val="auto"/>
        </w:rPr>
      </w:pPr>
    </w:p>
    <w:p>
      <w:pPr>
        <w:jc w:val="both"/>
        <w:ind w:firstLine="656"/>
        <w:spacing w:after="0" w:line="267" w:lineRule="auto"/>
        <w:tabs>
          <w:tab w:leader="none" w:pos="161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The Borrower and each of the Guarantors shall have provided the documentation and other information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Agent and Lenders that are required by regulatory authorities under applicable “know-your-customer” rules and regulations, including the USA Patriot Act, to the extent the Borrower shall have received written requests therefor at least three (3) Business Days prior to the Closing Date.</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150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Date Refinancing</w:t>
      </w:r>
      <w:r>
        <w:rPr>
          <w:rFonts w:ascii="Times New Roman" w:cs="Times New Roman" w:eastAsia="Times New Roman" w:hAnsi="Times New Roman"/>
          <w:sz w:val="18"/>
          <w:szCs w:val="18"/>
          <w:color w:val="auto"/>
        </w:rPr>
        <w:t>. Substantially simultaneously with the funding of the Term Loans on the Closing Date, the Closing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Refinancing shall have been consummated.</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38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Opinions</w:t>
      </w:r>
      <w:r>
        <w:rPr>
          <w:rFonts w:ascii="Times New Roman" w:cs="Times New Roman" w:eastAsia="Times New Roman" w:hAnsi="Times New Roman"/>
          <w:sz w:val="18"/>
          <w:szCs w:val="18"/>
          <w:color w:val="auto"/>
        </w:rPr>
        <w:t>. The Administrative Agent shall have received customary opinions of (A) Simpson Thacher &amp; Bartlett LLP, counsel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Loan Parties and (B) Gregory Belliston, Utah counsel to the Loan Parties, in each case addressed to the Administrative Agent and each Lender.</w:t>
      </w:r>
    </w:p>
    <w:p>
      <w:pPr>
        <w:spacing w:after="0" w:line="158" w:lineRule="exact"/>
        <w:rPr>
          <w:rFonts w:ascii="Times New Roman" w:cs="Times New Roman" w:eastAsia="Times New Roman" w:hAnsi="Times New Roman"/>
          <w:sz w:val="18"/>
          <w:szCs w:val="18"/>
          <w:color w:val="auto"/>
        </w:rPr>
      </w:pPr>
    </w:p>
    <w:p>
      <w:pPr>
        <w:jc w:val="both"/>
        <w:ind w:firstLine="656"/>
        <w:spacing w:after="0" w:line="258" w:lineRule="auto"/>
        <w:tabs>
          <w:tab w:leader="none" w:pos="132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Fees and Expenses</w:t>
      </w:r>
      <w:r>
        <w:rPr>
          <w:rFonts w:ascii="Times New Roman" w:cs="Times New Roman" w:eastAsia="Times New Roman" w:hAnsi="Times New Roman"/>
          <w:sz w:val="18"/>
          <w:szCs w:val="18"/>
          <w:color w:val="auto"/>
        </w:rPr>
        <w:t>. All fees required to be paid to the Administrative Agent, the Arrangers and the Lenders shall have been paid,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charges and disbursements of counsel to the Administrative Agent (directly to such counsel if requested by the Administrative Agent) to the extent invoiced a reasonable period of time prior to the Closing Date, shall have been paid,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estimate shall not thereafter preclude a final settling of accounts between the Borrower and the Administrative Agent).</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Without limiting the generality of the provisions of the last paragraph of Section 9.03,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8"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i w:val="1"/>
          <w:iCs w:val="1"/>
          <w:color w:val="auto"/>
        </w:rPr>
        <w:t>Conditions to All Credit Extensions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 of each Lender to honor any Request for Credit Extension (other than (x) a Committed Loan Notice requesting only a conversion of Loans to the other Type, or a continuation of Term SOFR Loans or (y) in connection with any request for Incremental Commitments (which shall be governed by Section 2.15)) is subject to the following conditions precedent: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7" w:name="page148"/>
    <w:bookmarkEnd w:id="147"/>
    <w:p>
      <w:pPr>
        <w:jc w:val="both"/>
        <w:ind w:firstLine="656"/>
        <w:spacing w:after="0" w:line="255" w:lineRule="auto"/>
        <w:tabs>
          <w:tab w:leader="none" w:pos="143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Borrower and each other Loan Party contained in Article 5 or any other Loan Document, or which are contained in any document furnished at any time under or in connection herewith or therewith, shall be true and correct in all material respects (or, with respect to any such representation or warranty that is qualified by materiality or Material Adverse Effect, in all respects) on and as of the date of such Credit Extension, except to the extent that such representations and warranties specifically refer to an earlier date, in which case they shall be true and correct in all material respects (or, with respect to any such representation or warranty that is qualified by materiality or Material Adverse Effect, in all respects) as of such earlier date, and except that for purposes of this Section 4.02, the representations and warranties contained in Section 5.05(a) shall be deemed to refer to the most recent statements furnished pursuant to Sections 6.01(a) and 6.01(b),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exist, or would result from such proposed Credit Extension or from the application of the proceeds thereof.</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4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if applicable, the L/C Issuer or the Swing Line Lender shall have received a Request for Credit Extension in accordance with the requirements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Request for Credit Extension (other than a Committed Loan Notice requesting only a conversion of Loans to the other Type or a continuation of Term SOFR Loans) submitted by the Borrower shall be deemed to be a representation and warranty that the conditions specified in Sections 4.02(a) and (b) have been satisfied on and as of the date of the applicable Credit Extension.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Loan Parties represent and warrant to the Administrative Agent and the Lenders that:</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Existence, Qualification and Power</w:t>
      </w:r>
      <w:r>
        <w:rPr>
          <w:rFonts w:ascii="Times New Roman" w:cs="Times New Roman" w:eastAsia="Times New Roman" w:hAnsi="Times New Roman"/>
          <w:sz w:val="18"/>
          <w:szCs w:val="18"/>
          <w:color w:val="auto"/>
        </w:rPr>
        <w:t>. Each Loan Party and each of its Subsidiaries (a) is duly organized or formed, validly existing and, to the extent the concept is applicable in such jurisdiction, in good standing or other comparable status under the Laws of the jurisdiction of its incorporation or organization, (b) has all requisite corporate or other organizational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(to the extent the concept is applicable in such jurisdiction) under the Laws of each jurisdiction where its ownership, lease or operation of properties or the conduct of its business requires such qualification or license; except in each case referred to in this Section 5.01 (other than clause (a), with respect to the Borrower and clause (b)(ii), with respect to any Loan Party), to the extent that failure to do so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8" w:name="page149"/>
    <w:bookmarkEnd w:id="14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Authorization; No Contravention</w:t>
      </w:r>
      <w:r>
        <w:rPr>
          <w:rFonts w:ascii="Times New Roman" w:cs="Times New Roman" w:eastAsia="Times New Roman" w:hAnsi="Times New Roman"/>
          <w:sz w:val="18"/>
          <w:szCs w:val="18"/>
          <w:color w:val="auto"/>
        </w:rPr>
        <w:t>. The execution, delivery and performance by each Loan Party of each Loan Document to which such Person is a party have been duly authorized by all necessary corporate or other organizational action, and do not and will not (a) contravene the terms of any of such Person’s Organization Documents; (b) except as could not reasonably be expected to have a Material Adverse Effect, conflict with or result in any material breach or contravention of, or the creation of any Lien under, or require any payment to be made under (i) any Contractual Obligation (other than the Loan Documents) to which such Person is a party or affecting such Person or the properties of such Person or any of its Subsidiaries or (ii) any order, injunction, writ or decree of any Governmental Authority or any arbitral award to which such Person or its property is subject; or (c) violate any material Law in any material respects.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Governmental Authorization; Other Consents</w:t>
      </w:r>
      <w:r>
        <w:rPr>
          <w:rFonts w:ascii="Times New Roman" w:cs="Times New Roman" w:eastAsia="Times New Roman" w:hAnsi="Times New Roman"/>
          <w:sz w:val="18"/>
          <w:szCs w:val="18"/>
          <w:color w:val="auto"/>
        </w:rPr>
        <w:t>. No approval, consent, exemption, authorization, or other action by, or notice to, or filing with, any Governmental Authority or any other Person is necessary or required in connection with (a) the execution, delivery or performance by any Loan Party of this Agreement or any other Loan Document, (b) the grant by any Loan Party of the Liens granted by it pursuant to the Collateral Documents, or (c) the perfection of the Liens created under the Collateral Documents (including the first priority nature thereof), except for (i) the authorizations, approvals, actions, notices and filings which have been duly obtained, taken, given or made and are in full force and effect and (ii) filings to perfect the Liens created by the Collateral Documents.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Binding Effect</w:t>
      </w:r>
      <w:r>
        <w:rPr>
          <w:rFonts w:ascii="Times New Roman" w:cs="Times New Roman" w:eastAsia="Times New Roman" w:hAnsi="Times New Roman"/>
          <w:sz w:val="18"/>
          <w:szCs w:val="18"/>
          <w:color w:val="auto"/>
        </w:rPr>
        <w:t>. Each Loan Document has been duly executed and delivered by each Loan Party that is party thereto. Each Loan Document constitutes a legal, valid and binding obligation of each Loan Party party thereto, enforceable against such Loan Party that is party thereto in accordance with its terms, except as enforceability may be limited by applicable bankruptcy, insolvency, reorganization, moratorium or similar laws affecting the enforcement of creditors’ rights generally at law or by equitable principles, regardless of whether considered in a proceeding in equity or at law.</w:t>
      </w:r>
    </w:p>
    <w:p>
      <w:pPr>
        <w:spacing w:after="0" w:line="183"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5.05.</w:t>
      </w:r>
      <w:r>
        <w:rPr>
          <w:sz w:val="20"/>
          <w:szCs w:val="20"/>
          <w:color w:val="auto"/>
        </w:rPr>
        <w:tab/>
      </w:r>
      <w:r>
        <w:rPr>
          <w:rFonts w:ascii="Times New Roman" w:cs="Times New Roman" w:eastAsia="Times New Roman" w:hAnsi="Times New Roman"/>
          <w:sz w:val="17"/>
          <w:szCs w:val="17"/>
          <w:i w:val="1"/>
          <w:iCs w:val="1"/>
          <w:color w:val="auto"/>
        </w:rPr>
        <w:t>Financial Statements; No Material Adverse Effect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61" w:lineRule="auto"/>
        <w:tabs>
          <w:tab w:leader="none" w:pos="15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w:t>
      </w:r>
    </w:p>
    <w:p>
      <w:pPr>
        <w:spacing w:after="0" w:line="17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57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balance sheet included in the Audited Financial Statements, there has been no event or circumstance, either individually or in the aggregate, that has had or could reasonably be expected to have a Material Adverse Effect.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9" w:name="page150"/>
    <w:bookmarkEnd w:id="14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Except as described on Schedule 5.06, (a) there are no actions, suits, proceedings, investigations, claims or disputes pending or, to the knowledge of the Borrower, threatened or contemplated, and (b) there have been no developments in any existing actions, suits, proceedings, investigations, claims or disputes, in each case at law, in equity, in arbitration or before any Governmental Authority by or against the Borrower or any of its Subsidiaries or against any of their properties or revenues, in each case that (x) purport to effect or pertain to this Agreement or any other Loan Document, or (y) could reasonably be expected to have a Material Adverse Effect.</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No Default</w:t>
      </w:r>
      <w:r>
        <w:rPr>
          <w:rFonts w:ascii="Times New Roman" w:cs="Times New Roman" w:eastAsia="Times New Roman" w:hAnsi="Times New Roman"/>
          <w:sz w:val="18"/>
          <w:szCs w:val="18"/>
          <w:color w:val="auto"/>
        </w:rPr>
        <w:t>. No Default has occurred and is continuing or would result from the consummation of the transactions contemplated by this Agreement or any other Loan Document.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Ownership of Property; Liens; Investments</w:t>
      </w:r>
      <w:r>
        <w:rPr>
          <w:rFonts w:ascii="Times New Roman" w:cs="Times New Roman" w:eastAsia="Times New Roman" w:hAnsi="Times New Roman"/>
          <w:sz w:val="18"/>
          <w:szCs w:val="18"/>
          <w:color w:val="auto"/>
        </w:rPr>
        <w:t>. (a) Each of the Borrower and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spacing w:after="0" w:line="175" w:lineRule="exact"/>
        <w:rPr>
          <w:sz w:val="20"/>
          <w:szCs w:val="20"/>
          <w:color w:val="auto"/>
        </w:rPr>
      </w:pPr>
    </w:p>
    <w:p>
      <w:pPr>
        <w:ind w:left="1360" w:hanging="704"/>
        <w:spacing w:after="0"/>
        <w:tabs>
          <w:tab w:leader="none" w:pos="13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of each Loan Party and each of its Subsidiaries is subject to no Liens, other than Permitted Liens.</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5.09.</w:t>
      </w:r>
      <w:r>
        <w:rPr>
          <w:rFonts w:ascii="Times New Roman" w:cs="Times New Roman" w:eastAsia="Times New Roman" w:hAnsi="Times New Roman"/>
          <w:sz w:val="17"/>
          <w:szCs w:val="17"/>
          <w:i w:val="1"/>
          <w:iCs w:val="1"/>
          <w:color w:val="auto"/>
        </w:rPr>
        <w:t>Environmental Compliance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61" w:lineRule="auto"/>
        <w:tabs>
          <w:tab w:leader="none" w:pos="162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and their respective Subsidiaries conduct in the ordinary course of business a review of the effect of existing Environmental Laws and claims alleging potential liability or responsibility under or relating to any Environmental Law on their respective businesses, operations and properties, and as a result thereof the Borrower has reasonably concluded that such Environmental Laws and claims could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53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properties currently or formerly owned or operated by any Loan Party or any of its Subsidiaries is listed or formally proposed for listing on the NPL or on the CERCLIS or any analogous foreign, state or local list or is adjacent to any such property; (ii) there are no and to the knowledge of the Loan Parties never have been any underground or above-ground storage tanks or any surface impoundments, septic tanks, pits, sumps or lagoons in which Hazardous Materials are being or have been treated, stored or disposed on any property currently owned, leased or operated by any Loan Party or any of its Subsidiaries or, to the knowledge of the Loan Parties, on any property formerly owned, leased or operated by any Loan Party or any of its Subsidiaries; there is no asbestos or asbestos-containing material on, at or in any property currently owned, leased or operated by any Loan Party or any of its Subsidiaries; and Hazardous Materials have not been Released on, at, under or from any property currently or formerly owned, leased or operated by any Loan Party or any of its Subsidiaries, in the case of each of clauses (i) through (iv), in a manner, form or amount which could reasonably be expected to have,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50" w:name="page151"/>
    <w:bookmarkEnd w:id="150"/>
    <w:p>
      <w:pPr>
        <w:jc w:val="both"/>
        <w:ind w:firstLine="656"/>
        <w:spacing w:after="0" w:line="256" w:lineRule="auto"/>
        <w:tabs>
          <w:tab w:leader="none" w:pos="142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could not, individually or in the aggregate, reasonably be expected to have a Material Adverse Effect, no Loan Party nor any of its Subsidiaries is undertaking, and has not completed, either individually or together with other potentially responsible parties, any investigation or assessment or remedial or response action relating to any actual or threatened Release of Hazardous Materials at, on, under or from any site, location or operation, either voluntarily or pursuant to the order of any Governmental Authority or the requirements of any Environmental Law; and (ii) all Hazardous Materials generated, used, treated, handled or stored at, or transported to or from, any property currently or formerly owned or operated by any Loan Party or any of its Subsidiaries have been disposed of in a manner which could not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45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individually or in the aggregate, to have a Material Adverse Effect, the Loan Parties and their respective Subsidiaries: (i) are, and at all prior times have been, in compliance with all applicable Environmental Laws; (ii) hold all Environmental Permits (each of which is in full force and effect) required for any of their current or intended operations or for any property owned, leased, or otherwise operated by any of them; and (iii) are, and at all prior times have been, in compliance with all of their Environmental Permits.</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properties of the Borrower and its Subsidiaries are insured with financially sound and reputable insurance companies not Affiliates of the Borrower, in such amounts (after giving effect to any self-insurance which the Borrower believes is reasonable and prudent in light of the size and nature of its business), with such deductibles and covering such risks as are customarily carried by companies engaged in similar businesses and owning similar properties in localities where the Borrower or the applicable Subsidiary operates.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Borrower and each of its Material Subsidiaries have filed all federal, state and other material Tax returns and reports required to be filed, and, except as could not reasonably be expected, individually or in the aggregate, to have a Material Adverse Effect, have timely paid all federal, state and other material Taxes (whether or not shown on a tax return), including in its capacity as a withholding agent, levied or imposed upon it or its properties, income or assets otherwise due and payable, except those which are being contested in good faith by appropriate proceedings diligently conducted and for which adequate reserves have been provided in accordance with GAAP.</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i w:val="1"/>
          <w:iCs w:val="1"/>
          <w:color w:val="auto"/>
        </w:rPr>
        <w:t>ERISA Compliance</w:t>
      </w:r>
      <w:r>
        <w:rPr>
          <w:rFonts w:ascii="Times New Roman" w:cs="Times New Roman" w:eastAsia="Times New Roman" w:hAnsi="Times New Roman"/>
          <w:sz w:val="18"/>
          <w:szCs w:val="18"/>
          <w:color w:val="auto"/>
        </w:rPr>
        <w:t>. (a) Except as could not reasonably be expected, individually or in the aggregate, to have a Material Adverse Effect, each Pension Plan is in compliance in all respects with the applicable provisions of ERISA, the Code and other Federal or state laws. Each Pension Plan that is intended to be qualified under Section 401(a) of the Code has received a favorable determination letter from the IRS to the effect that the form of such Pension Plan is qualified under Section 401(a) of the Code and the trust related thereto has been determined by the IRS to be exempt from federal income tax under Section 501(a) of the Code, or an application for such a letter is currently being processed by the IRS. To the knowledge of the Borrower, nothing has occurred that would prevent or cause the loss of such tax-qualified status.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1" w:name="page152"/>
    <w:bookmarkEnd w:id="151"/>
    <w:p>
      <w:pPr>
        <w:jc w:val="both"/>
        <w:ind w:left="-20" w:firstLine="656"/>
        <w:spacing w:after="0" w:line="261" w:lineRule="auto"/>
        <w:tabs>
          <w:tab w:leader="none" w:pos="151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Borrower, threatened claims, actions or lawsuits, or action by any Governmental Authority, with respect to any Pension Plan that could reasonably be expected to have a Material Adverse Effect. There has been no prohibited transaction or violation of the fiduciary responsibility rules with respect to any Pension Plan that has resulted or could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jc w:val="both"/>
        <w:ind w:left="-20" w:firstLine="656"/>
        <w:spacing w:after="0" w:line="255" w:lineRule="auto"/>
        <w:tabs>
          <w:tab w:leader="none" w:pos="14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except as could not reasonably be expected, individually or in the aggregate, to have a Material Adverse Effect, (i) no ERISA Event has occurred, and neither the Borrower nor any ERISA Affiliate is aware of any fact, event or circumstance that could reasonably be expected to constitute or result in an ERISA Event with respect to any Pension Plan; (ii)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and (iii) neither the Borrower nor any ERISA Affiliate has engaged in a transaction that could be subject to Section 4069 or Section 4212(c) of ERISA.</w:t>
      </w:r>
    </w:p>
    <w:p>
      <w:pPr>
        <w:spacing w:after="0" w:line="188" w:lineRule="exact"/>
        <w:rPr>
          <w:rFonts w:ascii="Times New Roman" w:cs="Times New Roman" w:eastAsia="Times New Roman" w:hAnsi="Times New Roman"/>
          <w:sz w:val="18"/>
          <w:szCs w:val="18"/>
          <w:color w:val="auto"/>
        </w:rPr>
      </w:pPr>
    </w:p>
    <w:p>
      <w:pPr>
        <w:ind w:left="-20" w:firstLine="656"/>
        <w:spacing w:after="0" w:line="282" w:lineRule="auto"/>
        <w:tabs>
          <w:tab w:leader="none" w:pos="146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or any ERISA Affiliate contributes to, or has any unsatisfied obligation to contribute to, or liability under, any terminated Pension Plan other than, on the Closing Date, those listed on Schedule 5.12(d) hereto.</w:t>
      </w:r>
    </w:p>
    <w:p>
      <w:pPr>
        <w:spacing w:after="0" w:line="157" w:lineRule="exact"/>
        <w:rPr>
          <w:rFonts w:ascii="Times New Roman" w:cs="Times New Roman" w:eastAsia="Times New Roman" w:hAnsi="Times New Roman"/>
          <w:sz w:val="18"/>
          <w:szCs w:val="18"/>
          <w:color w:val="auto"/>
        </w:rPr>
      </w:pPr>
    </w:p>
    <w:p>
      <w:pPr>
        <w:jc w:val="both"/>
        <w:ind w:left="-20" w:firstLine="656"/>
        <w:spacing w:after="0" w:line="262" w:lineRule="auto"/>
        <w:tabs>
          <w:tab w:leader="none" w:pos="13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scheme or arrangement mandated by a government other than the United States (a “</w:t>
      </w:r>
      <w:r>
        <w:rPr>
          <w:rFonts w:ascii="Times New Roman" w:cs="Times New Roman" w:eastAsia="Times New Roman" w:hAnsi="Times New Roman"/>
          <w:sz w:val="18"/>
          <w:szCs w:val="18"/>
          <w:b w:val="1"/>
          <w:bCs w:val="1"/>
          <w:color w:val="auto"/>
        </w:rPr>
        <w:t>Foreign Government Scheme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Arrangement</w:t>
      </w:r>
      <w:r>
        <w:rPr>
          <w:rFonts w:ascii="Times New Roman" w:cs="Times New Roman" w:eastAsia="Times New Roman" w:hAnsi="Times New Roman"/>
          <w:sz w:val="18"/>
          <w:szCs w:val="18"/>
          <w:color w:val="auto"/>
        </w:rPr>
        <w:t>”) and with respect to each employee benefit plan maintained or contributed to by any Loan Party or any Subsidiary of any Loan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not subject to United States law (a “</w:t>
      </w:r>
      <w:r>
        <w:rPr>
          <w:rFonts w:ascii="Times New Roman" w:cs="Times New Roman" w:eastAsia="Times New Roman" w:hAnsi="Times New Roman"/>
          <w:sz w:val="18"/>
          <w:szCs w:val="18"/>
          <w:b w:val="1"/>
          <w:bCs w:val="1"/>
          <w:color w:val="auto"/>
        </w:rPr>
        <w:t>Foreign Plan</w:t>
      </w:r>
      <w:r>
        <w:rPr>
          <w:rFonts w:ascii="Times New Roman" w:cs="Times New Roman" w:eastAsia="Times New Roman" w:hAnsi="Times New Roman"/>
          <w:sz w:val="18"/>
          <w:szCs w:val="18"/>
          <w:color w:val="auto"/>
        </w:rPr>
        <w:t>”), except as could not reasonably be expected, individually or in the aggregate, to have a Material Adverse Effect:</w:t>
      </w:r>
    </w:p>
    <w:p>
      <w:pPr>
        <w:spacing w:after="0" w:line="180" w:lineRule="exact"/>
        <w:rPr>
          <w:rFonts w:ascii="Times New Roman" w:cs="Times New Roman" w:eastAsia="Times New Roman" w:hAnsi="Times New Roman"/>
          <w:sz w:val="18"/>
          <w:szCs w:val="18"/>
          <w:color w:val="auto"/>
        </w:rPr>
      </w:pPr>
    </w:p>
    <w:p>
      <w:pPr>
        <w:ind w:left="640" w:firstLine="644"/>
        <w:spacing w:after="0" w:line="282" w:lineRule="auto"/>
        <w:tabs>
          <w:tab w:leader="none" w:pos="1985"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employer and employee contributions required by law or by the terms of any Foreign Government Scheme or Arrangement or any Foreign Plan have been made, or, if applicable, accrued, in accordance with normal accounting practices;</w:t>
      </w:r>
    </w:p>
    <w:p>
      <w:pPr>
        <w:spacing w:after="0" w:line="161" w:lineRule="exact"/>
        <w:rPr>
          <w:rFonts w:ascii="Times New Roman" w:cs="Times New Roman" w:eastAsia="Times New Roman" w:hAnsi="Times New Roman"/>
          <w:sz w:val="18"/>
          <w:szCs w:val="18"/>
          <w:color w:val="auto"/>
        </w:rPr>
      </w:pPr>
    </w:p>
    <w:p>
      <w:pPr>
        <w:jc w:val="both"/>
        <w:ind w:left="640" w:firstLine="644"/>
        <w:spacing w:after="0" w:line="258" w:lineRule="auto"/>
        <w:tabs>
          <w:tab w:leader="none" w:pos="200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and</w:t>
      </w:r>
    </w:p>
    <w:p>
      <w:pPr>
        <w:spacing w:after="0" w:line="183" w:lineRule="exact"/>
        <w:rPr>
          <w:rFonts w:ascii="Times New Roman" w:cs="Times New Roman" w:eastAsia="Times New Roman" w:hAnsi="Times New Roman"/>
          <w:sz w:val="18"/>
          <w:szCs w:val="18"/>
          <w:color w:val="auto"/>
        </w:rPr>
      </w:pPr>
    </w:p>
    <w:p>
      <w:pPr>
        <w:ind w:left="640" w:firstLine="644"/>
        <w:spacing w:after="0" w:line="282" w:lineRule="auto"/>
        <w:tabs>
          <w:tab w:leader="none" w:pos="216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Foreign Plan required to be registered has been registered and has been maintained in good standing (to the extent the concept is applicable in such jurisdiction) with applicable regulatory authorities.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52" w:name="page153"/>
    <w:bookmarkEnd w:id="15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i w:val="1"/>
          <w:iCs w:val="1"/>
          <w:color w:val="auto"/>
        </w:rPr>
        <w:t>Subsidiaries; Equity Interests; Loan Parties</w:t>
      </w:r>
      <w:r>
        <w:rPr>
          <w:rFonts w:ascii="Times New Roman" w:cs="Times New Roman" w:eastAsia="Times New Roman" w:hAnsi="Times New Roman"/>
          <w:sz w:val="18"/>
          <w:szCs w:val="18"/>
          <w:color w:val="auto"/>
        </w:rPr>
        <w:t>. As of the Closing Date, the Borrower has no Subsidiaries other than those specifically disclosed in Part (a) of Schedule 5.13, and all of the outstanding Equity Interests in such Subsidiaries have been validly issued, are fully paid and non-assessable and are owned by a Loan Party in the percentages specified on Part (a) of Schedule 5.13 free and clear of all Liens except those created under the Collateral Documents and other Liens permitted under the Loan Documents. Set forth on Part (b) of Schedule 5.13 is a complete and accurate list of all Loan Parties, showing as of the Closing Date (as to each Loan Party) the jurisdiction of its incorporation.</w:t>
      </w:r>
    </w:p>
    <w:p>
      <w:pPr>
        <w:spacing w:after="0" w:line="183"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5.14.</w:t>
      </w:r>
      <w:r>
        <w:rPr>
          <w:sz w:val="20"/>
          <w:szCs w:val="20"/>
          <w:color w:val="auto"/>
        </w:rPr>
        <w:tab/>
      </w:r>
      <w:r>
        <w:rPr>
          <w:rFonts w:ascii="Times New Roman" w:cs="Times New Roman" w:eastAsia="Times New Roman" w:hAnsi="Times New Roman"/>
          <w:sz w:val="17"/>
          <w:szCs w:val="17"/>
          <w:i w:val="1"/>
          <w:iCs w:val="1"/>
          <w:color w:val="auto"/>
        </w:rPr>
        <w:t>Margin Regulations; Investment Company Act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6" w:lineRule="auto"/>
        <w:tabs>
          <w:tab w:leader="none" w:pos="15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Borrower only or of the Borrower and its Subsidiaries on a consolidated basis) subject to the provisions of Section 7.01 or Section 7.05 or subject to any restriction contained in any agreement or instrument between the Borrower and any Lender or any Affiliate of any Lender relating to Indebtedness and within the scope of Section 8.01(e) will be margin stock.</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5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Borrower, any Person Controlling the Borrower, or any Subsidiary is or is required to be registered as an “investment company” under the Investment Company Act of 1940.</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As of the Closing Date, (a) the written information which has been made available by the Borrower or any of its representatives to the Lenders in connection with the Facility (other than financial estimates, projections, forecasts, and other projections and forward looking information concerning the Borrower and its subsidiaries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and information of a general market or industry specific nature) and including and when taken together with all other information contained in the public filings of the Borrower and reports filed by the Borrower with or furnished to the SEC on or prior to the Closing Date, when taken as a whole, is complete and correct in all material respects and does not, when taken as a whole, contain any untrue statement of a material fact or omit to state a material fact necessary in order to make the statements contained therein, in light of the circumstances under which they were made, not materially misleading, and (b) any Projections which have been made available by the Borrower or any of its representatives to the Lenders in connection with the Facility are based on assumptions and estimates developed by management of the Borrower in good faith and management believes such assumption and estimates to be reasonable as of the Closing Date (it being understood and acknowledged that (i) such Projections are not to be viewed as facts, (ii) the Projections are subject to significant uncertainties and contingencies, many of which are beyond the Borrower’s control, (iii) no assurance can be given that such Projections will be realized, and (iv) actual results may differ and such differences be material).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53" w:name="page154"/>
    <w:bookmarkEnd w:id="1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Each Loan Party and each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i w:val="1"/>
          <w:iCs w:val="1"/>
          <w:color w:val="auto"/>
        </w:rPr>
        <w:t>Intellectual Property; Licenses, Etc</w:t>
      </w:r>
      <w:r>
        <w:rPr>
          <w:rFonts w:ascii="Times New Roman" w:cs="Times New Roman" w:eastAsia="Times New Roman" w:hAnsi="Times New Roman"/>
          <w:sz w:val="18"/>
          <w:szCs w:val="18"/>
          <w:color w:val="auto"/>
        </w:rPr>
        <w:t>. Except to the extent as, either individually or in the aggregate, could not reasonably be expected to have a Material Adverse Effect, (a) the Borrower and each of its Subsidiaries own, or possess the right to use, all of the trademarks, service marks, trade names, copyrights, patents, patent rights, franchises, licenses, domain names, trade secrets, and other intellectual property or similar proprietary rights, including all registrations, issues, applications, renewals, extensions, substitutions, continuations, continuations-in-part, divisions, re-issues and re-examinations of the foregoing (collectively, “</w:t>
      </w:r>
      <w:r>
        <w:rPr>
          <w:rFonts w:ascii="Times New Roman" w:cs="Times New Roman" w:eastAsia="Times New Roman" w:hAnsi="Times New Roman"/>
          <w:sz w:val="18"/>
          <w:szCs w:val="18"/>
          <w:b w:val="1"/>
          <w:bCs w:val="1"/>
          <w:color w:val="auto"/>
        </w:rPr>
        <w:t>IP Rights</w:t>
      </w:r>
      <w:r>
        <w:rPr>
          <w:rFonts w:ascii="Times New Roman" w:cs="Times New Roman" w:eastAsia="Times New Roman" w:hAnsi="Times New Roman"/>
          <w:sz w:val="18"/>
          <w:szCs w:val="18"/>
          <w:color w:val="auto"/>
        </w:rPr>
        <w:t>”) that are reasonably necessary for the operation of their respective businesses, without conflict with the rights of any other Person, (b) to the knowledge of the Borrower, no slogan or other advertising device, product, process, method, substance, part or other material now employed, or now contemplated to be employed, by the Borrower or any of its Subsidiaries infringes upon, misappropriates or otherwise violates any rights held by any other Person and (c) no claim or litigation regarding any of the foregoing IP Rights is pending or, to the knowledge of the Borrower, threatened.</w:t>
      </w:r>
    </w:p>
    <w:p>
      <w:pPr>
        <w:spacing w:after="0" w:line="188"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5.18.</w:t>
      </w:r>
      <w:r>
        <w:rPr>
          <w:sz w:val="20"/>
          <w:szCs w:val="20"/>
          <w:color w:val="auto"/>
        </w:rPr>
        <w:tab/>
      </w:r>
      <w:r>
        <w:rPr>
          <w:rFonts w:ascii="Times New Roman" w:cs="Times New Roman" w:eastAsia="Times New Roman" w:hAnsi="Times New Roman"/>
          <w:sz w:val="18"/>
          <w:szCs w:val="18"/>
          <w:i w:val="1"/>
          <w:iCs w:val="1"/>
          <w:color w:val="auto"/>
        </w:rPr>
        <w:t>Solvency</w:t>
      </w:r>
      <w:r>
        <w:rPr>
          <w:rFonts w:ascii="Times New Roman" w:cs="Times New Roman" w:eastAsia="Times New Roman" w:hAnsi="Times New Roman"/>
          <w:sz w:val="18"/>
          <w:szCs w:val="18"/>
          <w:color w:val="auto"/>
        </w:rPr>
        <w:t>. As of the Closing Date, the Borrower and its Subsidiaries, on a consolidated basis, are Solvent.</w:t>
      </w:r>
    </w:p>
    <w:p>
      <w:pPr>
        <w:spacing w:after="0" w:line="22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5.19.</w:t>
      </w:r>
      <w:r>
        <w:rPr>
          <w:sz w:val="20"/>
          <w:szCs w:val="20"/>
          <w:color w:val="auto"/>
        </w:rPr>
        <w:tab/>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proceeds of the Credit Extensions shall be used for a purpose permitted by Section 6.11.</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(a) None of the Borrower, any of its Subsidiaries, or any director or officer thereof, nor, to the knowledge of the Borrower, any employee of the Borrower or any of its Subsidiaries that will act in any capacity in connection with or benefit from the credit facility established hereby, is a Sanctioned Person. The Borrower and its Subsidiaries are in compliance with all applicable Sanctions in all material respects.</w:t>
      </w:r>
    </w:p>
    <w:p>
      <w:pPr>
        <w:spacing w:after="0" w:line="175" w:lineRule="exact"/>
        <w:rPr>
          <w:sz w:val="20"/>
          <w:szCs w:val="20"/>
          <w:color w:val="auto"/>
        </w:rPr>
      </w:pPr>
    </w:p>
    <w:p>
      <w:pPr>
        <w:jc w:val="both"/>
        <w:ind w:firstLine="656"/>
        <w:spacing w:after="0" w:line="281" w:lineRule="auto"/>
        <w:tabs>
          <w:tab w:leader="none" w:pos="1363"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will not, except as permitted or authorized by OFAC or applicable Sanctions, use the proceeds of any Credit Extension, or lend, contribute or otherwise make available such proceeds to any Subsidiary, joint venture partner or other Person, for the purpose of funding any activities of or business with any Sanctioned Person, or in any Sanctioned Country, or in any other manner that will result in a violation by any Person (including any Person participating in the transaction, whether as Lender, Arranger, Administrative Agent, L/C Issuer, Swing Line Lender, or otherwise) of Sanctions.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54" w:name="page155"/>
    <w:bookmarkEnd w:id="154"/>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5.21.</w:t>
      </w:r>
      <w:r>
        <w:rPr>
          <w:sz w:val="20"/>
          <w:szCs w:val="20"/>
          <w:color w:val="auto"/>
        </w:rPr>
        <w:tab/>
      </w:r>
      <w:r>
        <w:rPr>
          <w:rFonts w:ascii="Times New Roman" w:cs="Times New Roman" w:eastAsia="Times New Roman" w:hAnsi="Times New Roman"/>
          <w:sz w:val="17"/>
          <w:szCs w:val="17"/>
          <w:i w:val="1"/>
          <w:iCs w:val="1"/>
          <w:color w:val="auto"/>
        </w:rPr>
        <w:t>Anti-Corruption Laws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8" w:lineRule="auto"/>
        <w:tabs>
          <w:tab w:leader="none" w:pos="143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its Subsidiaries and, to the knowledge of the Borrower, their respective directors, officers, employees, agents and other Persons acting on behalf of the Borrower or any of its Subsidiaries, are in compliance with all applicable anti-corruption laws, except to the extent that the failure to so comply would not, in the aggregate, have a material and adverse effect on the business of the Borrower and its Subsidiaries, taken as a whole. The Borrower and its Subsidiaries have instituted and maintained policies and procedures designed to promote and achieve compliance with all applicable anti-corruption laws.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39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the proceeds of the Credit Extensions will be used, directly or indirectly, in furtherance of an offer, payment, promise to pay, or authorization of the payment or giving of money, or anything else of value, to any Person in violation of any applicable anti-corruption law.</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i w:val="1"/>
          <w:iCs w:val="1"/>
          <w:color w:val="auto"/>
        </w:rPr>
        <w:t>Money Laundering and Counter-Terrorist Financing Laws</w:t>
      </w:r>
      <w:r>
        <w:rPr>
          <w:rFonts w:ascii="Times New Roman" w:cs="Times New Roman" w:eastAsia="Times New Roman" w:hAnsi="Times New Roman"/>
          <w:sz w:val="18"/>
          <w:szCs w:val="18"/>
          <w:color w:val="auto"/>
        </w:rPr>
        <w:t>. The Borrower and its Subsidiaries are in compliance in all material respects with the Bank Secrecy Act, as amended by Title III of the Patriot Act, to the extent applicable, and all other applicable anti-money laundering and counter-terrorist financing laws and regulations.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5.23. </w:t>
      </w:r>
      <w:r>
        <w:rPr>
          <w:rFonts w:ascii="Times New Roman" w:cs="Times New Roman" w:eastAsia="Times New Roman" w:hAnsi="Times New Roman"/>
          <w:sz w:val="18"/>
          <w:szCs w:val="18"/>
          <w:i w:val="1"/>
          <w:iCs w:val="1"/>
          <w:color w:val="auto"/>
        </w:rPr>
        <w:t>Valid Liens</w:t>
      </w:r>
      <w:r>
        <w:rPr>
          <w:rFonts w:ascii="Times New Roman" w:cs="Times New Roman" w:eastAsia="Times New Roman" w:hAnsi="Times New Roman"/>
          <w:sz w:val="18"/>
          <w:szCs w:val="18"/>
          <w:color w:val="auto"/>
        </w:rPr>
        <w:t>. Each Collateral Document will, upon execution and delivery thereof, be effective to create in favor of the Administrative Agent for the benefit of the Secured Parties, legal, valid and enforceable Liens on, and security interests in, the Collateral described therein, and (i) when financing statements in appropriate form are filed in the offices required by applicable Law and (ii) upon the taking of possession by the Administrative Agent of such Collateral with respect to which a security interest may be perfected only by possession (which possession shall be given to the Administrative Agent to the extent possession by the Administrative Agent is required by the Loan Documents), the Liens created by the Collateral Documents shall constitute perfected Liens on, and security interests in, all right, title and interest of the grantors in such Collateral to the extent perfection can be obtained by such filing or possession (to the extent possession is required by the Loan Documents), as the case may be, in each case prior to all Liens, and subject to no Liens, in each case other than Permitted Liens.</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5.24. </w:t>
      </w:r>
      <w:r>
        <w:rPr>
          <w:rFonts w:ascii="Times New Roman" w:cs="Times New Roman" w:eastAsia="Times New Roman" w:hAnsi="Times New Roman"/>
          <w:sz w:val="18"/>
          <w:szCs w:val="18"/>
          <w:i w:val="1"/>
          <w:iCs w:val="1"/>
          <w:color w:val="auto"/>
        </w:rPr>
        <w:t>Senior Debt</w:t>
      </w:r>
      <w:r>
        <w:rPr>
          <w:rFonts w:ascii="Times New Roman" w:cs="Times New Roman" w:eastAsia="Times New Roman" w:hAnsi="Times New Roman"/>
          <w:sz w:val="18"/>
          <w:szCs w:val="18"/>
          <w:color w:val="auto"/>
        </w:rPr>
        <w:t>. The Loan Document Obligations constitute “</w:t>
      </w:r>
      <w:r>
        <w:rPr>
          <w:rFonts w:ascii="Times New Roman" w:cs="Times New Roman" w:eastAsia="Times New Roman" w:hAnsi="Times New Roman"/>
          <w:sz w:val="18"/>
          <w:szCs w:val="18"/>
          <w:b w:val="1"/>
          <w:bCs w:val="1"/>
          <w:color w:val="auto"/>
        </w:rPr>
        <w:t>Senior Debt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Designated Senior Debt</w:t>
      </w:r>
      <w:r>
        <w:rPr>
          <w:rFonts w:ascii="Times New Roman" w:cs="Times New Roman" w:eastAsia="Times New Roman" w:hAnsi="Times New Roman"/>
          <w:sz w:val="18"/>
          <w:szCs w:val="18"/>
          <w:color w:val="auto"/>
        </w:rPr>
        <w:t>” (or any comparable term) under the documentation governing any Junior Financing that is subordinated in right of payment to the Loan Document Obligations.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ffirmative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the Payment in Full of the Loan Document Obligations, the Borrower shall, and shall (except in the case of the covenants set forth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6.01, 6.02, 6.03 and 6.10) cause each Subsidiary to:</w:t>
      </w:r>
    </w:p>
    <w:p>
      <w:pPr>
        <w:spacing w:after="0" w:line="205"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Deliver to the Administrative Agent and each Lender, in form and detail reasonably satisfactory to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jc w:val="both"/>
        <w:ind w:firstLine="656"/>
        <w:spacing w:after="0" w:line="255" w:lineRule="auto"/>
        <w:tabs>
          <w:tab w:leader="none" w:pos="137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is required to be filed with the SEC pursuant to the Securities Exchange Act of 1934 (and in any case within 90 days after the end of each fiscal year of the Borrower) (commencing with the fiscal year ending December 31, 2026), a consolidated balance sheet of the Borrower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any qualification as to the scope of such audit;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55" w:name="page156"/>
    <w:bookmarkEnd w:id="155"/>
    <w:p>
      <w:pPr>
        <w:jc w:val="both"/>
        <w:ind w:firstLine="656"/>
        <w:spacing w:after="0" w:line="254" w:lineRule="auto"/>
        <w:tabs>
          <w:tab w:leader="none" w:pos="138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is required to be filed with the SEC pursuant to the Securities Exchange Act of 1934 (and in any case within 45 days after the end of each of the first three fiscal quarters of each fiscal year of the Borrower) (commencing with the fiscal quarter ended March 31, 2026), a consolidated balance sheet of the Borrower and its Subsidiaries as at the end of such fiscal quarter, and the related consolidated statements of income or operations, changes in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certified by the chief executive officer, chief financial officer, treasurer or controller of the Borrower as fairly presenting the financial condition, results of operations, shareholders’ equity and cash flows of the Borrower and its Subsidiaries in accordance with GAAP, subject only to normal year-end audit adjustments and the absence of footnotes; and</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90 days after the end of each fiscal year of the Borrower, an annual budget of the Borrower and its Subsidiaries on a consolidated basis, including forecasts prepared by management of the Borrower of consolidated balance sheets and statements of income or operations of the Borrower and its Subsidiaries on a quarterly basis for the immediately following fiscal year.</w:t>
      </w:r>
    </w:p>
    <w:p>
      <w:pPr>
        <w:spacing w:after="0" w:line="17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Certificates; Other Information</w:t>
      </w:r>
      <w:r>
        <w:rPr>
          <w:rFonts w:ascii="Times New Roman" w:cs="Times New Roman" w:eastAsia="Times New Roman" w:hAnsi="Times New Roman"/>
          <w:sz w:val="18"/>
          <w:szCs w:val="18"/>
          <w:color w:val="auto"/>
        </w:rPr>
        <w:t>. Deliver to the Administrative Agent and each Lender, in form and detail reasonably satisfactory to the Administrative Agent:</w:t>
      </w:r>
    </w:p>
    <w:p>
      <w:pPr>
        <w:spacing w:after="0" w:line="160" w:lineRule="exact"/>
        <w:rPr>
          <w:sz w:val="20"/>
          <w:szCs w:val="20"/>
          <w:color w:val="auto"/>
        </w:rPr>
      </w:pPr>
    </w:p>
    <w:p>
      <w:pPr>
        <w:ind w:left="1360" w:hanging="704"/>
        <w:spacing w:after="0"/>
        <w:tabs>
          <w:tab w:leader="none" w:pos="13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3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the financial statements referred to in Sections 6.01(a) and (b) (commencing with the delivery of the financial statements for the first full fiscal quarter ending after the Closing Date), a duly completed Compliance Certificate signed by the chief executive officer, chief financial officer, treasurer or controller of the Borrower (which delivery may, unless the Administrative Agent requests executed originals, be by electronic communication including fax or email and shall be deemed to be an original authentic counterpart thereof for all purposes);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7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p>
      <w:pPr>
        <w:jc w:val="both"/>
        <w:ind w:firstLine="656"/>
        <w:spacing w:after="0" w:line="266" w:lineRule="auto"/>
        <w:tabs>
          <w:tab w:leader="none" w:pos="141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Business Days after receipt thereof by any Loan Party or any Subsidiary thereof, copies of each notice or other correspondence received from the SEC (or comparable agency or other Governmental Authority in any applicable non-U.S. jurisdiction) concerning any investigation or other inquiry by such agency regarding financial or other operational results of any Loan Party or any Subsidiary thereof;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3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five Business Days after receipt thereof by any Loan Party or any Subsidiary thereof, copies of all notices, requests and other documents (including amendments, waivers and other modifications) so received under or pursuant to any instrument, indenture, loan or credit or similar agreement regarding or related to any breach or default by any party thereto in respect of Indebtedness or any other event relating to such Indebtedness, in each case, that could reasonably be expected to have a Material Adverse Effect; and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45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information regarding the business, financial, legal or corporate affairs of any Loan Party or any Subsidiary thereof, or compliance with the terms of the Loan Documents, as the Administrative Agent or any Lender may from time to time reasonably request;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that any document delivered pursuant to this Section 6.02 shall be subject to Section 11.07, and</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neither the Borrower nor any Subsidiary shall be required to disclose any document that is subject to attorney-client or similar privilege or that constitutes attorney work product (so long as the Borrower or such Subsidiary shall have, to the extent permitted, provided notice to the Administrative Agent that it is withholding disclosure pursuant to this proviso, so long as such notice would not result in the loss of attorney-client privilege).</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Section 6.01(a) or (b) or Section 6.02(c) (to the extent any such documents are included in materials otherwise filed with the SEC) shall be deemed to have been delivered on the date (i) on which the Borrower posts such documents, or provides a link thereto on the Borrower’s website on the Internet at the website address listed on Schedule 11.02; (ii) on which such documents are posted on the Borrower’s behalf on an Internet or intranet website, if any, to which each Lender and the Administrative Agent have access (whether a commercial, third-party website or whether sponsored by the Administrative Agent) or (iii) on which such documents are made publicly available by the SEC;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notify the Administrative Agent, which shall notify each Lender, (by facsimile or electronic mail) of the posting of any such documents by or on behalf of the Borrower or the SEC and, upon request of the Administrative Agent or any Lender, provide to the Administrative Agent or such Lender by electronic mail electronic versions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7" w:name="page158"/>
    <w:bookmarkEnd w:id="15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and/or the Arrangers will make available to the Lenders and the L/C Issuer materials and/or information provided by or on behalf of the Borrower hereunder (collectively, “</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by posting the Borrower Materials on IntraLinks, Syndtrak, ClearPar, or another similar electronic system (the “</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Borrower shall be deemed to have authorized the Administrative Agent, the Arrangers, the L/C Issuer and the Lenders to treat such Borrower Materials as not containing any material non-public information (although it may be sensitive and proprietary) with respect to the Borrower or its securities for purposes of United States Federal and state securities laws (provided, however, that to the extent such Borrower Materials constitute Information, they shall be treated as set forth in Section 11.07); (y) all Borrower Materials marked “PUBLIC” are permitted to be made available through a portion of the Platform designated “</w:t>
      </w:r>
      <w:r>
        <w:rPr>
          <w:rFonts w:ascii="Times New Roman" w:cs="Times New Roman" w:eastAsia="Times New Roman" w:hAnsi="Times New Roman"/>
          <w:sz w:val="18"/>
          <w:szCs w:val="18"/>
          <w:b w:val="1"/>
          <w:bCs w:val="1"/>
          <w:color w:val="auto"/>
        </w:rPr>
        <w:t>Public Side Information;</w:t>
      </w:r>
      <w:r>
        <w:rPr>
          <w:rFonts w:ascii="Times New Roman" w:cs="Times New Roman" w:eastAsia="Times New Roman" w:hAnsi="Times New Roman"/>
          <w:sz w:val="18"/>
          <w:szCs w:val="18"/>
          <w:color w:val="auto"/>
        </w:rPr>
        <w:t>” and (z) the Administrative Agent and the Arrangers shall be entitled to treat any Borrower Materials that are not marked “PUBLIC” as being suitable only for posting on a portion of the Platform not designated “</w:t>
      </w:r>
      <w:r>
        <w:rPr>
          <w:rFonts w:ascii="Times New Roman" w:cs="Times New Roman" w:eastAsia="Times New Roman" w:hAnsi="Times New Roman"/>
          <w:sz w:val="18"/>
          <w:szCs w:val="18"/>
          <w:b w:val="1"/>
          <w:bCs w:val="1"/>
          <w:color w:val="auto"/>
        </w:rPr>
        <w:t>Public Side Information.</w:t>
      </w:r>
      <w:r>
        <w:rPr>
          <w:rFonts w:ascii="Times New Roman" w:cs="Times New Roman" w:eastAsia="Times New Roman" w:hAnsi="Times New Roman"/>
          <w:sz w:val="18"/>
          <w:szCs w:val="18"/>
          <w:color w:val="auto"/>
        </w:rPr>
        <w:t>” Notwithstanding the foregoing, the Borrower shall be under no obligation to mark any Borrower Materials “PUBLIC”.</w:t>
      </w:r>
    </w:p>
    <w:p>
      <w:pPr>
        <w:spacing w:after="0" w:line="19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Promptly, and in any event within five Business Days after a Responsible Officer obtains knowledge thereof, notify the Administrative Agent (which shall deliver such notices to each Lender):</w:t>
      </w:r>
    </w:p>
    <w:p>
      <w:pPr>
        <w:spacing w:after="0" w:line="160" w:lineRule="exact"/>
        <w:rPr>
          <w:sz w:val="20"/>
          <w:szCs w:val="20"/>
          <w:color w:val="auto"/>
        </w:rPr>
      </w:pPr>
    </w:p>
    <w:p>
      <w:pPr>
        <w:ind w:left="1360" w:hanging="704"/>
        <w:spacing w:after="0"/>
        <w:tabs>
          <w:tab w:leader="none" w:pos="13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Default;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6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matter that has resulted or could reasonably be expected to result in a Material Adverse Effect, including (i) any dispute, litigation, investigation, proceeding or suspension between the Borrower or any Subsidiary and any Governmental Authority; or (ii) the commencement of, or any material development in, any litigation or proceeding affecting the Borrower or any Subsidiary, including pursuant to any applicable Environmental Laws;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55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alone or together with any other ERISA Events that have occurred, could reasonably be expected to result in a Material Adverse Effect;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 receipt of Net Cash Proceeds from any Disposition or Recovery Event for which the Borrower is required to make a mandatory prepayment pursuant to Section 2.05(b)(i) and (ii) incurrence or issuance of any Indebtedness for which the Borrower is required to make a mandatory prepayment pursuant to Section 2.05(b)(ii).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8" w:name="page159"/>
    <w:bookmarkEnd w:id="15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notice pursuant to this Section 6.03 shall be accompanied by a statement of a Responsible Officer of the Borrower setting forth details of the occurrence referred to therein and stating what action the Borrower has taken and proposes to take with respect thereto. Each notice pursuant to Section 6.03(a) shall describe with particularity any and all provisions of this Agreement and any other Loan Document that have been breached.</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Payment of Taxes</w:t>
      </w:r>
      <w:r>
        <w:rPr>
          <w:rFonts w:ascii="Times New Roman" w:cs="Times New Roman" w:eastAsia="Times New Roman" w:hAnsi="Times New Roman"/>
          <w:sz w:val="18"/>
          <w:szCs w:val="18"/>
          <w:color w:val="auto"/>
        </w:rPr>
        <w:t>. (a) Pay and discharge as the same shall become due and payable, all Tax liabilities, assessments and governmental charges or levies upon it or its properties or assets (except where that the failure to do so could not reasonably be expected to have a Material Adverse Effect), unless the same are being contested in good faith by appropriate proceedings diligently conducted and adequate reserves in accordance with GAAP are being maintained by the Borrower or such Subsidiary; and (b) timely file all Tax returns required to be filed (except where the failure to do so could not reasonably be expected to have a Material Adverse Effect).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Preservation of Existence, Etc</w:t>
      </w:r>
      <w:r>
        <w:rPr>
          <w:rFonts w:ascii="Times New Roman" w:cs="Times New Roman" w:eastAsia="Times New Roman" w:hAnsi="Times New Roman"/>
          <w:sz w:val="18"/>
          <w:szCs w:val="18"/>
          <w:color w:val="auto"/>
        </w:rPr>
        <w:t xml:space="preserve">. (a) Preserve, renew and maintain in full force and effect its legal existence and good standing (to the extent such concept is applicable to it) under the Laws of the jurisdiction of its organization except in a transaction permitted by Section 7.04 or 7.05 (except, other than with respect to the Borrower, to the extent that the failure to do so could not reasonably be expected to have a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Borrower and its Subsidiaries may consummate any merger or consolidation permitted under Section 7.04; (b) take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action to maintain all rights, privileges, permits, licenses and franchises necessary or desirable in the normal conduct of its business, except to the extent that the failure to do so could not reasonably be expected to have a Material Adverse Effect; and preserve, maintain and renew all of its IP Rights, the non-preservation, non-maintenance or non-renewal of which could reasonably be expected to have a Material Adverse Effect, except for IP Rights that expire at the end of their natural statutory terms.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Maintenance of Properties</w:t>
      </w:r>
      <w:r>
        <w:rPr>
          <w:rFonts w:ascii="Times New Roman" w:cs="Times New Roman" w:eastAsia="Times New Roman" w:hAnsi="Times New Roman"/>
          <w:sz w:val="18"/>
          <w:szCs w:val="18"/>
          <w:color w:val="auto"/>
        </w:rPr>
        <w:t>. Except where the failure to do so could not reasonably be expected to have a Material Adverse Effect, (a) maintain, preserve and protect all of its material properties and equipment necessary in the operation of its business in good working order and condition, ordinary wear and tear, casualty losses and Recovery Events excepted; and (b) make all necessary repairs thereto and renewals and replacements thereof.</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Maintenance of Insurance</w:t>
      </w:r>
      <w:r>
        <w:rPr>
          <w:rFonts w:ascii="Times New Roman" w:cs="Times New Roman" w:eastAsia="Times New Roman" w:hAnsi="Times New Roman"/>
          <w:sz w:val="18"/>
          <w:szCs w:val="18"/>
          <w:color w:val="auto"/>
        </w:rPr>
        <w:t>.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(after giving effect to any self-insurance which the Borrower believes is reasonable and prudent in light of the size and nature of its business) as are customarily carried under similar circumstances by such other Persons.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9" w:name="page160"/>
    <w:bookmarkEnd w:id="15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Books and Records</w:t>
      </w:r>
      <w:r>
        <w:rPr>
          <w:rFonts w:ascii="Times New Roman" w:cs="Times New Roman" w:eastAsia="Times New Roman" w:hAnsi="Times New Roman"/>
          <w:sz w:val="18"/>
          <w:szCs w:val="18"/>
          <w:color w:val="auto"/>
        </w:rPr>
        <w:t>. Maintain proper books of record and account, in which full, true and correct entries in conformity with GAAP consistently applied shall be made of all financial transactions and matters involving the assets and business of the Borrower or such Subsidiary, as the case may be.</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Inspection Rights</w:t>
      </w:r>
      <w:r>
        <w:rPr>
          <w:rFonts w:ascii="Times New Roman" w:cs="Times New Roman" w:eastAsia="Times New Roman" w:hAnsi="Times New Roman"/>
          <w:sz w:val="18"/>
          <w:szCs w:val="18"/>
          <w:color w:val="auto"/>
        </w:rPr>
        <w:t xml:space="preserve">. Permit representatives and independent contractors of the Administrative Agent (and Lenders acting in conjunction with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at such reasonable times during normal business hours and as often as may be reasonably desired, upon reasonable advance notice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only the Administrative Agent on behalf of the Lenders may exercise the rights of the Administrative Agent and the Lenders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6.10, (ii) except as expressly set forth in clause (iii) below during the continuance of an Event of Default, (a) the Administrative Agent shall not exercise such rights more often than one time during any calendar year and (b) only one such time per calendar year shall be at the expense of the Borrower, (iii) when an Event of Default exists, the Administrative Agent (or any of its representatives or independent contractors) may do any of the foregoing at the expense of the Borrower at any time during normal business hours and upon reasonable advance notice; (iv) no such discussion with any such independent accountants shall be permitted unless the Borrower shall have received reasonable notice thereof and a reasonable opportunity to participate therein. Notwithstanding anything to the contrary in this Section, none of the Borrower or any Subsidiary will be required to permit representatives and independent contractors of the Administrative Agent to visit and inspect any of its properties, to examine its corporate, financial and operating records, and make copies thereof or abstracts therefrom, and to discuss its affairs (i) that constitutes trade secrets or proprietary information, (ii) in respect of which disclosure to the Administrative Agent or any Lender (or their respective representatives or contractors) is prohibited by any requirement of Law or any binding third party agreement or (iii) that is subject to attorney-client privilege or constitutes attorney work product;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 Borrower does not permit visitation, inspection or examination or otherwise disclose information in reliance on this sentence, the Borrower shall provide notice to the Administrative Agent that such visitation, inspection or examination is not being permitted and/or such information is being withheld and the Borrower shall use commercially reasonable efforts to communicate the applicable information in a way that would not violate the applicable obligation or risk waiver of attorney-client privilege.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60" w:name="page161"/>
    <w:bookmarkEnd w:id="160"/>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Use the proceeds of the Credit Extensions (i) for working capital, capital expenditures, and other lawful corporate purposes, including (without limitation) investments, acquisitions, stock repurchases and dividends not prohibited by the Loan Documents and (ii) to consummate the Closing Date Refinancing.</w:t>
      </w:r>
    </w:p>
    <w:p>
      <w:pPr>
        <w:spacing w:after="0" w:line="173"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6.12.</w:t>
      </w:r>
      <w:r>
        <w:rPr>
          <w:sz w:val="20"/>
          <w:szCs w:val="20"/>
          <w:color w:val="auto"/>
        </w:rPr>
        <w:tab/>
      </w:r>
      <w:r>
        <w:rPr>
          <w:rFonts w:ascii="Times New Roman" w:cs="Times New Roman" w:eastAsia="Times New Roman" w:hAnsi="Times New Roman"/>
          <w:sz w:val="17"/>
          <w:szCs w:val="17"/>
          <w:i w:val="1"/>
          <w:iCs w:val="1"/>
          <w:color w:val="auto"/>
        </w:rPr>
        <w:t>Covenant to Guarantee Obligations and Give Security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56"/>
        <w:spacing w:after="0" w:line="282" w:lineRule="auto"/>
        <w:tabs>
          <w:tab w:leader="none" w:pos="138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formation or acquisition of any new direct or indirect Subsidiary (other than an Excluded Subsidiary) by any Loan Party, then the Borrower shall, at the Borrower’s expense: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63"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(or such longer period as the Administrative Agent may agree) after such formation or acquisition, cause such Subsidiary, and cause each direct and indirect parent of such Subsidiary (if it has not already done so), to duly execute and deliver to the Administrative Agent a guaranty or guaranty supplement guaranteeing the other Loan Parties’ obligations under the Loan Documents on terms consistent with Article 10 hereof, with such changes thereto as may be reasonably acceptable to the Administrative Agent,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9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(or such longer period as the Administrative Agent may agree) after such formation or acquisition, cause such Subsidiary and each direct and indirect parent of such Subsidiary (if it has not already done so) to duly execute and deliver to the Administrative Agent Pledge Agreement Supplements and take all other actions required to be taken by a grantor pursuant to the Pledge Agreement (including delivery of all certificates, if any, representing the Equity Interests in and of such Subsidiary), securing payment of all the Obligations of such Subsidiary or such parent, as the case may be, under the Loan Documents and constituting Liens on all Collateral of such Subsidiary or such parent, and</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12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(or such longer period as the Administrative Agent may agree) after such formation or acquisition, cause such Subsidiary and each direct and indirect parent of such Subsidiary (if it has not already done so) to take whatever action (including the filing of UCC financing statements) may be necessary or advisable in the reasonable opinion of the Administrative Agent to vest in the Administrative Agent (or in any representative of the Administrative Agent designated by it) Liens on the properties purported to be subject to the Pledge Agreement Supplements and security and pledge agreements delivered pursuant to this Section 6.12, enforceable against all third parties in accordance with their terms.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49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upon reasonable request of the Administrative Agent, promptly execute and deliver any and all further instruments and documents and take all such other action as the Administrative Agent may reasonably deem necessary or desirable in obtaining the full benefits of, or (as applicable) in perfecting and preserving the Liens of, such guaranties, Pledge Agreement Supplements and other security and pledge agreements.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61" w:name="page162"/>
    <w:bookmarkEnd w:id="161"/>
    <w:p>
      <w:pPr>
        <w:jc w:val="both"/>
        <w:ind w:firstLine="656"/>
        <w:spacing w:after="0" w:line="261" w:lineRule="auto"/>
        <w:tabs>
          <w:tab w:leader="none" w:pos="142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Indebtedness owed by a Subsidiary that is not a Loan Party to a Loan Party, including any loan or advance or any intercompany receivable, having a term in excess of, or that is outstanding for more than, 364 days, take all actions required to ensure that such Indebtedness or intercompany receivable is evidenced by the Intercompany Note and pledged to the Administrative Agent pursuant to the Pledge Agreement for the benefit of the Secured Parties.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Promptly upon request by the Administrative Agent, (a) correct any material defect or error that may be discovered in the execution, acknowledgment, filing or recordation of any Loan Document, and (b) execute, acknowledge, deliver, file and re-file any and all such further certificates, assurances and other instruments as the Administrative Agent may reasonably require from time to time in order to (i) carry out more effectively the purposes of the Loan Documents, (ii) to the fullest extent permitted by applicable Laws, subject any Loan Party’s Collateral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Information Regarding Collateral</w:t>
      </w:r>
      <w:r>
        <w:rPr>
          <w:rFonts w:ascii="Times New Roman" w:cs="Times New Roman" w:eastAsia="Times New Roman" w:hAnsi="Times New Roman"/>
          <w:sz w:val="18"/>
          <w:szCs w:val="18"/>
          <w:color w:val="auto"/>
        </w:rPr>
        <w:t>. Furnish to the Administrative Agent prompt written notice of any change in (i) any Loan Party’s legal name, (ii) the location of any Loan Party’s chief executive office, (iii) any Loan Party’s identity or organizational structure, (iv) any Loan Party’s Federal Taxpayer Identification Number or organizational identification number, if any, or (v) any Loan Party’s jurisdiction of organization (in each case, including by merging with or into any other entity, reorganizing, dissolving, liquidating, reorganizing or organizing in any other jurisdiction). With respect to any change referred to in the preceding sentence, the Borrower shall, within 60 days of such change (or such longer period as the Administrative Agent may reasonably agree), provide the Administrative Agent with certified Organization Documents reflecting such change and make all filings under the UCC or otherwise that are required in order for the Administrative Agent to continue at all times following such change to have a valid, legal and perfected security interest in all the Collateral.</w:t>
      </w:r>
    </w:p>
    <w:p>
      <w:pPr>
        <w:spacing w:after="0" w:line="18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i w:val="1"/>
          <w:iCs w:val="1"/>
          <w:color w:val="auto"/>
        </w:rPr>
        <w:t>Anti-Corruption Laws and Sanctions</w:t>
      </w:r>
      <w:r>
        <w:rPr>
          <w:rFonts w:ascii="Times New Roman" w:cs="Times New Roman" w:eastAsia="Times New Roman" w:hAnsi="Times New Roman"/>
          <w:sz w:val="18"/>
          <w:szCs w:val="18"/>
          <w:color w:val="auto"/>
        </w:rPr>
        <w:t>. Conduct its businesses in compliance with applicable anti-corruption laws and Sanctions and maintain policies and procedures designed to promote and achieve compliance with all applicable anti-corruption laws and Sanctions, except to the extent that the failure to so comply or maintain would not, in the aggregate, have a material and adverse effect on the business of the Borrower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egative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the Payment in Full of the Loan Document Obligations, the Borrower shall not, nor shall it permit any Subsidiary to, directly or indirectly:</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Create, incur, assume or permit to exist any Lien on any asset now owned, licensed or hereafter acquired by it, other than the following (the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360" w:hanging="704"/>
        <w:spacing w:after="0"/>
        <w:tabs>
          <w:tab w:leader="none" w:pos="13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any Loan Document;</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56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date hereof and listed on Schedule 7.01 and any renewals, replacements, refinancings or extensions thereof,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such Lien does not extend to any property of the Borrower or any Subsidiary other than (A) the property covered by such Lien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(B) the proceeds and products thereof and (C) after-acquired property that is affixed or incorporated into the property covered by such Lien, or that is subject to a Lien securing obligations that require or include a pledge of after-acquired property, (ii) in the case of any Lien securing obligations constituting Indebtedness, the amount secured or benefited thereby is not increased except as contemplated by Section 7.02(d), and (iii) in the case of any Lien securing obligations constituting Indebtedness, any renewal, replacement, refinancing or extension of the obligations secured or benefited thereby is permitted by Section 7.02(d);</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43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not yet due or Liens for taxes, assessments or other governmental charges which are being contested in good faith and by appropriate proceedings diligently conducted (which proceedings have the effect of preventing the forfeiture or sale of the property or assets subject to any such Lien), if adequate reserves with respect thereto are maintained on the books of the applicable Person in accordance with GAAP;</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56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carriers’, warehousemen’s, mechanics’, materialmen’s, repairmen’s or other like Liens arising in the ordinary course of business which are not overdue for a period of more than 30 days or which are being contested in good faith and by appropriate proceedings diligently conducted (which proceedings have the effect of preventing the forfeiture or sale of the property or assets subject to any such Lien), if adequate reserves with respect thereto are maintained on the books of the applicable Person in accordance with GAAP;</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4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and other Liens (i) in the ordinary course of business in connection with workers’ compensation, Environmental Laws or similar legislation, unemployment insurance and other social security legislation, other than any Lien imposed by ERISA, (ii) to secure liabilities to insurance carriers under insurance or self-insurance arrangements in respect of obligations of the type set forth described in clause (i) above or (iii) in respect of letters of credit, bank guarantees or similar instruments issued for the account of the Borrower or any Subsidiary in the ordinary course of business supporting obligations of the type set forth in clause (i)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3" w:name="page164"/>
    <w:bookmarkEnd w:id="163"/>
    <w:p>
      <w:pPr>
        <w:jc w:val="both"/>
        <w:ind w:firstLine="656"/>
        <w:spacing w:after="0" w:line="258" w:lineRule="auto"/>
        <w:tabs>
          <w:tab w:leader="none" w:pos="139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and other Liens (i) to secure the performance of bids, tenders, trade contracts, leases (other than Capitalized Leases), statutory obligations (including deposits and other Liens in respect of direct selling licenses or to satisfy similar regulatory requirements), surety, stay, customs and appeal bonds, performance and return-of-money bonds, government contracts, trade contracts (other than for Indebtedness) and other obligations of a like nature, in each case in the ordinary course of business and (ii) in respect of letters of credit, bank guarantees or similar instruments issued for the account of the Borrower or any Subsidiary in the ordinary course of business supporting obligations of the type set forth in clause (i) above;</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60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licenses, restrictions (including zoning restrictions or right reserved to, or vested in, any Governmental Authority to control or regulate the use of any real property), minor defects, exceptions or irregularities in title, encroachments, protrusions and other similar encumbrances on real property imposed by law or arising in the ordinary course of business that do not materially detract from the value of the affected real property of the Borrower and its Subsidiaries, when taken as a whole, or interfere in any material respect with the ordinary conduct of business of the Borrower and its Subsidiaries, taken as a whole;</w:t>
      </w:r>
    </w:p>
    <w:p>
      <w:pPr>
        <w:spacing w:after="0" w:line="183"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judgments for the payment of money not constituting an Event of Default under Section 8.01(h);</w:t>
      </w:r>
    </w:p>
    <w:p>
      <w:pPr>
        <w:spacing w:after="0" w:line="223" w:lineRule="exact"/>
        <w:rPr>
          <w:rFonts w:ascii="Times New Roman" w:cs="Times New Roman" w:eastAsia="Times New Roman" w:hAnsi="Times New Roman"/>
          <w:sz w:val="18"/>
          <w:szCs w:val="18"/>
          <w:color w:val="auto"/>
        </w:rPr>
      </w:pPr>
    </w:p>
    <w:p>
      <w:pPr>
        <w:jc w:val="both"/>
        <w:ind w:firstLine="656"/>
        <w:spacing w:after="0" w:line="258" w:lineRule="auto"/>
        <w:tabs>
          <w:tab w:leader="none" w:pos="132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Section 7.02(i);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Liens do not at any time encumber any property other than the property financed by such Indebtedness, replacements thereof and accessions and additions to such property and ancillary rights thereto and the proceeds and the products thereof and customary security deposits, related contract rights and payment intangibles and other assets related thereto and (ii) the Indebtedness secured thereby does not exceed the cost or fair market value, whichever is lower, of the property being acquired on the date of acquisition;</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3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of a Person existing at the time such Person is merged into or consolidated with the Borrower or any Subsidiary of the Borrower or becomes a Subsidiary of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(i) were not created in contemplation of such merger, consolidation or Investment, (ii) secure only those obligations (or, in the case of any such obligations constituting Indebtedness, any Permitted Refinancing Indebtedness in respect thereof permitted by Section 7.02) that they secure on the date of such acquisition or the date such Person becomes a Subsidiary (or is so merged or consolidated), (iii) do not attach to any property of the Borrower or any Subsidiary other than (A) the property covered by such Lien on such date, (B) the proceeds and products thereof and (C) after-acquired property that is affixed or incorporated into the property covered by such Lien, or that is subject to a Lien securing obligations that require or include a pledge of after-acquired property, and (iv) if any such Lien secures Indebtedness, the applicable Indebtedness secured by such Lien is permitted under Section 7.02(p);</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4" w:name="page165"/>
    <w:bookmarkEnd w:id="164"/>
    <w:p>
      <w:pPr>
        <w:jc w:val="both"/>
        <w:ind w:firstLine="656"/>
        <w:spacing w:after="0" w:line="266" w:lineRule="auto"/>
        <w:tabs>
          <w:tab w:leader="none" w:pos="144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accounts receivable sold in the ordinary course of business in accordance with Section 7.05(f) arising in connection with the sale of such accounts receivable;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Liens extend solely to the accounts receivable so sold and do not encumber any additional assets or properties of the Borrower or any of its Subsidiaries;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sublessor, licensor or sublicensor under any leases, subleases, licenses or sublicenses entered into by the Borrower or any Subsidiary as lessee, sublessee, sublessor, licensor or sublicensor in the ordinary course of business (other than licenses or sublicenses of IP Rights, which are covered in Section 7.01(p));</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62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(i) relating to the establishment of depository relations with banks and other financial institutions not given in connection with the incurrence of indebtedness, (ii) relating to pooled deposit, sweep accounts, reserve counts or similar accounts of the Borrower or any Subsidiary to permit satisfaction of overdraft or similar obligations incurred in the ordinary course of business of the Borrower or any Subsidiary or (iii) relating to purchase orders and other agreements entered into with customers of the Borrower or any of its Subsidiaries in the ordinary course of business.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of a collection bank arising under Section 4-210 of the Uniform Commercial Code on items in the course of collection and (B) in favor of a banking institution arising as a matter of law or pursuant to terms and conditions generally imposed by such banking institution on its customers encumbering deposits (including the right of set-off) and which are (x) within the general parameters customary in the banking industry and (y) not incurred in connection with the incurrence of indebtedness for borrowed money;</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48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in respect of trade-related letters of credit permitted under Section 7.02(h) and covering the goods (or the documents of title in respect of such goods) financed by such letters of credit and the proceeds and products thereof;</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7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sublicenses or cross-license of IP Rights granted by the Borrower or its Subsidiaries, to the extent that grant of such license does not materially interfere with the ordinary course of conduct of the business of the Borrower and its Subsidiaries, taken as a whole;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5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the Borrower or any of the Subsidiaries in connection with any letter of intent or purchase agreement permitted hereunder with respect to any acquisition that would constitute an Investment permitted by this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in the ordinary course of business;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5" w:name="page166"/>
    <w:bookmarkEnd w:id="165"/>
    <w:p>
      <w:pPr>
        <w:ind w:firstLine="656"/>
        <w:spacing w:after="0" w:line="282" w:lineRule="auto"/>
        <w:tabs>
          <w:tab w:leader="none" w:pos="157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of the Borrower or a Subsidiary in favor of any Loan Party and Liens securing Indebtedness or other obligations of any Subsidiary that is not a Loan Party in favor of any Subsidiary that is not a Loan Party;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1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Uniform Commercial Code financing statements or similar filings or consignments entered into in connection with any transaction otherwise permitted under this Agreement;</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licenses and sublicenses (not constituting Capitalized Leases) granted to others in the ordinary course of business that do not, individually or in the aggregate, materially interfere with the ordinary conduct of the business of the Borrower and its Subsidiaries, taken as a whole (other than licenses or sublicenses of IP Rights, which are covered in Section 7.01(p));</w:t>
      </w:r>
    </w:p>
    <w:p>
      <w:pPr>
        <w:spacing w:after="0" w:line="17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and Cash Equivalents used to satisfy or discharge Indebtedness, if such satisfaction or discharge is permitted hereunder;</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or subleases in respect of real property on which facilities owned or leased by the Borrower or any of its Subsidiaries are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goods or inventory the purchase, shipment or storage price of which is financed by a documentary letter of credit or bankers’ acceptance issued or created for the account of the Borrower or any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 secures only the obligations of the Borrower or such Subsidiary in respect of such letter of credit;</w:t>
      </w:r>
    </w:p>
    <w:p>
      <w:pPr>
        <w:spacing w:after="0" w:line="176" w:lineRule="exact"/>
        <w:rPr>
          <w:sz w:val="20"/>
          <w:szCs w:val="20"/>
          <w:color w:val="auto"/>
        </w:rPr>
      </w:pPr>
    </w:p>
    <w:p>
      <w:pPr>
        <w:ind w:left="1600" w:hanging="944"/>
        <w:spacing w:after="0"/>
        <w:tabs>
          <w:tab w:leader="none" w:pos="16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consisting of agreements to Dispose of such property in a transaction permitted by Section 7.05 (other than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7.05(e));</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69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any Subsidiary that is not a wholly-owned Subsidiary or (B)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156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of any Subsidiary that is not a Loan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Liens secure Indebtedness, such Indebtedness is permitted under Section 7.02(s); and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6" w:name="page167"/>
    <w:bookmarkEnd w:id="166"/>
    <w:p>
      <w:pPr>
        <w:jc w:val="both"/>
        <w:ind w:firstLine="656"/>
        <w:spacing w:after="0" w:line="261" w:lineRule="auto"/>
        <w:tabs>
          <w:tab w:leader="none" w:pos="150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securing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incurrence thereof and after giving pro forma effect thereto and to the use of proceeds of such Indebtedness, the aggregate amount of all such Indebtedness secured pursuant to this clause (dd) and then outstanding shall not exceed the greater of (i) $20,000,000 and (ii) 12.5% of Consolidated EBITDA for the Measurement Period most recently ended on or prior to the date of such incurrence.</w:t>
      </w:r>
    </w:p>
    <w:p>
      <w:pPr>
        <w:spacing w:after="0" w:line="18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Create, incur, assume or suffer to exist any Indebtedness, except:</w:t>
      </w:r>
    </w:p>
    <w:p>
      <w:pPr>
        <w:spacing w:after="0" w:line="227" w:lineRule="exact"/>
        <w:rPr>
          <w:sz w:val="20"/>
          <w:szCs w:val="20"/>
          <w:color w:val="auto"/>
        </w:rPr>
      </w:pPr>
    </w:p>
    <w:p>
      <w:pPr>
        <w:ind w:right="20" w:firstLine="656"/>
        <w:spacing w:after="0" w:line="282" w:lineRule="auto"/>
        <w:tabs>
          <w:tab w:leader="none" w:pos="141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(contingent or otherwise) existing or arising under any Swap Contract, provided that such obligations are (or were) entered into by such Person to hedge or mitigate interest or foreign exchange risks to which the Borrower or any Subsidiary has actual exposure;</w:t>
      </w:r>
    </w:p>
    <w:p>
      <w:pPr>
        <w:spacing w:after="0" w:line="15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2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 Subsidiary of the Borrower owed to the Borrower or a Subsidiary of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Indebtedness owing by any Loan Party to any Subsidiary that is not a Loan Party shall be unsecured, evidenced by the Intercompany Note and subordinated in right of payment to the Obligations and (ii) any Indebtedness owing by a Subsidiary that is not a Loan Party to any Loan Party shall be otherwise permitted under the provisions of Section 7.03 (other than 7.03(m)) and shall be evidenced by the Intercompany Note and pledged to the Administrative Agent pursuant to the Pledge Agreement for the benefit of the Secured Parties;</w:t>
      </w:r>
    </w:p>
    <w:p>
      <w:pPr>
        <w:spacing w:after="0" w:line="18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Loan Documents;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53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Closing Date and listed on Schedule 7.02 and any Permitted Refinancing Indebtedness incurred to Refinance such Indebtedness;</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61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of the Borrower or any Subsidiary in respect of Indebtedness otherwise permitted hereunder of the Borrower or any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this Section 7.02, (i) the Loan Parties shall not Guarantee the Indebtedness of any Subsidiary that is not a Loan Party unless such Guarantee is permitted under Section 7.03 (other than 7.03(m)) and (ii) any Guarantees by any Loan Party under this paragraph (e) of any other Indebtedness of a Person that is subordinated to other Indebtedness of such Person shall be expressly subordinated to the Loan Document Obligations on terms not less favorable to the Lenders than the subordination terms of such other Indebtedness;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47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any Cash Management Agreement and other Indebtedness in respect of netting services, automatic clearing house arrangements, employees’ credit or purchase cards, overdraft protections and similar arrangements, in each case, incurred in the ordinary course of business;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67" w:name="page168"/>
    <w:bookmarkEnd w:id="167"/>
    <w:p>
      <w:pPr>
        <w:jc w:val="both"/>
        <w:ind w:firstLine="656"/>
        <w:spacing w:after="0" w:line="261" w:lineRule="auto"/>
        <w:tabs>
          <w:tab w:leader="none" w:pos="152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 the Subsidiaries owed to (including obligations in respect of letters of credit or bank guarantees, banker’s acceptances, warehouse receipts or similar instruments for the benefit of) any Person providing workers’ compensation, health, disability or other employee benefits or property, casualty or liability insurance to the Borrower or any Subsidiary, pursuant to reimbursement or indemnification obligations to such Person, in each case, provided in the ordinary course of business;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65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 its Subsidiaries in respect of performance bonds, bid bonds, appeal bonds, surety bonds and completion guarantees and similar obligations, including those incurred to secure health, safety, insurance and environmental obligations of the Borrower and its Subsidiaries, in each case, incurred in the ordinary course of business and not in connection with the borrowing of money;</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62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(including obligations under Capitalized Leases) of the Borrower or any Subsidiary (1) incurred to finance the acquisition, construction, repair, replacement, expansion or improvement of any fixed or capital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Indebtedness is incurred prior to or within 270 days after such acquisition or the completion of such construction, repair, replacement, expansion or improvement and the principal amount of such Indebtedness does not exceed the cost or fair market value, whichever is lower, of the property being acquired on the date of acquisition or</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assumed in connection with such acquisition;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time of incurrence thereof and after giving pro forma effect thereto and to the use of proceeds thereof, the aggregate amount of all such Indebtedness outstanding pursuant to this clause (A) shall not exceed the greater of (i) $20,000,000 and (ii) 12.5% of Consolidated EBITDA for the Measurement Period most recently ended on or prior to the date of such incurrence, and (B) any Permitted Refinancing Indebtedness incurred to Refinance such Indebtedness;</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44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agreements of the Borrower or any Subsidiary providing for indemnification, adjustment of purchase price (including earn outs) or similar obligations, in each case, incurred or assumed in connection with the Disposition of any business, assets or Equity Interests or the making of Investments, other than Guarantees of Indebtedness incurred in connection with the acquisition of all or any portion of such business, assets or Equity Interests for the purpose of financing such acquisition, in each case, to the extent such obligation or transaction is permitted by this Agreement;</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501"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the financing of insurance premiums and obligations of the Borrower or any Subsidiary to pay insurance premiums arising in the ordinary course of business and not in connection with the borrowing of money;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0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all premium (if any), interest (including post-petition interest and capitalized interest), fees, expenses, charges and additional or contingent interest on Indebtedness otherwise permitted to be incurred pursuant to this Section 7.02;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8" w:name="page169"/>
    <w:bookmarkEnd w:id="168"/>
    <w:p>
      <w:pPr>
        <w:jc w:val="both"/>
        <w:ind w:firstLine="656"/>
        <w:spacing w:after="0" w:line="255" w:lineRule="auto"/>
        <w:tabs>
          <w:tab w:leader="none" w:pos="147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representing deferred compensation or stock based or similar compensation to employees, consultants or independent contractors of the Borrower and its Subsidiaries incurred in the ordinary course of business; (ii) Indebtedness consisting of obligations of the Borrower or its Subsidiaries under deferred compensation to their employees, consultants or independent contractors or other similar arrangements incurred by such Persons in connection with any Investment permitted under Section 7.03 (other than 7.03(m)) and (iii) unsecured Indebtedness consisting of promissory notes issued by any Loan Party to current or former officers, managers, consultants, directors and employees (or their spouses, former spouses, successors, executors, administrators, heirs, legatees or distributees) to finance the purchase or redemption of Equity Interests of the Borrower, in each case to the extent permitted by Section 7.06(k);</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41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incurred in the ordinary course of business in respect of obligations (not constituting Indebtedness) to suppliers, customers, franchisees, lessors, licensees, sublicensees or distribution partners;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40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respect of (A) obligations of the Borrower or any Subsidiary to pay the deferred purchase price of goods or services or progress payments in connection with such goods and services;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obligations are incurred in connection with open accounts extended by third party suppliers on customary trade terms in the ordinary course of business and not in connection with the borrowing of money and (B) intercompany obligations of the Borrower or any Subsidiary in respect of accounts payable incurred in connection with goods sold or services rendered in the ordinary course of business and not in connection with the borrowing of money, which obligations are due within, and are not outstanding longer than, one year after the incurrence thereof;</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46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Person that becomes a Loan Party after the Closing Date in accordance with the terms of Section 7.03(k), which Indebtedness is existing at the time such Person becomes a Loan Party (other than Indebtedness incurred solely in contemplation of such Person’s becoming a Loan Party);</w:t>
      </w:r>
    </w:p>
    <w:p>
      <w:pPr>
        <w:spacing w:after="0" w:line="173" w:lineRule="exact"/>
        <w:rPr>
          <w:rFonts w:ascii="Times New Roman" w:cs="Times New Roman" w:eastAsia="Times New Roman" w:hAnsi="Times New Roman"/>
          <w:sz w:val="18"/>
          <w:szCs w:val="18"/>
          <w:color w:val="auto"/>
        </w:rPr>
      </w:pPr>
    </w:p>
    <w:p>
      <w:pPr>
        <w:jc w:val="both"/>
        <w:ind w:firstLine="656"/>
        <w:spacing w:after="0" w:line="254" w:lineRule="auto"/>
        <w:tabs>
          <w:tab w:leader="none" w:pos="136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other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Borrower shall be in compliance, on a pro forma basis, with a Consolidated Leverage Ratio of 2.00:1.00 for the Measurement Period most recently ended on or prior to the date of such incurrence, (ii) no Default or Event of Default shall exist after giving effect thereto, (iii) the final maturity date of any such Indebtedness shall be no earlier than the Latest Maturity Date, (iv) the Weighted Average Life to Maturity of any such Indebtedness shall be equal to or greater than the Weighted Average Life to Maturity of the Term Loans, (v) any other terms of such Indebtedness shall be no more restrictive, taken as a whole, than the terms applicable to the Facilities (except as to interest rates, interest margins, rate floors, upfront and other fees, funding discounts, original issue discounts and prepayment terms and premiums) and (vi) at the time of incurrence thereof and after giving pro forma effect thereto and to the use of proceeds thereof, the aggregate amount of all such Indebtedness owed by Subsidiaries that are not Loan Parties under this Section 7.02(q)(A), together with all Indebtedness owed on the date of such incurrence by non-Loan Parties under Section 7.02(s) and Section 7.02(d), shall not exceed the greater of (x) $60,000,000 and (y) 25% of Consolidated EBITDA for the Measurement Period most recently ended on or prior to the date of such incurrence; and (B) any Permitted Refinancing Indebtedness incurred to Refinance such Indebtedness;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9" w:name="page170"/>
    <w:bookmarkEnd w:id="169"/>
    <w:p>
      <w:pPr>
        <w:ind w:left="1340" w:hanging="684"/>
        <w:spacing w:after="0"/>
        <w:tabs>
          <w:tab w:leader="none" w:pos="1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jc w:val="both"/>
        <w:ind w:firstLine="656"/>
        <w:spacing w:after="0" w:line="257" w:lineRule="auto"/>
        <w:tabs>
          <w:tab w:leader="none" w:pos="143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and/or any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incurrence thereof and after giving pro forma effect thereto and to the use of proceeds thereof, the aggregate amount of all such Indebtedness outstanding pursuant to this clause (s) shall not exceed the greater of (x) $60,000,000 and (y) 25% of Consolidated EBITDA for the Measurement Period most recently ended on or prior to the date of such incurrence;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the amount of Indebtedness owed by Subsidiaries that are not Loan Parties under this Section 7.02(s) at such time, together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owed on the date of such incurrence by non-Loan Parties under Section 7.02(q)(A) and Section 7.02(d), shall not exceed the greater of (x) $60,000,000 and (y) 25% of Consolidated EBITDA for the Measurement Period most recently ended on or prior to the date of such incurrence;</w:t>
      </w:r>
    </w:p>
    <w:p>
      <w:pPr>
        <w:spacing w:after="0" w:line="184"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Subsidiary in the form of indemnifications, purchase price adjustments, earn-outs, or deferred payments incurred in connection with any Investment permitted by Section 7.03 (other than Section 7.03(m)) and not constituting debt for borrowed money;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65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(if any), interest (including post-petition interest), fees, expenses, charges and additional or contingent interest on obligations described in clauses (a) through (t) above.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(x) all Indebtedness outstanding under the Loan Documents and any Permitted Refinancing Indebtedness incurred to Refinance (in whole or in part) such Indebtedness will be deemed to have been incurred in reliance only on the exception set forth in Section 7.02(c) and (y) the accrual of interest, the accretion of accreted value and the payment of interest in the form of additional Indebtedness shall not be deemed to be an incurrence of Indebtedness for purposes of this Section 7.02.</w:t>
      </w:r>
    </w:p>
    <w:p>
      <w:pPr>
        <w:spacing w:after="0" w:line="178"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Make any Investments, except:</w:t>
      </w:r>
    </w:p>
    <w:p>
      <w:pPr>
        <w:spacing w:after="0" w:line="227" w:lineRule="exact"/>
        <w:rPr>
          <w:sz w:val="20"/>
          <w:szCs w:val="20"/>
          <w:color w:val="auto"/>
        </w:rPr>
      </w:pPr>
    </w:p>
    <w:p>
      <w:pPr>
        <w:ind w:left="1360" w:hanging="704"/>
        <w:spacing w:after="0"/>
        <w:tabs>
          <w:tab w:leader="none" w:pos="13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held by the Borrower and its Subsidiaries in the form of Cash Equivalents at the time such Investments are made;</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64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loans and advances to officers, directors, employees, independent contractors and consultants of the Borrower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Investment shall not cause the aggregate amount of all such Investments made pursuant to this clause (b) outstanding at the time of such Investment, after giving pro forma effect thereto, to exceed the greater of (i) $4,000,000 and (ii) 2.5% of Consolidated EBITDA for the Measurement Period most recently ended on or prior to the date such Investment is made (with the amount of such Investment calculated without regard to write-downs or write-offs thereof) and (B) payroll, travel, business entertainment and similar advances to officers, directors, employees, independent contractors and consultants of the Borrower or any Subsidiary to cover matters that are expected at the time of such advances to be treated as expenses of the Borrower or such Subsidiary for accounting purposes and that are made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0" w:name="page171"/>
    <w:bookmarkEnd w:id="170"/>
    <w:p>
      <w:pPr>
        <w:jc w:val="both"/>
        <w:ind w:firstLine="656"/>
        <w:spacing w:after="0" w:line="254" w:lineRule="auto"/>
        <w:tabs>
          <w:tab w:leader="none" w:pos="144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in the Borrower or any other Loan Party, (ii) Investments by Subsidiaries of the Borrower that are not Loan Parties in other Subsidiaries that are not Loan Parties and (iii) so long as no Event of Default has occurred and is continuing or would result from such Investment, Investments by the Loan Parties in Subsidiaries that are not Loan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Investment shall not cause the aggregate amount of all such Investments made pursuant to this clause (c)(iii) outstanding at the time of such Investment, after giving pro forma effect thereto and together with the total consideration paid pursuant to Section 7.03(k)(iii), exceed the greater of (x) $60,000,000 and (y) 40.0% of Consolidated EBITDA for the Measurement Period most recently ended on or prior to the date such Investment is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Investment pursuant to clause (iii) constituting a loan or advance, or any intercompany receivable, shall be evidenced by the Intercompany Note and (x) if owing by a Subsidiary that is not Loan Party to a Loan Party, pledged to the Administrative Agent pursuant to the Pledge Agreement for the benefit of the Secured Parties and (y) if owing by a Loan Party to a Subsidiary that is not Loan Party, subordinated in right of payment to the Obligations;</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60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(excluding Investments by the Borrower or any Subsidiary in any other Subsidiary which are not due within, or are outstanding longer than, one year after the making thereof)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45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obligations (other than Indebtedness) of the Borrower and its Subsidiaries not prohibited hereunder and incurred in the ordinary course of business;</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Swap Contracts permitted pursuant to Section 7.02(a);</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resulting from pledges and deposits referred to in Sections 7.01(e), (f), (m), (n) and (r);</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 in connection with the bankruptcy or reorganization of, or settlement of delinquent accounts and disputes with, customers and suppliers, in each case in the ordinary course of business, or (ii) upon foreclosure (or transfer of title in lieu of foreclosure) with respect to any secured Investment in a Person other than the Borrower or a Subsidiary and that, in each case, was made without contemplation of such foreclosure (or transfer of title in lieu of foreclosure);</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3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existing or contemplated on the Closing Date and set forth on Schedule 7.03 and (ii) any modification, renewal or extension thereof, so long as the aggregate amount of all Investments pursuant to clause (i) of this Section 7.03(i) is not increased at any time above the amount of such Investments under clause (i) existing on the Closing Date, except pursuant to the terms of any such Investment under clause (i) existing as of the Closing Date and set forth on Schedule 7.03 or as otherwise permitted by this Section 7.03 and the terms of any Investment are not otherwise modified from the terms that are in effect on the Closing Date in a manner that is materially adverse to the Lenders;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1" w:name="page172"/>
    <w:bookmarkEnd w:id="171"/>
    <w:p>
      <w:pPr>
        <w:jc w:val="both"/>
        <w:ind w:firstLine="656"/>
        <w:spacing w:after="0" w:line="261" w:lineRule="auto"/>
        <w:tabs>
          <w:tab w:leader="none" w:pos="137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 Subsidiary acquired after the Closing Date or of a Person merged into or consolidated with a Subsidiary in accordance with Section 7.04 after the Closing Date to the extent that (i) such acquisition, merger or consolidation is otherwise permitted under this Section 7.03, (ii) such Investments were not made in contemplation of or in connection with such acquisition, merger or consolidation and (iii) such Investments were in existence on the date of such acquisition, merger or consolidation;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other acquisition (in one transaction or a series of transactions) of assets of another Person that constitute a business unit or all or a substantial part of the business of such Person, or the purchase of Equity Interests of any Person that, upon the consummation thereof, will be a Subsidiary of the Borrower (including as a result of a merger or consolidation) (each of the foregoing, a “</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purchase or other acquisition made pursuant to this Section 7.03(k):</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newly-created or acquired Subsidiary shall comply with the requirements of Section 6.12;</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purchase or acquisition, the Borrower shall be in compliance with Section 7.07;</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22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paid by or on behalf of Loan Parties for all purchases or other acquisitions pursuant to this Section 7.03(k) attributable to acquisitions of Persons that do not become Guarantors, together with all Investments in non-Loan Parties made pursuant to Section 7.03(c)(iii), shall not exceed the greater of (x) $60,000,000 and (y) 40.0% of Consolidated EBITDA for the Measurement Period most recently ended on or prior to the date such Investment is made;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3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1.08, (A) after giving pro forma effect to any such purchase or other acquisition, no Event of Default shall have occurred and be continuing and (B) after giving effect to such purchase or other acquisition, the Borrower shall be in compliance, on a pro forma basis, with a Consolidated Leverage Ratio of 2.50:1.00 as of the last day of the Measurement Period most recently ended on or prior to the date such Investment is made;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8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Administrative Agent a certificate of a Responsible Officer, in a form reasonably satisfactory to the Administrative Agent, certifying that all of the requirements set forth in this Section 7.03(k) have been satisfied or will be satisfied on or prior to the consummation of such purchase or other acquisition (or, in the case of the requirements of clause (i), will, to the extent applicable, be satisfied within the time periods specified for such satisfaction in Section 6.12); and</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217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such acquisition is not opposed by the Board of Directors of the relevant selling Person or the Person whose Equity Interests are being acquired, as applicable.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2" w:name="page173"/>
    <w:bookmarkEnd w:id="172"/>
    <w:p>
      <w:pPr>
        <w:ind w:right="20" w:firstLine="656"/>
        <w:spacing w:after="0" w:line="282" w:lineRule="auto"/>
        <w:tabs>
          <w:tab w:leader="none" w:pos="143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Article 3 endorsements for collection or deposit and Article 4 customary trade arrangements with customers consistent with past practices and loans;</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51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Indebtedness, fundamental changes, Dispositions, Restricted Payments and debt payments permitted under Section 7.02 (other than Section 7.02(b)(ii), Section 7.02(e)(i) and Section 7.02(m)(ii)), Section 7.04 (other than Section 7.04(b)(iii)), Section 7.05 (other than Section 7.05(e) and Section 7.05(j)), Section 7.06 (other than Section 7.06(e)) and Section 7.15;</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146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the Borrower and its Subsidiaries not otherwise permitted under this Section 7.03;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Investment made pursuant to this Section 7.03(n), subject to Section 1.08, (i) after giving pro forma effect to any such Investment, no Default or Event of Default shall have occurred and be continuing and (ii) after giving effect to such Investment, the Borrower and its Subsidiaries shall be in compliance, on a pro forma basis, with a Consolidated Leverage Ratio of 2.00:1.00 for the most recently ended Measurement Period;</w:t>
      </w:r>
    </w:p>
    <w:p>
      <w:pPr>
        <w:spacing w:after="0" w:line="181" w:lineRule="exact"/>
        <w:rPr>
          <w:rFonts w:ascii="Times New Roman" w:cs="Times New Roman" w:eastAsia="Times New Roman" w:hAnsi="Times New Roman"/>
          <w:sz w:val="18"/>
          <w:szCs w:val="18"/>
          <w:color w:val="auto"/>
        </w:rPr>
      </w:pPr>
    </w:p>
    <w:p>
      <w:pPr>
        <w:ind w:firstLine="656"/>
        <w:spacing w:after="0" w:line="282" w:lineRule="auto"/>
        <w:tabs>
          <w:tab w:leader="none" w:pos="138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of the Equity Interests of one or more “first-tier” Foreign Subsidiaries to a newly-created “first-tier” Foreign Subsidiary in connection with bona fide tax planning;</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41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Event of Default has occurred and is continuing or would result from such Investment, Investments by the Borrower and its Subsidiaries (in the case of Investments in any Subsidiary that is not a Loan Party, subject to such Investment being evidenced by the Intercompany Note and pledged to the Administrative Agent pursuant to the Pledge Agreement) in an aggregate amount outstanding at the time such Investment is made not to exceed the greater of (x) $20,000,000 and (y) 12.5% of Consolidated EBITDA for the Measurement Period most recently ended on or prior to the date such Investment is made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 the amount of all Restricted Payments made pursuant to Section 7.06(i)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amount of all prepayments, redemptions, purchases, defeasances or other satisfactions of Junior Financings by the Borrower and its Subsidiaries made pursuant to Section 7.15(c);</w:t>
      </w:r>
    </w:p>
    <w:p>
      <w:pPr>
        <w:spacing w:after="0" w:line="187"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the consideration for such Investments is made solely with the Equity Interests of the Borrower; and</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as a result of the receipt of noncash consideration from a Disposition of any asset in compliance with the Loan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Fundamental Changes</w:t>
      </w:r>
      <w:r>
        <w:rPr>
          <w:rFonts w:ascii="Times New Roman" w:cs="Times New Roman" w:eastAsia="Times New Roman" w:hAnsi="Times New Roman"/>
          <w:sz w:val="18"/>
          <w:szCs w:val="18"/>
          <w:color w:val="auto"/>
        </w:rPr>
        <w:t>. Merge, dissolve, liquidate, consolidate with or into another Person, or Dispose of (whether in one transaction or in a series of transactions) all or substantially all of the assets of the Borrower and its Subsidiaries taken as a whole (whether now owned or hereafter acquired) to or in favor of any Person, except that: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3" w:name="page174"/>
    <w:bookmarkEnd w:id="173"/>
    <w:p>
      <w:pPr>
        <w:jc w:val="both"/>
        <w:ind w:firstLine="656"/>
        <w:spacing w:after="0" w:line="258" w:lineRule="auto"/>
        <w:tabs>
          <w:tab w:leader="none" w:pos="1457"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Person may be merged, amalgamated or consolidated with or liquidated into the Borrower, so long as (A) the Borrower is the continuing or surviving Person and (B) at the time thereof and immediately after giving effect thereto, no Event of Default has occurred and is continuing, and (ii) any Subsidiary may merged, amalgamated or consolidated with or liquidated into any other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 any Loan Party is merging, amalgamating or consolidating with or liquidating into another Subsidiary that is not a Loan Party (except in connection with an Investment permitted under Section 7.03 (other than 7.03(m)), a Loan Party shall be the continuing or surviving Person;</w:t>
      </w:r>
    </w:p>
    <w:p>
      <w:pPr>
        <w:spacing w:after="0" w:line="183"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(other than the Borrower) may Dispose of all or substantially all of its assets (upon voluntary liquidation or otherwise) to</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3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(ii) another Loan Party or (iii) any Subsidiary that is not a Loan Party in connection with an Investment permitted under Section 7.03 (other than 7.03(m));</w:t>
      </w:r>
    </w:p>
    <w:p>
      <w:pPr>
        <w:spacing w:after="0" w:line="181" w:lineRule="exact"/>
        <w:rPr>
          <w:rFonts w:ascii="Times New Roman" w:cs="Times New Roman" w:eastAsia="Times New Roman" w:hAnsi="Times New Roman"/>
          <w:sz w:val="18"/>
          <w:szCs w:val="18"/>
          <w:color w:val="auto"/>
        </w:rPr>
      </w:pPr>
    </w:p>
    <w:p>
      <w:pPr>
        <w:ind w:firstLine="656"/>
        <w:spacing w:after="0" w:line="282" w:lineRule="auto"/>
        <w:tabs>
          <w:tab w:leader="none" w:pos="135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is not a Loan Party may Dispose of all or substantially all its assets (including any Disposition that is in the nature of a liquidation) to (i) another Subsidiary that is not a Loan Party or (ii) a Loan Party;</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Subsidiary of the Borrower, pursuant to a transaction otherwise permitted by Section 7.05 (other than Section 7.05(e));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5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of the Borrower may be merged, amalgamated or consolidated with or liquidated into any other Person other than the Borrower in order to effect an Investment permitted by Section 7.03;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merger, amalgamation, consolidated or liquidation involves a Loan Party, either (x) the continuing or surviving entity shall be a Loan Party or (y) such Investment shall be made in reliance on Section 7.03(c)(iii) or 7.03(k)(iii); and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50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may liquidate or dissolve if the Borrower determines in good faith that such liquidation or dissolution is in the best interests of the Borrower and is not materially disadvantageous to the Lenders.</w:t>
      </w:r>
    </w:p>
    <w:p>
      <w:pPr>
        <w:spacing w:after="0" w:line="16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7.05.</w:t>
      </w:r>
      <w:r>
        <w:rPr>
          <w:sz w:val="20"/>
          <w:szCs w:val="20"/>
          <w:color w:val="auto"/>
        </w:rPr>
        <w:tab/>
      </w:r>
      <w:r>
        <w:rPr>
          <w:rFonts w:ascii="Times New Roman" w:cs="Times New Roman" w:eastAsia="Times New Roman" w:hAnsi="Times New Roman"/>
          <w:sz w:val="18"/>
          <w:szCs w:val="18"/>
          <w:i w:val="1"/>
          <w:iCs w:val="1"/>
          <w:color w:val="auto"/>
        </w:rPr>
        <w:t>Dispositions</w:t>
      </w:r>
      <w:r>
        <w:rPr>
          <w:rFonts w:ascii="Times New Roman" w:cs="Times New Roman" w:eastAsia="Times New Roman" w:hAnsi="Times New Roman"/>
          <w:sz w:val="18"/>
          <w:szCs w:val="18"/>
          <w:color w:val="auto"/>
        </w:rPr>
        <w:t>. Make any Disposition, except:</w:t>
      </w:r>
    </w:p>
    <w:p>
      <w:pPr>
        <w:spacing w:after="0" w:line="227" w:lineRule="exact"/>
        <w:rPr>
          <w:sz w:val="20"/>
          <w:szCs w:val="20"/>
          <w:color w:val="auto"/>
        </w:rPr>
      </w:pPr>
    </w:p>
    <w:p>
      <w:pPr>
        <w:ind w:firstLine="656"/>
        <w:spacing w:after="0" w:line="282" w:lineRule="auto"/>
        <w:tabs>
          <w:tab w:leader="none" w:pos="149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worn-out, used or surplus assets to the extent such assets are no longer used or useful or necessary for the operation of the Borrower’s and the Subsidiaries’ business, in each case in the ordinary course of business;</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in the ordinary course of business;</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and Cash Equivalents in the ordinary course of business;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52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4" w:name="page175"/>
    <w:bookmarkEnd w:id="174"/>
    <w:p>
      <w:pPr>
        <w:ind w:firstLine="656"/>
        <w:spacing w:after="0" w:line="282" w:lineRule="auto"/>
        <w:tabs>
          <w:tab w:leader="none" w:pos="156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that otherwise constitute Liens permitted by Section 7.01, Investments permitted by Section 7.03 (other than Section 7.03(m)), fundamental changes permitted by Section 7.04 (other than Section 7.04(d)) or Restricted Payments permitted by Section 7.06;</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7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discount without recourse of receivables arising in the ordinary course of business in connection with the compromise or collection thereof, and not as part of a receivables purchase, securitization or financing facility;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expiration, abandonment, lapse, non-renewal or other Disposition of IP Rights (including any registrations or applications of or for IP Rights) determined by the management of the Borrower in good faith to be no longer used, useful or necessary in the operation of the business of the Borrower or any of its Subsidiaries and (ii) the expiration of IP Rights at the end of their natural statutory terms;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56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assignment, sublease, license or sublicense of any real or personal property (except IP Rights) in the ordinary course of business, in each case that do not materially interfere with the business of the Borrower and its Subsidiaries, taken as a whole;</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property subject to Recovery Events upon receipt of the Net Cash Proceeds of such Recovery Event;</w:t>
      </w:r>
    </w:p>
    <w:p>
      <w:pPr>
        <w:spacing w:after="0" w:line="223" w:lineRule="exact"/>
        <w:rPr>
          <w:rFonts w:ascii="Times New Roman" w:cs="Times New Roman" w:eastAsia="Times New Roman" w:hAnsi="Times New Roman"/>
          <w:sz w:val="18"/>
          <w:szCs w:val="18"/>
          <w:color w:val="auto"/>
        </w:rPr>
      </w:pPr>
    </w:p>
    <w:p>
      <w:pPr>
        <w:jc w:val="both"/>
        <w:ind w:firstLine="656"/>
        <w:spacing w:after="0" w:line="267" w:lineRule="auto"/>
        <w:tabs>
          <w:tab w:leader="none" w:pos="131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to the Borrower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Disposition involving a Subsidiary that is not a Loan Party, (i) to the extent such Disposition constitutes an Investment (including because such Disposition is made by a Loan Party to a non-Loan Party at less than fair market value), shall be made in compliance with Section 7.03 and (ii) otherwise, shall be made in compliance with Section 7.08; and</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153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by the Borrower and its Subsidiaries not otherwise permitted under this Section 7.05;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at the time the definitive documentation for such Disposition is entered into, no Default or Event of Default shall have occurred and be continuing or result therefrom, (ii) the Borrower or such Subsidiary shall receive not less than 75% of the consideration for such Disposition in the form of Cash Consideration; and (iii) the Borrower shall apply the proceeds of such Disposition in accordance with Section 2.05(b)(i) to the extent required thereby.</w:t>
      </w:r>
    </w:p>
    <w:p>
      <w:pPr>
        <w:spacing w:after="0" w:line="18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7.06.</w:t>
      </w:r>
      <w:r>
        <w:rPr>
          <w:sz w:val="20"/>
          <w:szCs w:val="20"/>
          <w:color w:val="auto"/>
        </w:rPr>
        <w:tab/>
      </w: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 Make any Restricted Payment, except that:</w:t>
      </w:r>
    </w:p>
    <w:p>
      <w:pPr>
        <w:spacing w:after="0" w:line="227" w:lineRule="exact"/>
        <w:rPr>
          <w:sz w:val="20"/>
          <w:szCs w:val="20"/>
          <w:color w:val="auto"/>
        </w:rPr>
      </w:pPr>
    </w:p>
    <w:p>
      <w:pPr>
        <w:jc w:val="both"/>
        <w:ind w:firstLine="656"/>
        <w:spacing w:after="0" w:line="266" w:lineRule="auto"/>
        <w:tabs>
          <w:tab w:leader="none" w:pos="149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may make Restricted Payments to the Borrower or any other Subsidiary and to any other Person that owns a direct Equity Interest in such Subsidiary, ratably according to their respective holdings of the type of Equity Interest in respect of which such Restricted Payment is being made;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5" w:name="page176"/>
    <w:bookmarkEnd w:id="175"/>
    <w:p>
      <w:pPr>
        <w:ind w:firstLine="656"/>
        <w:spacing w:after="0" w:line="282" w:lineRule="auto"/>
        <w:tabs>
          <w:tab w:leader="none" w:pos="141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Subsidiary may declare and make dividend payments or other distributions payable solely in the common stock or other common Equity Interests of such Person;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2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Subsidiary may purchase, redeem or otherwise acquire its common Equity Interests with the proceeds received from the substantially concurrent issue of new common Equity Interests or with the proceeds of any substantially concurrent equity contribution;</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647"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may make Restricted Payments to minority shareholders of any Subsidiary that is acquired pursuant to a Permitted Acquisition or similar Investment permitted by Section 7.03 (other than 7.03(m)) pursuant to appraisal or dissenters’ rights with respect to shares of such Subsidiary held by such shareholders;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6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may make non-cash repurchases of Equity Interests deemed to occur upon exercise of options or warrants if such Equity Interests represent all or a portion of the exercise price of such options or warrants;</w:t>
      </w:r>
    </w:p>
    <w:p>
      <w:pPr>
        <w:spacing w:after="0" w:line="15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4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its Subsidiaries may make Restricted Payments not otherwise permitted under this Section 7.06;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Restricted Payment made pursuant to this Section 7.06(g), (i) after giving pro forma effect to any such Restricted Payment, no Default or Event of Default shall have occurred and be continuing and (ii) after giving effect to such Restricted Payment, the Borrower and its Subsidiaries shall be in compliance, on a pro forma basis, with a Consolidated Leverage Ratio of 2.25:1.00 as of the last day of the Measurement Period most recently ended on or prior to the date such Restricted Payment is made;</w:t>
      </w:r>
    </w:p>
    <w:p>
      <w:pPr>
        <w:spacing w:after="0" w:line="18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jc w:val="both"/>
        <w:ind w:firstLine="656"/>
        <w:spacing w:after="0" w:line="262" w:lineRule="auto"/>
        <w:tabs>
          <w:tab w:leader="none" w:pos="1383"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each Subsidiary may make additional Restricted Payments;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all such Restricted Payments made pursuant to this Section 7.06(i) outstanding at the time of such Restricted Payment shall not exceed (i) the greater of (x) $40,000,000 and</w:t>
      </w:r>
    </w:p>
    <w:p>
      <w:pPr>
        <w:jc w:val="both"/>
        <w:ind w:firstLine="8"/>
        <w:spacing w:after="0" w:line="255" w:lineRule="auto"/>
        <w:tabs>
          <w:tab w:leader="none" w:pos="2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25.0% of Consolidated EBITDA for the Measurement Period most recently ended on or prior to the date such Restricted Payment is made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amount of all Investments made pursuant to Section 7.03(p)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(iii) the amount of all prepayments, redemptions, purchases, defeasances or other satisfactions of Junior Financings by the Borrower and its Subsidiaries made pursuant to Section 7.15(c);</w:t>
      </w:r>
    </w:p>
    <w:p>
      <w:pPr>
        <w:spacing w:after="0" w:line="185" w:lineRule="exact"/>
        <w:rPr>
          <w:rFonts w:ascii="Times New Roman" w:cs="Times New Roman" w:eastAsia="Times New Roman" w:hAnsi="Times New Roman"/>
          <w:sz w:val="18"/>
          <w:szCs w:val="18"/>
          <w:color w:val="auto"/>
        </w:rPr>
      </w:pPr>
    </w:p>
    <w:p>
      <w:pPr>
        <w:ind w:right="20" w:firstLine="656"/>
        <w:spacing w:after="0" w:line="282" w:lineRule="auto"/>
        <w:tabs>
          <w:tab w:leader="none" w:pos="136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cash payments in lieu of the issuance of fractional shares representing insignificant interests in the Borrower in connection with the exercise of warrants, options or other securities convertible into or exchangeable for Equity Interests in the Borrower;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6" w:name="page177"/>
    <w:bookmarkEnd w:id="176"/>
    <w:p>
      <w:pPr>
        <w:jc w:val="both"/>
        <w:ind w:firstLine="656"/>
        <w:spacing w:after="0" w:line="253" w:lineRule="auto"/>
        <w:tabs>
          <w:tab w:leader="none" w:pos="148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Default or Event of Default has occurred, is continuing or would result therefrom, the Borrower may redeem, acquire, retire or repurchase (including through the issuance of promissory notes by the Borrower or any other Loan Party) its Equity Interests (or any options or warrants or stock appreciation or similar rights issued with respect to any of such Equity Interests) held by current or former officers, managers, consultants, directors and employees (or their respective spouses, former spouses, successors, executors, administrators, heirs, legatees or distributees) of the Borrower and its Subsidiaries upon the death, disability, retirement or termination of employment of any such Person or otherwise in accordance with any stock option or stock appreciation or similar rights plan, any management, director and/or employee stock ownership or incentive plan, stock subscription plan, employment termination agreement or any other employment agreements or equity holders’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all cash and Cash Equivalents paid in respect of all such Equity Interests (or any options or warrants or stock appreciation or similar rights issued with respect to any of such Equity Interests) so redeemed, acquired, retired or repurchased in any calendar year does not exceed the sum of (i) the greater of (A) $4,000,000 and (B) 2.5% of Consolidated EBITDA for the Measurement Period most recently ended on or prior to the date such Restricted Payment is made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all Net Cash Proceeds obtained by the Borrower during such calendar year from the sale of such Equity Interests to other present or former managers, officers, consultants, employees and directors in connection with any permitted compensation and incentive arrangements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all Net Cash Proceeds obtained from any key-man life insurance policies received during such calendar year; and</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in an amount equal to withholding or similar Taxes payable or expected to be payable by any present or former employee, director, manager or consultant (or their respective Affiliates, estates or immediate family members) in connection with the exercise of stock options and the vesting of restricted stock and may redeem, acquire, retire or repurchase (including through deemed repurchases) its Equity Interests from such Persons; provided that all payments made under this clause (l) shall not exceed $20,000,000 in any fiscal year.</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Change in Nature of Business</w:t>
      </w:r>
      <w:r>
        <w:rPr>
          <w:rFonts w:ascii="Times New Roman" w:cs="Times New Roman" w:eastAsia="Times New Roman" w:hAnsi="Times New Roman"/>
          <w:sz w:val="18"/>
          <w:szCs w:val="18"/>
          <w:color w:val="auto"/>
        </w:rPr>
        <w:t>. Fundamentally and substantively alter the character of the business conducted by the Borrower and its Subsidiaries, taken as a whole, from the business conducted by the Borrower and the Subsidiaries, taken as a whole, on the Closing Date and other business activities reasonably related or incidental thereto.</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 xml:space="preserve">. Enter into any transaction of any kind with any Affiliate of the Borrower, whether or not in the ordinary course of business, other than on fair and reasonable terms substantially as favorable to the Borrower or such Subsidiary as would be obtainable by the Borrower or such Subsidiary at the time in a comparable arm’s length transaction with a Person other than an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restriction shall not apply to:</w:t>
      </w:r>
    </w:p>
    <w:p>
      <w:pPr>
        <w:spacing w:after="0" w:line="182" w:lineRule="exact"/>
        <w:rPr>
          <w:sz w:val="20"/>
          <w:szCs w:val="20"/>
          <w:color w:val="auto"/>
        </w:rPr>
      </w:pPr>
    </w:p>
    <w:p>
      <w:pPr>
        <w:ind w:left="1360" w:hanging="704"/>
        <w:spacing w:after="0"/>
        <w:tabs>
          <w:tab w:leader="none" w:pos="13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or among the Borrower and any Subsidiary (or any Person that will become a Subsidiary);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7" w:name="page178"/>
    <w:bookmarkEnd w:id="177"/>
    <w:p>
      <w:pPr>
        <w:jc w:val="both"/>
        <w:ind w:firstLine="656"/>
        <w:spacing w:after="0" w:line="256" w:lineRule="auto"/>
        <w:tabs>
          <w:tab w:leader="none" w:pos="140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existence of, or the performance by the Borrower or any of its Subsidiaries of its obligations under the terms of, any agreements set forth on Schedule 7.08 and any amendment thereto or replacement agreement which it may enter into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existence of, or the performance by the Borrower or any of its Subsidiaries of its obligations under, any future amendment to any such existing agreement or under any replacement agreement entered into after the Closing Date shall only be permitted by this clause (b) to the extent that the terms of any such existing agreement together with all amendments thereto, taken as a whole, or replacement agreement are not otherwise more disadvantageous to the Lenders in any material respect than the original agreement as in effect on the Closing Date;</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51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agreements and severance and other compensation arrangements and health, disability and similar insurance or benefit plans between the Borrower and its Subsidiaries and their respective directors, officers, employees (including management and employee benefit plans or agreements, subscription agreements or similar agreements pertaining to the repurchase of Equity Interests pursuant to put/call rights or similar rights with present or former employees, officers or directors and stock option or incentive plans and other compensation arrangements) in the ordinary course of business or as otherwise approved by the Board of Directors of the Borrower;</w:t>
      </w:r>
    </w:p>
    <w:p>
      <w:pPr>
        <w:spacing w:after="0" w:line="183"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permitted by, and complying with the provisions of, Section 7.06;</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54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clients, suppliers, or purchasers or sellers of goods or services, in each case in the ordinary course of business and otherwise in compliance with the terms of this Agreement that are fair to the Borrower and its Subsidiaries;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9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and reasonable out-of-pocket costs to, and indemnities to, directors, managers, officers, employees and consultants of the Borrower and its Subsidiaries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58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sublicenses and cross-license involving any IP Rights of the Borrower or any Subsidiary between the Borrower and its Subsidiaries in the ordinary course of business, and otherwise in compliance with the terms of this Agreement and on terms that are fair to the Borrower and its Subsidiaries;</w:t>
      </w:r>
    </w:p>
    <w:p>
      <w:pPr>
        <w:spacing w:after="0" w:line="17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by the Borrower and any Subsidiary of Equity Interests, and receipt by the Borrower and any Subsidiary of capital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w:t>
      </w:r>
    </w:p>
    <w:p>
      <w:pPr>
        <w:spacing w:after="0" w:line="20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advances and other Investments permitted under Section 7.03; 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8" w:name="page179"/>
    <w:bookmarkEnd w:id="178"/>
    <w:p>
      <w:pPr>
        <w:jc w:val="both"/>
        <w:ind w:firstLine="656"/>
        <w:spacing w:after="0" w:line="258" w:lineRule="auto"/>
        <w:tabs>
          <w:tab w:leader="none" w:pos="146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by any Subsidiary to the Borrower (either directly or indirectly through such Subsidiary’s parent entity or entities) made to permit Borrower to pay any Taxes imposed on it as the common parent of a group filing a consolidated, combined, unitary or affiliated Tax return of Borrower and the Subsidiaries are members in such amounts as required by the Borrower to pay the Tax liability in respect of such Tax return to the extent such liability is directly attributable to the income of the Subsidiaries or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payments by the Subsidiaries to the Borrower shall not exceed the amount owed to any Governmental Authority pursuant to such consolidated, combined, unitary, or affiliated Tax return.</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Burdensome Agreements</w:t>
      </w:r>
      <w:r>
        <w:rPr>
          <w:rFonts w:ascii="Times New Roman" w:cs="Times New Roman" w:eastAsia="Times New Roman" w:hAnsi="Times New Roman"/>
          <w:sz w:val="18"/>
          <w:szCs w:val="18"/>
          <w:color w:val="auto"/>
        </w:rPr>
        <w:t>. Enter into or permit to exist any Contractual Obligation (other than this Agreement or any other Loan Document) that limits the ability (i) of any Subsidiary that is not a Loan Party to pay dividends or make other distributions with respect to its Equity Interests or to make or repay loans or advances, in each case to the Borrower or any Loan Party or (ii) of the Borrower or any other Loan Party to create, incur, assume or suffer to exist Liens on Equity Interests in Material Subsidiaries owned by such Person to secure the Loan Document Obligations, except, in each case:</w:t>
      </w:r>
    </w:p>
    <w:p>
      <w:pPr>
        <w:spacing w:after="0" w:line="185" w:lineRule="exact"/>
        <w:rPr>
          <w:sz w:val="20"/>
          <w:szCs w:val="20"/>
          <w:color w:val="auto"/>
        </w:rPr>
      </w:pPr>
    </w:p>
    <w:p>
      <w:pPr>
        <w:ind w:firstLine="656"/>
        <w:spacing w:after="0" w:line="282" w:lineRule="auto"/>
        <w:tabs>
          <w:tab w:leader="none" w:pos="140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in effect on the Closing Date and set forth on Schedule 7.09, as such agreement may be amended from time to time in a manner not materially adverse to the Lenders;</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applicable Law;</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63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and conditions contained in any agreement relating to the sale of any asset permitted under Section 7.05 applicable to the asset to be sold pending the consummation of such sale;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7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contained in leases, subleases, licenses, sublicenses, cross licenses, contracts and other similar agreements entered into in the ordinary course of business that impose restrictions on the property subject to such agreements;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8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obligations for property acquired in the ordinary course of business and Capitalized Leases Obligations that impose restrictions on transferring the property so acquired;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2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restrictions and conditions contained in agreements relating to the sale of a Subsidiary, or a business unit, division, product line or line of business, that are applicable solely pending such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restrictions and conditions apply only to the Subsidiary, or the business unit, division, product line or line of business, that is to be sold and such sale is permitted hereunder;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9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and conditions imposed by agreements relating to Indebtedness of Subsidiaries that are not Loan Parties permitted under Section 7.02,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restrictions and conditions apply only to such Subsidiaries;</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other deposits or net worth imposed by customers under contracts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9" w:name="page180"/>
    <w:bookmarkEnd w:id="179"/>
    <w:p>
      <w:pPr>
        <w:jc w:val="both"/>
        <w:ind w:firstLine="656"/>
        <w:spacing w:after="0" w:line="261" w:lineRule="auto"/>
        <w:tabs>
          <w:tab w:leader="none" w:pos="136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and conditions imposed on any Subsidiary in existence at the time such Subsidiary became a Subsidiary (but shall not apply to any amendment or modification expanding the scope of any such restriction or condition which makes such restrictions and conditions, taken as a whole, materially more restrictive);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restrictions and conditions apply only to such Subsidiary and are not entered into in contemplation thereof; and</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42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other instrument of a Person acquired by or merged or consolidated with or into the Borrower or any Subsidiary, or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73"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80" w:hanging="824"/>
        <w:spacing w:after="0"/>
        <w:tabs>
          <w:tab w:leader="none" w:pos="14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Consolidated Interest Coverage Ratio</w:t>
      </w:r>
      <w:r>
        <w:rPr>
          <w:rFonts w:ascii="Times New Roman" w:cs="Times New Roman" w:eastAsia="Times New Roman" w:hAnsi="Times New Roman"/>
          <w:sz w:val="18"/>
          <w:szCs w:val="18"/>
          <w:color w:val="auto"/>
        </w:rPr>
        <w:t>.  Permit the Consolidated Interest Coverage Ratio for any Measurement Period to be less than</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3.00:1.00.</w:t>
      </w:r>
    </w:p>
    <w:p>
      <w:pPr>
        <w:spacing w:after="0" w:line="204" w:lineRule="exact"/>
        <w:rPr>
          <w:rFonts w:ascii="Times New Roman" w:cs="Times New Roman" w:eastAsia="Times New Roman" w:hAnsi="Times New Roman"/>
          <w:sz w:val="18"/>
          <w:szCs w:val="18"/>
          <w:color w:val="auto"/>
        </w:rPr>
      </w:pPr>
    </w:p>
    <w:p>
      <w:pPr>
        <w:ind w:firstLine="656"/>
        <w:spacing w:after="0" w:line="284" w:lineRule="auto"/>
        <w:tabs>
          <w:tab w:leader="none" w:pos="152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Consolidated Leverage Ratio</w:t>
      </w:r>
      <w:r>
        <w:rPr>
          <w:rFonts w:ascii="Times New Roman" w:cs="Times New Roman" w:eastAsia="Times New Roman" w:hAnsi="Times New Roman"/>
          <w:sz w:val="18"/>
          <w:szCs w:val="18"/>
          <w:color w:val="auto"/>
        </w:rPr>
        <w:t>. Permit the Consolidated Leverage Ratio at any time during any period of four fiscal quarters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to be greater than 2.25:1.00.</w:t>
      </w:r>
    </w:p>
    <w:p>
      <w:pPr>
        <w:spacing w:after="0" w:line="158"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7.12.</w:t>
      </w:r>
      <w:r>
        <w:rPr>
          <w:sz w:val="20"/>
          <w:szCs w:val="20"/>
          <w:color w:val="auto"/>
        </w:rPr>
        <w:tab/>
      </w:r>
      <w:r>
        <w:rPr>
          <w:rFonts w:ascii="Times New Roman" w:cs="Times New Roman" w:eastAsia="Times New Roman" w:hAnsi="Times New Roman"/>
          <w:sz w:val="17"/>
          <w:szCs w:val="17"/>
          <w:i w:val="1"/>
          <w:iCs w:val="1"/>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i w:val="1"/>
          <w:iCs w:val="1"/>
          <w:color w:val="auto"/>
        </w:rPr>
        <w:t>Amendments of Organization Documents and Junior Financing</w:t>
      </w:r>
      <w:r>
        <w:rPr>
          <w:rFonts w:ascii="Times New Roman" w:cs="Times New Roman" w:eastAsia="Times New Roman" w:hAnsi="Times New Roman"/>
          <w:sz w:val="18"/>
          <w:szCs w:val="18"/>
          <w:color w:val="auto"/>
        </w:rPr>
        <w:t>. (a) Amend any of its Organization Documents, in any manner that is materially adverse to the Lenders or (b) amend the terms of any Junior Financing, except to the extent such amendment, modification or change could not reasonably be expected to be adverse in any material respect to the Lenders or such amendment, modification or change could have been implemented as Permitted Refinancing Indebtedness.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i w:val="1"/>
          <w:iCs w:val="1"/>
          <w:color w:val="auto"/>
        </w:rPr>
        <w:t>Accounting Changes</w:t>
      </w:r>
      <w:r>
        <w:rPr>
          <w:rFonts w:ascii="Times New Roman" w:cs="Times New Roman" w:eastAsia="Times New Roman" w:hAnsi="Times New Roman"/>
          <w:sz w:val="18"/>
          <w:szCs w:val="18"/>
          <w:color w:val="auto"/>
        </w:rPr>
        <w:t>. Make any change in (a) accounting policies or reporting practices, except as required by GAAP, which would be materially adverse to the Lenders or (b) its fiscal year.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i w:val="1"/>
          <w:iCs w:val="1"/>
          <w:color w:val="auto"/>
        </w:rPr>
        <w:t>Prepayments, Etc. of Junior Financing</w:t>
      </w:r>
      <w:r>
        <w:rPr>
          <w:rFonts w:ascii="Times New Roman" w:cs="Times New Roman" w:eastAsia="Times New Roman" w:hAnsi="Times New Roman"/>
          <w:sz w:val="18"/>
          <w:szCs w:val="18"/>
          <w:color w:val="auto"/>
        </w:rPr>
        <w:t>. Prepay, redeem, purchase, defease or otherwise satisfy prior to the scheduled maturity thereof in any manner, or make any payment in violation of any subordination terms of, any Junior Financing, except: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0" w:name="page181"/>
    <w:bookmarkEnd w:id="180"/>
    <w:p>
      <w:pPr>
        <w:ind w:left="1360" w:hanging="704"/>
        <w:spacing w:after="0"/>
        <w:tabs>
          <w:tab w:leader="none" w:pos="13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any such Indebtedness to Equity Interests;</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Refinancings of any such Indebtedness with Permitted Refinancing Indebtedness to the extent permitted by Section 7.02;</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3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redemptions, purchases, defeasances or other satisfactions of Junior Financings by the Borrower and its Subsidiaries for consideration in an aggregate amount not to exceed the greater of (x) $20,000,000 and (y) (ii) 12.5% of Consolidated EBITDA for the Measurement Period most recently ended on or prior to the date of such prepayment, redemption, purchase, defeasance or other satisfaction of Junior Financing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 the amount of all Restricted Payments made pursuant to Section 7.06(i)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amount of all Investments made pursuant to Section 7.03(p);</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redemptions, purchases, defeasances or other satisfactions of Junior Financings by the Borrower and its Subsidiaries not otherwise permitted under this Section 7.15;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prepayment, redemption, purchase, defeasance or other satisfaction made pursuant to this Section 7.15(d), (i) after giving pro forma effect to any such Investment, no Default or Event of Default shall have occurred and be continuing and (ii) after giving effect to such prepayment, redemption, purchase, defeasance or other satisfaction, the Borrower and its Subsidiaries shall be in compliance, on a pro forma basis, with a Consolidated Leverage Ratio of 2.00:1.00; and</w:t>
      </w:r>
    </w:p>
    <w:p>
      <w:pPr>
        <w:spacing w:after="0" w:line="183"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or prepayments of intercompany subordinated Indebtedness in accordance with the provisions of the Intercompany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vents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efault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p>
      <w:pPr>
        <w:spacing w:after="0" w:line="20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Any of the following shall constitute an Event of Default:</w:t>
      </w:r>
    </w:p>
    <w:p>
      <w:pPr>
        <w:spacing w:after="0" w:line="225" w:lineRule="exact"/>
        <w:rPr>
          <w:sz w:val="20"/>
          <w:szCs w:val="20"/>
          <w:color w:val="auto"/>
        </w:rPr>
      </w:pPr>
    </w:p>
    <w:p>
      <w:pPr>
        <w:jc w:val="both"/>
        <w:ind w:firstLine="656"/>
        <w:spacing w:after="0" w:line="267" w:lineRule="auto"/>
        <w:tabs>
          <w:tab w:leader="none" w:pos="136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 The Borrower or any other Loan Party fails to (i) pay when and as required to be paid herein, any amount of principal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Loan or any L/C Obligation or deposit any funds as Cash Collateral in respect of L/C Obligations, or (ii) pay within five Business Days after the same becomes due, any other amount payable hereunder or under any other Loan Document; or</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147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Specific Covenants</w:t>
      </w:r>
      <w:r>
        <w:rPr>
          <w:rFonts w:ascii="Times New Roman" w:cs="Times New Roman" w:eastAsia="Times New Roman" w:hAnsi="Times New Roman"/>
          <w:sz w:val="18"/>
          <w:szCs w:val="18"/>
          <w:color w:val="auto"/>
        </w:rPr>
        <w:t>. The Borrower fails to perform or observe any term, covenant or agreement contained in any of Section 6.03(a),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6.05(a) (with respect to the legal existence of the Borrower only) or Section 6.11 or Article 7; or</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145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Defaults</w:t>
      </w:r>
      <w:r>
        <w:rPr>
          <w:rFonts w:ascii="Times New Roman" w:cs="Times New Roman" w:eastAsia="Times New Roman" w:hAnsi="Times New Roman"/>
          <w:sz w:val="18"/>
          <w:szCs w:val="18"/>
          <w:color w:val="auto"/>
        </w:rPr>
        <w:t>. Any Loan Party fails to perform or observe any other covenant or agreement (not specified in Section 8.01(a) or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contained in any Loan Document on its part to be performed or observed and such failure continues unremedied for a period of 30 days after the earlier of (x) receipt of written notice thereof by the Administrative Agent to the Borrower or (y) knowledge thereof by a Responsible Officer of the Borrower.; or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1" w:name="page182"/>
    <w:bookmarkEnd w:id="181"/>
    <w:p>
      <w:pPr>
        <w:jc w:val="both"/>
        <w:ind w:firstLine="656"/>
        <w:spacing w:after="0" w:line="267" w:lineRule="auto"/>
        <w:tabs>
          <w:tab w:leader="none" w:pos="139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Any representation, warranty, certification or statement of fact made or deemed made by or on behalf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Borrower or any other Loan Party herein, in any other Loan Document, or in any document delivered in connection herewith or therewith shall be incorrect in any material respect when made or deemed made; or</w:t>
      </w:r>
    </w:p>
    <w:p>
      <w:pPr>
        <w:spacing w:after="0" w:line="173" w:lineRule="exact"/>
        <w:rPr>
          <w:rFonts w:ascii="Times New Roman" w:cs="Times New Roman" w:eastAsia="Times New Roman" w:hAnsi="Times New Roman"/>
          <w:sz w:val="18"/>
          <w:szCs w:val="18"/>
          <w:color w:val="auto"/>
        </w:rPr>
      </w:pPr>
    </w:p>
    <w:p>
      <w:pPr>
        <w:jc w:val="both"/>
        <w:ind w:firstLine="656"/>
        <w:spacing w:after="0" w:line="252" w:lineRule="auto"/>
        <w:tabs>
          <w:tab w:leader="none" w:pos="139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Cross-Default</w:t>
      </w:r>
      <w:r>
        <w:rPr>
          <w:rFonts w:ascii="Times New Roman" w:cs="Times New Roman" w:eastAsia="Times New Roman" w:hAnsi="Times New Roman"/>
          <w:sz w:val="18"/>
          <w:szCs w:val="18"/>
          <w:color w:val="auto"/>
        </w:rPr>
        <w:t>. Any Loan Party or any Subsidiary fails (i) to make any payment (whether of principal, interest, termination payment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payment obligation and regardless of amount) in respect of any Indebtedness, or (ii) fails to observe or perform any other agreement or condition relating to any Indebtedness, or contained in any instrument or agreement evidencing, securing or relating thereto and, in the case of this clause (ii), such failure shall continue beyond the period of grace, if any, provided in the agreement or instrument under which such Indebtedness was created, or any other event occurs, the effect of which default or other event is to cause, or to permit the holder or holders of such Indebtedness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(e) shall not apply to (A) Indebtedness outstanding under any Swap Contract that becomes due pursuant to the occurrence of a termination event or equivalent event under the terms of such Swap Contract, in each case, other than as a result of the occurrence of a default or event of default under, or breach of the terms of, such Swap Contract, (B) any secured Indebtedness that becomes due as a result of the voluntary Disposition of, or any casualty or other insured damage to, or any taking under power of eminent domain or by condemnation or similar proceeding of, any of the assets securing such Indebtedness, (C) any Indebtedness that becomes due as a result of a Refinancing thereof permitted under Section 7.02 or (D) any Indebtedness permitted to exist or be incurred under the terms of this Agreement that is required to be repurchased, prepaid, defeased, redeemed or satisfied (or as to which an offer to repurchase, prepay, defease, redeem or satisfy is required to be made) in connection with any asset sale event, casualty or condemnation event, change of control, excess cash flow or other customary provision in such Indebtedness giving rise to such requirement to so offer or repurchase, prepay, defease, redeem or satisfy in the absence of any default thereunder;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it shall not constitute an Event of Default pursuant to this paragraph (e) unless the aggregate amount of all such Indebtedness referred to in clauses (i) and (ii) then exceeds the Threshold Amount; or</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160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Insolvency Proceedings, Etc</w:t>
      </w:r>
      <w:r>
        <w:rPr>
          <w:rFonts w:ascii="Times New Roman" w:cs="Times New Roman" w:eastAsia="Times New Roman" w:hAnsi="Times New Roman"/>
          <w:sz w:val="18"/>
          <w:szCs w:val="18"/>
          <w:color w:val="auto"/>
        </w:rPr>
        <w:t>. Any Loan Party or any Material Subsidiary thereof institutes or consents to the institution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any Debtor Relief Law, or makes a general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82" w:name="page183"/>
    <w:bookmarkEnd w:id="182"/>
    <w:p>
      <w:pPr>
        <w:ind w:right="20" w:firstLine="656"/>
        <w:spacing w:after="0" w:line="284" w:lineRule="auto"/>
        <w:tabs>
          <w:tab w:leader="none" w:pos="139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Attachment</w:t>
      </w:r>
      <w:r>
        <w:rPr>
          <w:rFonts w:ascii="Times New Roman" w:cs="Times New Roman" w:eastAsia="Times New Roman" w:hAnsi="Times New Roman"/>
          <w:sz w:val="18"/>
          <w:szCs w:val="18"/>
          <w:color w:val="auto"/>
        </w:rPr>
        <w:t>. Any writ or warrant of attachment or execution or similar process is issued or levied against all or any material part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of any such Person and is not released, vacated or fully bonded within 60 days after its issue or levy; or</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Judgments</w:t>
      </w:r>
      <w:r>
        <w:rPr>
          <w:rFonts w:ascii="Times New Roman" w:cs="Times New Roman" w:eastAsia="Times New Roman" w:hAnsi="Times New Roman"/>
          <w:sz w:val="18"/>
          <w:szCs w:val="18"/>
          <w:color w:val="auto"/>
        </w:rPr>
        <w:t>. There is entered against any Loan Party or any Subsidiary thereof one or more final judgments or orders for the 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in an aggregate amount (as to all such judgments and orders) exceeding the Threshold Amount (to the extent not covered by independent third-party insurance as to which the insurer has been notified of the claim and does not dispute coverage), and the same shall remain undischarged for a period of 60 consecutive days during which execution shall not be effectively satisfied, vacated, discharged, stayed or bonded pending appeal; or</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1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(i) An ERISA Event occurs with respect to a Pension Plan which, alone or taken together with any other ERISA Events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has resulted or could reasonably be expected to result in liability of the Borrower to the Pension Plan or the PBGC, or (ii) the Borrower or any ERISA Affiliate fails to pay when due, after the expiration of any applicable grace period, any installment payment with respect to its withdrawal liability under Section 4201 of ERISA under a Multiemployer Plan, in each such case of (i) and (ii), which such event or circumstance would be reasonably likely to result in a Material Adverse Effect; or</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132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Invalidity of Loan Documents</w:t>
      </w:r>
      <w:r>
        <w:rPr>
          <w:rFonts w:ascii="Times New Roman" w:cs="Times New Roman" w:eastAsia="Times New Roman" w:hAnsi="Times New Roman"/>
          <w:sz w:val="18"/>
          <w:szCs w:val="18"/>
          <w:color w:val="auto"/>
        </w:rPr>
        <w:t>. Any Guarantee shall cease to be, or shall be asserted by any Loan Party not to be, in full force and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upon the consummation of any transaction permitted under this Agreement as a result of which a Subsidiary that is providing such Guarantee ceases to be a Subsidiary or upon the termination of such Loan Document in accordance with its terms;</w:t>
      </w:r>
    </w:p>
    <w:p>
      <w:pPr>
        <w:spacing w:after="0" w:line="173"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There occurs any Change of Control; or</w:t>
      </w:r>
    </w:p>
    <w:p>
      <w:pPr>
        <w:spacing w:after="0" w:line="225" w:lineRule="exact"/>
        <w:rPr>
          <w:rFonts w:ascii="Times New Roman" w:cs="Times New Roman" w:eastAsia="Times New Roman" w:hAnsi="Times New Roman"/>
          <w:sz w:val="18"/>
          <w:szCs w:val="18"/>
          <w:color w:val="auto"/>
        </w:rPr>
      </w:pPr>
    </w:p>
    <w:p>
      <w:pPr>
        <w:jc w:val="both"/>
        <w:ind w:firstLine="656"/>
        <w:spacing w:after="0" w:line="257" w:lineRule="auto"/>
        <w:tabs>
          <w:tab w:leader="none" w:pos="139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Collateral Documents</w:t>
      </w:r>
      <w:r>
        <w:rPr>
          <w:rFonts w:ascii="Times New Roman" w:cs="Times New Roman" w:eastAsia="Times New Roman" w:hAnsi="Times New Roman"/>
          <w:sz w:val="18"/>
          <w:szCs w:val="18"/>
          <w:color w:val="auto"/>
        </w:rPr>
        <w:t>. Any Lien purported to be created under any Collateral Document shall cease to be, or shall be asserted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Party not to be, a valid and perfected Lien on any Collateral having, individually or in the aggregate, a fair market value in excess of $5,000,000, with the priority required by the applicable Collateral Document, except as a result of (A) a Disposition of the applicable Collateral in a transaction permitted under the Loan Documents or other release or termination of such Lien in accordance with the Loan Documents or (B) the Administrative Agent’s failure to maintain possession of any stock certificate, stock power or other instrument delivered to it under the Collateral Agreement or to file or record any document delivered to it for filing or recording (including any continuation statement).</w:t>
      </w:r>
    </w:p>
    <w:p>
      <w:pPr>
        <w:spacing w:after="0" w:line="18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Remedies upon Event of Default</w:t>
      </w:r>
      <w:r>
        <w:rPr>
          <w:rFonts w:ascii="Times New Roman" w:cs="Times New Roman" w:eastAsia="Times New Roman" w:hAnsi="Times New Roman"/>
          <w:sz w:val="18"/>
          <w:szCs w:val="18"/>
          <w:color w:val="auto"/>
        </w:rPr>
        <w:t>. If any Event of Default occurs and is continuing, the Administrative Agent shall, at the request of, or may, with the consent of, the Required Lenders, take any or all of the following actions:</w:t>
      </w:r>
    </w:p>
    <w:p>
      <w:pPr>
        <w:spacing w:after="0" w:line="160" w:lineRule="exact"/>
        <w:rPr>
          <w:sz w:val="20"/>
          <w:szCs w:val="20"/>
          <w:color w:val="auto"/>
        </w:rPr>
      </w:pPr>
    </w:p>
    <w:p>
      <w:pPr>
        <w:ind w:right="20" w:firstLine="656"/>
        <w:spacing w:after="0" w:line="282" w:lineRule="auto"/>
        <w:tabs>
          <w:tab w:leader="none" w:pos="153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to make Loans and any obligation of the L/C Issuer to make L/C Credit Extensions to be terminated, whereupon such commitments and obligation shall be terminated;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83" w:name="page184"/>
    <w:bookmarkEnd w:id="183"/>
    <w:p>
      <w:pPr>
        <w:jc w:val="both"/>
        <w:ind w:right="20" w:firstLine="656"/>
        <w:spacing w:after="0" w:line="266" w:lineRule="auto"/>
        <w:tabs>
          <w:tab w:leader="none" w:pos="145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7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Borrower Cash Collateralize the L/C Obligations (in an amount equal to the Minimum Collateral Amount with respect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 and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41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the Lenders and the L/C Issuer all rights and remedies available to it, the Lenders and the L/C Issuer under the Loan Documents;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upon the occurrence of an actual or deemed entry of an order for relief with respect to the Borrower under the Bankruptcy Code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Application of Funds</w:t>
      </w:r>
      <w:r>
        <w:rPr>
          <w:rFonts w:ascii="Times New Roman" w:cs="Times New Roman" w:eastAsia="Times New Roman" w:hAnsi="Times New Roman"/>
          <w:sz w:val="18"/>
          <w:szCs w:val="18"/>
          <w:color w:val="auto"/>
        </w:rPr>
        <w:t>. After the exercise of remedies provided for in Section 8.02 (or after the Loans have automatically become immediately due and payable and the L/C Obligations have automatically been required to be Cash Collateralized as set forth in the proviso to Section 8.02), any amounts received on account of the Obligations shall, subject to the provisions of Sections 2.15 and 2.16, be applied by the Administrative Agent in the following order:</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payment of that portion of the Loan Document Obligations constituting fees, indemnities, expenses and other amounts (including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and disbursements of counsel to the Administrative Agent and amounts payable under Article 3) payable to the Administrative Agent in its capacity as such;</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payment of that portion of the Loan Document Obligations constituting fees, indemnities and other amounts (other than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and Letter of Credit Fees) payable to the Lenders and the L/C Issuer (including fees, charges and disbursements of counsel to the respective Lenders and the L/C Issuer) arising under the Loan Documents and amounts payable under Article 3, ratably among them in proportion to the respective amounts described in this clause Second payable to them;</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payment of that portion of the Loan Document Obligations constituting accrued and unpaid Letter of Credit Fees and interest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L/C Borrowings and other Obligations arising under the Loan Documents, ratably among the Lenders and the L/C Issuer in proportion to the respective amounts described in this clause Third held by them;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4" w:name="page185"/>
    <w:bookmarkEnd w:id="184"/>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(x) payment of that portion of the Obligations constituting (i) unpaid principal of the Loans, (ii) L/C Borrowings and (iii)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Management/Hedge Obligations then owing under Secured Hedge Agreements and Secured Cash Management Agreements and (y) the Administrative Agent for the account of the L/C Issuer, to Cash Collateralize that portion of L/C Obligations comprised of the aggregate undrawn amount of Letters of Credit to the extent not otherwise Cash Collateralized by the Borrower pursuant to Sections 2.03 and 2.15, ratably among such parties in proportion to the respective amounts described in this clause Fourth held by them; and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the balance, if any, after all of the Obligations have been indefeasibly paid in full, to the Borrower or as otherwise required by Law.</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Sections 2.03(c) and 2.14(d), amounts used to Cash Collateralize the aggregate undrawn amount of Letters of Credit pursuant to clause Fourth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Cash Management/Hedge Obligations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Article 9 hereof for itself and its Affiliates as if a “Lender” party hereto.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dministrative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gent</w:t>
      </w:r>
    </w:p>
    <w:p>
      <w:pPr>
        <w:spacing w:after="0" w:line="20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7"/>
          <w:szCs w:val="17"/>
          <w:i w:val="1"/>
          <w:iCs w:val="1"/>
          <w:color w:val="auto"/>
        </w:rPr>
        <w:t>Appointment and Authority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4" w:lineRule="auto"/>
        <w:tabs>
          <w:tab w:leader="none" w:pos="14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85" w:name="page186"/>
    <w:bookmarkEnd w:id="185"/>
    <w:p>
      <w:pPr>
        <w:jc w:val="both"/>
        <w:ind w:firstLine="656"/>
        <w:spacing w:after="0" w:line="254" w:lineRule="auto"/>
        <w:tabs>
          <w:tab w:leader="none" w:pos="140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also act as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under the Loan Documents, and each of the Lenders (including in its capacities as a potential Hedge Bank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Section 9.05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9 and Article 11 (including Section 11.04(c), as though such co-agents, sub-agents and attorneys-in-fact were the “collateral agent” under the Loan Documents) as if set forth in full herein with respect thereto.</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Exculpatory Provisions</w:t>
      </w:r>
      <w:r>
        <w:rPr>
          <w:rFonts w:ascii="Times New Roman" w:cs="Times New Roman" w:eastAsia="Times New Roman" w:hAnsi="Times New Roman"/>
          <w:sz w:val="18"/>
          <w:szCs w:val="18"/>
          <w:color w:val="auto"/>
        </w:rPr>
        <w:t>.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75" w:lineRule="exact"/>
        <w:rPr>
          <w:sz w:val="20"/>
          <w:szCs w:val="20"/>
          <w:color w:val="auto"/>
        </w:rPr>
      </w:pPr>
    </w:p>
    <w:p>
      <w:pPr>
        <w:ind w:left="1360" w:hanging="704"/>
        <w:spacing w:after="0"/>
        <w:tabs>
          <w:tab w:leader="none" w:pos="13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48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6" w:name="page187"/>
    <w:bookmarkEnd w:id="186"/>
    <w:p>
      <w:pPr>
        <w:jc w:val="both"/>
        <w:ind w:firstLine="656"/>
        <w:spacing w:after="0" w:line="266" w:lineRule="auto"/>
        <w:tabs>
          <w:tab w:leader="none" w:pos="137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45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11.01 and 8.02)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to the Administrative Agent by the Borrower, a Lender or the L/C Issuer; and</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50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Article 4 or elsewhere herein, other than to confirm receipt of items expressly required to be delivered to the Administrative Agent.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7" w:name="page188"/>
    <w:bookmarkEnd w:id="18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9.06.</w:t>
      </w:r>
      <w:r>
        <w:rPr>
          <w:sz w:val="20"/>
          <w:szCs w:val="20"/>
          <w:color w:val="auto"/>
        </w:rPr>
        <w:tab/>
      </w:r>
      <w:r>
        <w:rPr>
          <w:rFonts w:ascii="Times New Roman" w:cs="Times New Roman" w:eastAsia="Times New Roman" w:hAnsi="Times New Roman"/>
          <w:sz w:val="17"/>
          <w:szCs w:val="17"/>
          <w:i w:val="1"/>
          <w:iCs w:val="1"/>
          <w:color w:val="auto"/>
        </w:rPr>
        <w:t>Resignation of Administrative Agent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4" w:lineRule="auto"/>
        <w:tabs>
          <w:tab w:leader="none" w:pos="139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b w:val="1"/>
          <w:bCs w:val="1"/>
          <w:color w:val="auto"/>
        </w:rPr>
        <w:t>Resignation Closing Date</w:t>
      </w:r>
      <w:r>
        <w:rPr>
          <w:rFonts w:ascii="Times New Roman" w:cs="Times New Roman" w:eastAsia="Times New Roman" w:hAnsi="Times New Roman"/>
          <w:sz w:val="18"/>
          <w:szCs w:val="18"/>
          <w:color w:val="auto"/>
        </w:rPr>
        <w:t>”), then the retiring Administrative Agent may (but shall not be obligated to) on behalf of the Lenders and the L/C Issuer, appoint a successor Administrative Agent meeting the qualifications set forth above, provided that in no event shall such successor Administrative Agent be a Defaulting Lender. Whether or not a successor has been appointed, such resignation shall become effective in accordance with such notice on the Resignation Closing Date.</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54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b w:val="1"/>
          <w:bCs w:val="1"/>
          <w:color w:val="auto"/>
        </w:rPr>
        <w:t>Removal Closing Date</w:t>
      </w:r>
      <w:r>
        <w:rPr>
          <w:rFonts w:ascii="Times New Roman" w:cs="Times New Roman" w:eastAsia="Times New Roman" w:hAnsi="Times New Roman"/>
          <w:sz w:val="18"/>
          <w:szCs w:val="18"/>
          <w:color w:val="auto"/>
        </w:rPr>
        <w:t>”), then such removal shall nonetheless become effective in accordance with such notice on the Removal Closing Date.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88" w:name="page189"/>
    <w:bookmarkEnd w:id="188"/>
    <w:p>
      <w:pPr>
        <w:jc w:val="both"/>
        <w:ind w:firstLine="656"/>
        <w:spacing w:after="0" w:line="252" w:lineRule="auto"/>
        <w:tabs>
          <w:tab w:leader="none" w:pos="141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Closing Date or the Removal Closing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Section 3.01(g) and other than any rights to indemnity payments or other amounts owed to the retiring or removed Administrative Agent as of the Resignation Closing Date or the Removal Closing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Section 11.04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90" w:lineRule="exact"/>
        <w:rPr>
          <w:rFonts w:ascii="Times New Roman" w:cs="Times New Roman" w:eastAsia="Times New Roman" w:hAnsi="Times New Roman"/>
          <w:sz w:val="18"/>
          <w:szCs w:val="18"/>
          <w:color w:val="auto"/>
        </w:rPr>
      </w:pPr>
    </w:p>
    <w:p>
      <w:pPr>
        <w:jc w:val="both"/>
        <w:ind w:firstLine="656"/>
        <w:spacing w:after="0" w:line="253" w:lineRule="auto"/>
        <w:tabs>
          <w:tab w:leader="none" w:pos="138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Section 2.03(c).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Section 2.04(c). Upon the appointment by the Borrower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9" w:name="page190"/>
    <w:bookmarkEnd w:id="189"/>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Non-Reliance on Administrative Agent and Other Lenders</w:t>
      </w:r>
      <w:r>
        <w:rPr>
          <w:rFonts w:ascii="Times New Roman" w:cs="Times New Roman" w:eastAsia="Times New Roman" w:hAnsi="Times New Roman"/>
          <w:sz w:val="18"/>
          <w:szCs w:val="18"/>
          <w:color w:val="auto"/>
        </w:rPr>
        <w:t>. 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i w:val="1"/>
          <w:iCs w:val="1"/>
          <w:color w:val="auto"/>
        </w:rPr>
        <w:t>No Other Duties, Etc.</w:t>
      </w:r>
      <w:r>
        <w:rPr>
          <w:rFonts w:ascii="Times New Roman" w:cs="Times New Roman" w:eastAsia="Times New Roman" w:hAnsi="Times New Roman"/>
          <w:sz w:val="18"/>
          <w:szCs w:val="18"/>
          <w:color w:val="auto"/>
        </w:rPr>
        <w:t xml:space="preserve"> Anything herein to the contrary notwithstanding, none of the Joint Bookrunners, Arrangers, syndication agents or documentation agents listed on the cover page hereof shall have any powers, duties or responsibilities under this Agreement or any of the other Loan Documents, except in its capacity, as applicable, as the Administrative Agent, a Lender or the L/C Issuer hereunder.</w:t>
      </w:r>
    </w:p>
    <w:p>
      <w:pPr>
        <w:spacing w:after="0" w:line="173"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9.09.</w:t>
      </w:r>
      <w:r>
        <w:rPr>
          <w:sz w:val="20"/>
          <w:szCs w:val="20"/>
          <w:color w:val="auto"/>
        </w:rPr>
        <w:tab/>
      </w:r>
      <w:r>
        <w:rPr>
          <w:rFonts w:ascii="Times New Roman" w:cs="Times New Roman" w:eastAsia="Times New Roman" w:hAnsi="Times New Roman"/>
          <w:sz w:val="17"/>
          <w:szCs w:val="17"/>
          <w:i w:val="1"/>
          <w:iCs w:val="1"/>
          <w:color w:val="auto"/>
        </w:rPr>
        <w:t>Administrative Agent May File Proofs of Claim; Credit Bidding</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4" w:lineRule="auto"/>
        <w:tabs>
          <w:tab w:leader="none" w:pos="138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 (a)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Sections 2.03(h), 2.03(i), 2.09 and 11.04) allowed in such judicial proceeding; and</w:t>
      </w:r>
    </w:p>
    <w:p>
      <w:pPr>
        <w:spacing w:after="0" w:line="188"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Lender and the L/C Issuer to make such payments to the Administrative Agent and, if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Sections 2.09 and 11.04.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90" w:name="page191"/>
    <w:bookmarkEnd w:id="190"/>
    <w:p>
      <w:pPr>
        <w:ind w:left="660"/>
        <w:spacing w:after="0"/>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or the L/C Issuer any plan of reorganization, arrangement, adjustment or composition affecting the Loan Document Obligations or the rights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or the L/C Issuer to authorize the Administrative Agent to vote in respect of the claim of any Lender or the L/C Issuer or in any such proceeding.</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Secured Parties hereby irrevocably authorize the Administrative Agent, at the direction of the Required Lenders, to credit bid all or any portion of the Loan Document Obligations (including accepting some or all of the Collateral in satisfaction of some or all of the Loan Document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Loan Document Obligations owed to the Secured Parties shall be entitled to be, and shall be, credit bid on a ratable basis (with Loan Document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(h) of Section 11.01 of this Agreement), (iii) the Administrative Agent shall be authorized to assign the relevant Loan Document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Loan Document Obligations to be credit bid, all without the need for any Secured Party or acquisition vehicle to take any further action, and (iv) to the extent that Loan Document Obligations that are assigned to an acquisition vehicle are not used to acquire Collateral for any reason (as a result of another bid being higher or better, because the amount of Loan Document Obligations assigned to the acquisition vehicle exceeds the amount of debt credit bid by the acquisition vehicle or otherwise), such Loan Document Obligations shall automatically be reassigned to the Lenders pro rata and the Equity Interests and/or debt instruments issued by any acquisition vehicle on account of the Loan Document Obligations that had been assigned to the acquisition vehicle shall automatically be cancelled, without the need for any Secured Party or any acquisition vehicle to take any further action.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1" w:name="page192"/>
    <w:bookmarkEnd w:id="191"/>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i w:val="1"/>
          <w:iCs w:val="1"/>
          <w:color w:val="auto"/>
        </w:rPr>
        <w:t>Collateral and Guaranty Matters</w:t>
      </w:r>
      <w:r>
        <w:rPr>
          <w:rFonts w:ascii="Times New Roman" w:cs="Times New Roman" w:eastAsia="Times New Roman" w:hAnsi="Times New Roman"/>
          <w:sz w:val="18"/>
          <w:szCs w:val="18"/>
          <w:color w:val="auto"/>
        </w:rPr>
        <w:t>. Without limiting the provisions of Section 9.09, the Lenders (including in their capacities as a potential Cash Management Bank and a potential Hedge Bank) and the L/C Issuer irrevocably authorize the Administrative Agent to effect any release or subordination of Liens or the Guarantees contemplated by Section 11.20 without further action or consent by the Lenders. Notwithstanding the foregoing, 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Section 11.20.</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i w:val="1"/>
          <w:iCs w:val="1"/>
          <w:color w:val="auto"/>
        </w:rPr>
        <w:t>Secured Cash Management Agreements and Secured Hedge Agreements</w:t>
      </w:r>
      <w:r>
        <w:rPr>
          <w:rFonts w:ascii="Times New Roman" w:cs="Times New Roman" w:eastAsia="Times New Roman" w:hAnsi="Times New Roman"/>
          <w:sz w:val="18"/>
          <w:szCs w:val="18"/>
          <w:color w:val="auto"/>
        </w:rPr>
        <w:t>. No Cash Management Bank or Hedge Bank that obtains the benefits of Section 8.03, the Guaranty or any Collateral by virtue of the provisions hereof or of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9 to the contrary, the Administrative Agent shall not be required to verify the payment of, or that other satisfactory arrangements have been made with respect to, Cash Management/Hedge Obligations unless the Administrative Agent has received written notice of such Obligations, together with such supporting documentation as the Administrative Agent may request, from the applicable Cash Management Bank or Hedge Bank, as the case may be.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i w:val="1"/>
          <w:iCs w:val="1"/>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ontinuing</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uaranty</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Guaranty</w:t>
      </w:r>
      <w:r>
        <w:rPr>
          <w:rFonts w:ascii="Times New Roman" w:cs="Times New Roman" w:eastAsia="Times New Roman" w:hAnsi="Times New Roman"/>
          <w:sz w:val="18"/>
          <w:szCs w:val="18"/>
          <w:color w:val="auto"/>
        </w:rPr>
        <w:t>. Each Guarantor hereby absolutely and unconditionally guarantees, jointly and severally, as a guaranty of payment and performance and not as a guaranty of collection, prompt payment when due, whether at stated maturity, by required prepayment, upon acceleration, demand or otherwise, and at all times thereafter, of any and all of the Obligations, whether for principal, interest, premiums, fees, indemnities, damages, costs, expenses or otherwise, to the Secured Parties, and whether arising hereunder or under any other Loan Document, any Secured Cash Management Agreement or any Secured Hedge Agreement (including all renewals, extensions, amendments, refinancings and other modifications thereof and all costs, attorneys’ fees and expenses incurred by the Secured Parties in connection with the collection or enforcement thereof). The Administrative Agent’s books and records showing the amount of the Obligations shall be admissible in evidence in any action or proceeding, and shall be binding upon the Guarantors, and conclusive for the purpose of establishing the amount of the Obligations. This Guaranty shall not be affected by the genuineness, validity, regularity or enforceability of the Obligations or any instrument or agreement evidencing any Obligations, or by the existence, validity, enforceability, perfection, non-perfection or extent of any collateral therefor, or by any fact or circumstance relating to the Obligations which might otherwise constitute a defense to the obligations of the Guarantors under this Guaranty, and each of the Guarantors hereby irrevocably waives any defenses it may now have or hereafter acquire in any way relating to any or all of the foregoing.</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Rights of Lenders</w:t>
      </w:r>
      <w:r>
        <w:rPr>
          <w:rFonts w:ascii="Times New Roman" w:cs="Times New Roman" w:eastAsia="Times New Roman" w:hAnsi="Times New Roman"/>
          <w:sz w:val="18"/>
          <w:szCs w:val="18"/>
          <w:color w:val="auto"/>
        </w:rPr>
        <w:t>. 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Obligations or any part thereof; (b) take, hold, exchange, enforce, waive, release, fail to perfect, sell, or otherwise dispose of any security for the payment of this Guaranty or any Obligations; (c) apply such security and direct the order or manner of sale thereof as the Administrative Agent, the L/C Issuer and the Lenders in their sole discretion may determine; and (d) release or substitute one or more of any endorsers or other guarantors of any of the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3" w:name="page194"/>
    <w:bookmarkEnd w:id="19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Certain Waivers</w:t>
      </w:r>
      <w:r>
        <w:rPr>
          <w:rFonts w:ascii="Times New Roman" w:cs="Times New Roman" w:eastAsia="Times New Roman" w:hAnsi="Times New Roman"/>
          <w:sz w:val="18"/>
          <w:szCs w:val="18"/>
          <w:color w:val="auto"/>
        </w:rPr>
        <w:t>. Each Guarantor waives (a) any defense arising by reason of any disability or other defense of the Borrower or any other guarantor, or the cessation from any cause whatsoever (including any act or omission of any Secured Party) of the liability of the Borrower; (b) any defense based on any claim that such Guarantor’s obligations exceed or are more burdensome than those of the Borrower; (c) the benefit of any statute of limitations affecting such Guarantor’s liability hereunder; (d) any right to proceed against the Borrower, proceed against or exhaust any security for the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and all notices of acceptance of this Guaranty or of the existence, creation or incurrence of new or additional Obligations.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Obligations Independent</w:t>
      </w:r>
      <w:r>
        <w:rPr>
          <w:rFonts w:ascii="Times New Roman" w:cs="Times New Roman" w:eastAsia="Times New Roman" w:hAnsi="Times New Roman"/>
          <w:sz w:val="18"/>
          <w:szCs w:val="18"/>
          <w:color w:val="auto"/>
        </w:rPr>
        <w:t>. The obligations of each Guarantor hereunder are those of primary obligor, and not merely as surety, and are independent of the Obligations and the obligations of any other guarantor, and a separate action may be brought against any Guarantor to enforce this Guaranty whether or not the Borrower or any other person or entity is joined as a party.</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Subrogation</w:t>
      </w:r>
      <w:r>
        <w:rPr>
          <w:rFonts w:ascii="Times New Roman" w:cs="Times New Roman" w:eastAsia="Times New Roman" w:hAnsi="Times New Roman"/>
          <w:sz w:val="18"/>
          <w:szCs w:val="18"/>
          <w:color w:val="auto"/>
        </w:rPr>
        <w:t>. No Guarantor shall exercise any right of subrogation, contribution, indemnity, reimbursement or similar rights with respect to any payments it makes under this Guaranty until all of the Obligations and any amounts payable under this Guaranty have been indefeasibly paid and performed in full and the Commitments and the Facilities are terminated. If any amounts are paid to any Guarantor in violation of the foregoing limitation, then such amounts shall be held in trust for the benefit of the Secured Parties and shall forthwith be paid to the Secured Parties to reduce the amount of the Obligations, whether matured or unmatured.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i w:val="1"/>
          <w:iCs w:val="1"/>
          <w:color w:val="auto"/>
        </w:rPr>
        <w:t>Termination; Reinstatement</w:t>
      </w:r>
      <w:r>
        <w:rPr>
          <w:rFonts w:ascii="Times New Roman" w:cs="Times New Roman" w:eastAsia="Times New Roman" w:hAnsi="Times New Roman"/>
          <w:sz w:val="18"/>
          <w:szCs w:val="18"/>
          <w:color w:val="auto"/>
        </w:rPr>
        <w:t>. This Guaranty is a continuing and irrevocable guaranty of all Obligations now or hereafter existing and shall remain in full force and effect until the Payment in Full of the Loan Document Obligations. Notwithstanding the foregoing, this Guaranty shall continue in full force and effect or be revived, as the case may be, if any payment by or on behalf of the Borrower or any Guarantor is made, or any of the Secured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paragraph shall survive termination of this Guaranty.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94" w:name="page195"/>
    <w:bookmarkEnd w:id="194"/>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Each Guarantor hereby subordinates the payment of all obligations and indebtedness of the Borrower owing to such Guarantor, whether now existing or hereafter arising, including but not limited to any obligation of the Borrower to such Guarantor as subrogee of the Secured Parties or resulting from such Guarantor’s performance under this Guaranty, to the indefeasible payment in full in cash of all Obligations. If the Secured Parties so request, any such obligation or indebtedness of the Borrower to any Guarantor shall be enforced and performance received by such Guarantor as trustee for the Secured Parties and the proceeds thereof shall be paid over to the Secured Parties on account of the Obligations, but without reducing or affecting in any manner the liability of such Guarantor under this Guaranty.</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i w:val="1"/>
          <w:iCs w:val="1"/>
          <w:color w:val="auto"/>
        </w:rPr>
        <w:t>Stay of Acceleration</w:t>
      </w:r>
      <w:r>
        <w:rPr>
          <w:rFonts w:ascii="Times New Roman" w:cs="Times New Roman" w:eastAsia="Times New Roman" w:hAnsi="Times New Roman"/>
          <w:sz w:val="18"/>
          <w:szCs w:val="18"/>
          <w:color w:val="auto"/>
        </w:rPr>
        <w:t>. If acceleration of the time for payment of any of the Obligations is stayed, in connection with any case commenced by or against any Guarantor or the Borrower under any Debtor Relief Laws, or otherwise, all such amounts shall nonetheless be payable by such Guarantor immediately upon demand by the Secured Parties.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i w:val="1"/>
          <w:iCs w:val="1"/>
          <w:color w:val="auto"/>
        </w:rPr>
        <w:t>Condition of Borrower</w:t>
      </w:r>
      <w:r>
        <w:rPr>
          <w:rFonts w:ascii="Times New Roman" w:cs="Times New Roman" w:eastAsia="Times New Roman" w:hAnsi="Times New Roman"/>
          <w:sz w:val="18"/>
          <w:szCs w:val="18"/>
          <w:color w:val="auto"/>
        </w:rPr>
        <w:t>. 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no Guarantor is relying on the Secured Parties at any time, to disclose to any Guarantor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i w:val="1"/>
          <w:iCs w:val="1"/>
          <w:color w:val="auto"/>
        </w:rPr>
        <w:t>Limit of Liability</w:t>
      </w:r>
      <w:r>
        <w:rPr>
          <w:rFonts w:ascii="Times New Roman" w:cs="Times New Roman" w:eastAsia="Times New Roman" w:hAnsi="Times New Roman"/>
          <w:sz w:val="18"/>
          <w:szCs w:val="18"/>
          <w:color w:val="auto"/>
        </w:rPr>
        <w:t>. Each Guarantor shall be liable under this Guaranty only for amounts aggregating up to the largest amount that would not render its obligations hereunder subject to avoidance under Section 548 of the United States Bankruptcy Code or any comparable provision of any other applicable Law.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Amendments, Etc</w:t>
      </w:r>
      <w:r>
        <w:rPr>
          <w:rFonts w:ascii="Times New Roman" w:cs="Times New Roman" w:eastAsia="Times New Roman" w:hAnsi="Times New Roman"/>
          <w:sz w:val="18"/>
          <w:szCs w:val="18"/>
          <w:color w:val="auto"/>
        </w:rPr>
        <w:t xml:space="preserve">. Except as otherwise expressly provided in this Agreement or any other Loan Document, no amendment or waiver of any provision of this Agreement or any other Loan Document, and no consent to any departure by any Loan Party therefrom, shall be effective unless in writing and signed by the Required Lenders (or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provision of this Agreement or any other Loan Document may be amended (1) by an agreement in writing entered into by the Borrower and the Administrative Agent without the consent of any other Lender or party hereto to cure any ambiguity, omission, defect, mistake or inconsistency so long as the Lenders shall have received at least five Business Days’ prior written notice thereof and the Administrative Agent shall not have received, within such five Business Days’ of the date of such notice to the Lenders, a written notice from the Required Lenders stating that the Required Lenders object to such amendment and (2) in accordance with Section 3.03;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amendment, waiver or consent pursuant to this Section 11.01 shall: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95" w:name="page196"/>
    <w:bookmarkEnd w:id="195"/>
    <w:p>
      <w:pPr>
        <w:jc w:val="both"/>
        <w:ind w:firstLine="656"/>
        <w:spacing w:after="0" w:line="266" w:lineRule="auto"/>
        <w:tabs>
          <w:tab w:leader="none" w:pos="153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or increase the Commitment of any Lender (or reinstate any Commitment terminated pursuant to Section 8.02) without the written consent of such Lender (it being understood that a waiver of any condition precedent or the waiver of any Default, Event of Default or mandatory prepayment shall not constitute an extension or increase of any Commitment);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any scheduled maturity hereunder or postpone any date fixed by this Agreement or any other Loan Document for any payment of principal, interest, fees or other amounts due to the Lenders (or any of them) hereunder or under such other Loan Document without the written consent of each Lender directly and adversely affected thereby (it being understood that a waiver of any Default, Event of Default or mandatory prepayment shall not constitute an extension or postponement under this clause);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50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specified herein on, any Loan or L/C Borrowing, or (subject to clause (v) of the third proviso to this Section 11.01(c)) any fees or other amounts payable hereunder or under any other Loan Document without the written consent of each Lender directly and adversely affected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only the consent of the Required Lenders shall be necessary to amend the definition of “Default Rate” or to waive any obligation of the Borrower to pay interest or Letter of Credit Fees at the Default Rate;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50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Section 2.12(f), Section 2.13 or Section 8.03 in a manner that would alter the pro rata sharing of payments required thereby without the written consent of each Lender directly and adversely affected thereby;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57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order of application of any reduction in the Commitments or any prepayment of Loans among the Facilities from the application thereof set forth in the applicable provisions of Sections 2.05(b), 2.05(c) or 2.06(c), respectively, without the written consent of each Lender directly and adversely affected thereby;</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9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 any provision of this Section 11.01 or the percentage specified in the definition of the term “Required Lenders” or any other provision hereof specifying the number or percentage of Lenders required to amend, waive or otherwise modify any rights hereunder or make any determination or grant any consent hereunder (other than the definitions specified in clause (ii) of this Section 11.01(f)), without the written consent of each Lender or (ii) the percentage specified in the definition of the term “Required Revolving Lenders” without the written consent of each Revolving Credit Lender;</w:t>
      </w:r>
    </w:p>
    <w:p>
      <w:pPr>
        <w:spacing w:after="0" w:line="183"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in any transaction or series of related transactions, without the written consent of each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or</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value of the Guaranty, without the written consent of each Lender, except to the extent the release of any Subsidiary from the Guaranty is permitted pursuant to Section 9.10 or Section 11.20 (in which case such release may be made by the Administrative Agent acting alone);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6" w:name="page197"/>
    <w:bookmarkEnd w:id="196"/>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w:t>
      </w:r>
    </w:p>
    <w:p>
      <w:pPr>
        <w:jc w:val="both"/>
        <w:ind w:firstLine="8"/>
        <w:spacing w:after="0" w:line="251" w:lineRule="auto"/>
        <w:tabs>
          <w:tab w:leader="none" w:pos="27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no amendment, waiver or consent shall, unless in writing and signed by the Required Revolving Lenders, directly, adversely and disproportionately affect the rights or duties of the Revolving Lenders under this Agreement; (v) the Fee Letter may be amended, or rights or privileges thereunder waived, in a writing executed only by the parties thereto; and (vi) the consent of the Lenders or the Required Lenders, as the case may be, shall not be required (A) to make any changes necessary to be made to this Agreement in connection with any borrowing of Incremental Term Loans to effect the provisions of Section 2.14, (B) to provide for any Incremental Revolving Commitment or (C) otherwise to effect the provisions of Section 2.14 in accordance with the terms thereof.</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any Lender does not consent to a proposed amendment, waiver, consent or release with respect to any Loan Document that requires the consent of each Lender and that has been approved by the Required Lenders, the Borrower may replace such non-consenting Lender in accordance with Section 11.13;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amendment, waiver, consent or release can be effected as a result of the assignment contemplated by such Section (together with all other such assignments required by the Borrower to be made pursuant to this paragraph).</w:t>
      </w:r>
    </w:p>
    <w:p>
      <w:pPr>
        <w:spacing w:after="0" w:line="178"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11.02.</w:t>
      </w:r>
      <w:r>
        <w:rPr>
          <w:sz w:val="20"/>
          <w:szCs w:val="20"/>
          <w:color w:val="auto"/>
        </w:rPr>
        <w:tab/>
      </w:r>
      <w:r>
        <w:rPr>
          <w:rFonts w:ascii="Times New Roman" w:cs="Times New Roman" w:eastAsia="Times New Roman" w:hAnsi="Times New Roman"/>
          <w:sz w:val="17"/>
          <w:szCs w:val="17"/>
          <w:i w:val="1"/>
          <w:iCs w:val="1"/>
          <w:color w:val="auto"/>
        </w:rPr>
        <w:t>Notices; Effectiveness; Electronic Communications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61" w:lineRule="auto"/>
        <w:tabs>
          <w:tab w:leader="none" w:pos="136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97" w:name="page198"/>
    <w:bookmarkEnd w:id="197"/>
    <w:p>
      <w:pPr>
        <w:ind w:left="660" w:firstLine="644"/>
        <w:spacing w:after="0" w:line="282" w:lineRule="auto"/>
        <w:tabs>
          <w:tab w:leader="none" w:pos="213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Loan Party, the Administrative Agent, the L/C Issuer or the Swing Line Lender, to the address, facsimile number, electronic mail address or telephone number specified for such Person on Schedule 11.02;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34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any Loan Party).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1" w:lineRule="exact"/>
        <w:rPr>
          <w:sz w:val="20"/>
          <w:szCs w:val="20"/>
          <w:color w:val="auto"/>
        </w:rPr>
      </w:pPr>
    </w:p>
    <w:p>
      <w:pPr>
        <w:jc w:val="both"/>
        <w:ind w:firstLine="656"/>
        <w:spacing w:after="0" w:line="256" w:lineRule="auto"/>
        <w:tabs>
          <w:tab w:leader="none" w:pos="155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Communications</w:t>
      </w:r>
      <w:r>
        <w:rPr>
          <w:rFonts w:ascii="Times New Roman" w:cs="Times New Roman" w:eastAsia="Times New Roman" w:hAnsi="Times New Roman"/>
          <w:sz w:val="18"/>
          <w:szCs w:val="18"/>
          <w:color w:val="auto"/>
        </w:rPr>
        <w:t>. Notices and other communications to the Lenders and the L/C Issuer hereunder may be delivered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apply to notices to any Lender or the L/C Issuer pursuant to Article 2 if such Lender or the L/C Issuer, as applicable, has notified the Administrative Agent that it is incapable of receiving notices under such Article by electronic communication. The Administrative Agent, the Swing Line Lender, the L/C Issuer or any Loan Party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receipt by the intended recipient or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8" w:name="page199"/>
    <w:bookmarkEnd w:id="198"/>
    <w:p>
      <w:pPr>
        <w:jc w:val="both"/>
        <w:ind w:firstLine="656"/>
        <w:spacing w:after="0" w:line="254" w:lineRule="auto"/>
        <w:tabs>
          <w:tab w:leader="none" w:pos="162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Platform</w:t>
      </w:r>
      <w:r>
        <w:rPr>
          <w:rFonts w:ascii="Times New Roman" w:cs="Times New Roman" w:eastAsia="Times New Roman" w:hAnsi="Times New Roman"/>
          <w:sz w:val="18"/>
          <w:szCs w:val="18"/>
          <w:color w:val="auto"/>
        </w:rPr>
        <w:t>. THE PLATFORM IS PROVIDED “AS IS” AND “AS AVAILABLE.” THE AGENT PARTIES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have any liability to any Loan Party, any Lender, the L/C Issuer or any other Person for losses, claims, damages, liabilities or expenses of any kind (whether in tort, contract or otherwise) arising out of any Loan Party’s or the Administrative Agent’s transmission of Borrower Materials or notices through the Platform, any other electronic messaging service, or through the Internet.</w:t>
      </w:r>
    </w:p>
    <w:p>
      <w:pPr>
        <w:spacing w:after="0" w:line="185" w:lineRule="exact"/>
        <w:rPr>
          <w:rFonts w:ascii="Times New Roman" w:cs="Times New Roman" w:eastAsia="Times New Roman" w:hAnsi="Times New Roman"/>
          <w:sz w:val="18"/>
          <w:szCs w:val="18"/>
          <w:color w:val="auto"/>
        </w:rPr>
      </w:pPr>
    </w:p>
    <w:p>
      <w:pPr>
        <w:jc w:val="both"/>
        <w:ind w:firstLine="656"/>
        <w:spacing w:after="0" w:line="253" w:lineRule="auto"/>
        <w:tabs>
          <w:tab w:leader="none" w:pos="136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of Address, Etc. </w:t>
      </w:r>
      <w:r>
        <w:rPr>
          <w:rFonts w:ascii="Times New Roman" w:cs="Times New Roman" w:eastAsia="Times New Roman" w:hAnsi="Times New Roman"/>
          <w:sz w:val="18"/>
          <w:szCs w:val="18"/>
          <w:color w:val="auto"/>
        </w:rPr>
        <w:t>Each Loan Party, the Administrative Agent, the L/C Issuer and the Swing Line Lender may change its address,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facsimile or telephone number for notices and other communications hereunder by notice to the other parties hereto. Each other Lender may change its address, facsimile or telephone number for notices and other communications hereunder by notice to each Loan Party,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Loan Party or its securities for purposes of United States Federal or state securities laws.</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39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Reliance by Administrative Agent, L/C Issuer and Lenders. </w:t>
      </w:r>
      <w:r>
        <w:rPr>
          <w:rFonts w:ascii="Times New Roman" w:cs="Times New Roman" w:eastAsia="Times New Roman" w:hAnsi="Times New Roman"/>
          <w:sz w:val="18"/>
          <w:szCs w:val="18"/>
          <w:color w:val="auto"/>
        </w:rPr>
        <w:t>The Administrative Agent, the L/C Issuer and the Lenders shall be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rely and act upon any notices (including telephonic notices, Committed Loan Notices, Letter of Credit Applications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any Loan Party. All telephonic notices to and other telephonic communications with the Administrative Agent may be recorded by the Administrative Agent, and each of the parties hereto hereby consents to such recording.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99" w:name="page200"/>
    <w:bookmarkEnd w:id="19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No Waiver; Cumulative Remedies; Enforcement</w:t>
      </w:r>
      <w:r>
        <w:rPr>
          <w:rFonts w:ascii="Times New Roman" w:cs="Times New Roman" w:eastAsia="Times New Roman" w:hAnsi="Times New Roman"/>
          <w:sz w:val="18"/>
          <w:szCs w:val="18"/>
          <w:color w:val="auto"/>
        </w:rPr>
        <w:t>. 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Section 8.02 for the benefit of all the Lenders and the L/C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3" w:lineRule="exact"/>
        <w:rPr>
          <w:sz w:val="20"/>
          <w:szCs w:val="20"/>
          <w:color w:val="auto"/>
        </w:rPr>
      </w:pPr>
    </w:p>
    <w:p>
      <w:pPr>
        <w:jc w:val="both"/>
        <w:ind w:firstLine="8"/>
        <w:spacing w:after="0" w:line="251" w:lineRule="auto"/>
        <w:tabs>
          <w:tab w:leader="none" w:pos="26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Section 11.08 (subject to the terms of Section 2.13),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at any time there is no Person acting as Administrative Agent hereunder and under the other Loan Documents, then (i) the Required Lenders shall have the rights otherwise ascribed to the Administrative Agent pursuant to Section 8.02 and (ii) in addition to the matters set forth in clauses (b), (c) and (d) of the preceding proviso and subject to Section 2.13, any Lender may, with the consent of the Required Lenders, enforce any rights and remedies available to it and as authorized by the Required Lenders.</w:t>
      </w:r>
    </w:p>
    <w:p>
      <w:pPr>
        <w:spacing w:after="0" w:line="192"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11.04.</w:t>
      </w:r>
      <w:r>
        <w:rPr>
          <w:sz w:val="20"/>
          <w:szCs w:val="20"/>
          <w:color w:val="auto"/>
        </w:rPr>
        <w:tab/>
      </w:r>
      <w:r>
        <w:rPr>
          <w:rFonts w:ascii="Times New Roman" w:cs="Times New Roman" w:eastAsia="Times New Roman" w:hAnsi="Times New Roman"/>
          <w:sz w:val="17"/>
          <w:szCs w:val="17"/>
          <w:i w:val="1"/>
          <w:iCs w:val="1"/>
          <w:color w:val="auto"/>
        </w:rPr>
        <w:t>Expenses; Indemnity; Damage Waiver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3" w:lineRule="auto"/>
        <w:tabs>
          <w:tab w:leader="none" w:pos="1585"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 The Borrower shall pay (i) all reasonable costs and expenses incurred by the Administrative Agent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(including, without limitation, the reasonable fees, charges and disbursements of one single counsel in each applicable jurisdiction for the Administrative Agent), in connection with the syndication of the credit facilities provided for herein, the preparation, due diligence, administration, syndication and closing of this Agreement and the other Loan Documents or any amendments, modifications or waivers of the provisions hereof or thereof (whether or not the transactions contemplated hereby or thereby shall be consummated), (ii) all reasonable costs and expenses incurred by the L/C Issuer in connection with the issuance, amendment, renewal or extension of any Letter of Credit or any demand for payment thereunder and (iii) all reasonable costs and expenses incurred by the Administrative Agent, any Lender or the L/C Issuer (including the fees, charges and disbursements of one outside counsel for each applicable jurisdiction for the Administrative Agent, any Lender or the L/C Issuer (and, in the case of any actual or reasonably perceived conflict of interest, one additional legal counsel for the affected Persons in each applicable jurisdiction)) in connection with the enforcement or protection of its rights</w:t>
      </w:r>
    </w:p>
    <w:p>
      <w:pPr>
        <w:jc w:val="both"/>
        <w:ind w:firstLine="8"/>
        <w:spacing w:after="0" w:line="255" w:lineRule="auto"/>
        <w:tabs>
          <w:tab w:leader="none" w:pos="31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this Agreement and the other Loan Documents, including its rights under this Section, or (B) in connection with Loans made or Letters of Credit issued hereunder, including all such reasonable costs and expenses incurred during any workout, restructuring or negotiations in respect of such Loans or Letters of Credit.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0" w:name="page201"/>
    <w:bookmarkEnd w:id="200"/>
    <w:p>
      <w:pPr>
        <w:jc w:val="both"/>
        <w:ind w:firstLine="656"/>
        <w:spacing w:after="0" w:line="251" w:lineRule="auto"/>
        <w:tabs>
          <w:tab w:leader="none" w:pos="135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the Borrower</w:t>
      </w:r>
      <w:r>
        <w:rPr>
          <w:rFonts w:ascii="Times New Roman" w:cs="Times New Roman" w:eastAsia="Times New Roman" w:hAnsi="Times New Roman"/>
          <w:sz w:val="18"/>
          <w:szCs w:val="18"/>
          <w:color w:val="auto"/>
        </w:rPr>
        <w:t>. The Borrower shall indemnify the Administrative Agent (and any sub-agent thereof), each Lender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L/C Issuer, and each Related Party of any of the foregoing Persons (each such Person being called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expenses (but limited, with respect to legal expenses, to the reasonable and documented fees, disbursements and other charges of one outside counsel for each applicable jurisdiction for all similarly situated Indemnitees (and, in the case of any actual or reasonably perceived conflict of interest, one additional legal counsel for all similarly situated Indemnitees in each applicable jurisdiction)), that may be incurred by or asserted or awarded against any Indemnitee, in each case arising out of, by reason of or in connection with any investigation, litigation or proceeding or preparation of a defense in connection with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at, on, under or emanating from any property currently or formerly owned, leased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whether brought by a third party or by the Borrower or any other Loan Party or any of the Borrower’s or such Loan Party’s directors, shareholders or creditors, and regardless of whether any Indemnitee is a party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have resulted from (i) the gross negligence, bad faith or willful misconduct of such Indemnitee or any of its Related Indemnified Parties (as determined by a court of competent jurisdiction by final and nonappealable judgment), (ii) any claims, actions, suits, inquiries, litigation, investigation or proceeding (other than such claims arising directly or indirectly out of an act or omission on the part of the Borrower or its Affiliates) that does not involve an act or omission of any Loan Party or any of its Subsidiaries and that is brought by an Indemnitee against another Indemnitee (other than any claim, actions, suits, inquiries, litigation, investigation or proceeding against the Administrative Agent or any Arranger in its capacity as such or in fulfilling its role as such under the Loan Documents) or (iii) a material breach by such Indemnitee or one of its Related Indemnified Parties of this Agreement (as determined by a court of competent jurisdiction by final and nonappealable judgment). Without limiting the provisions of Section 3.01(c), this Section 11.04(b) shall not apply with respect to Taxes other than any Taxes that represent losses, claims, damages, etc. arising from any non-Tax claim.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1" w:name="page202"/>
    <w:bookmarkEnd w:id="201"/>
    <w:p>
      <w:pPr>
        <w:jc w:val="both"/>
        <w:ind w:firstLine="656"/>
        <w:spacing w:after="0" w:line="253" w:lineRule="auto"/>
        <w:tabs>
          <w:tab w:leader="none" w:pos="158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Reimbursement by Lenders. </w:t>
      </w:r>
      <w:r>
        <w:rPr>
          <w:rFonts w:ascii="Times New Roman" w:cs="Times New Roman" w:eastAsia="Times New Roman" w:hAnsi="Times New Roman"/>
          <w:sz w:val="18"/>
          <w:szCs w:val="18"/>
          <w:color w:val="auto"/>
        </w:rPr>
        <w:t>To the extent that the Borrower for any reason fails to indefeasibly pay any amount required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subsection (a) or (b) 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unreimbursed expense or indemnified loss, claim, damage, liability or related expense, as the case may be, was incurred by or asserted against the Administrative Agent (or any such sub-agent), the L/C Issuer or the Swing Line Lender in its capacity as such, or against any Related Indemnified Party of any of the foregoing acting for the Administrative Agent (or any such sub-agent), the L/C Issuer or the Swing Line Lender in connection with such capacity and (y) only the Revolving Credit Lenders shall be required to pay any amounts required to be paid to the L/C Issuer or Swing Line Lender pursuant to this subsection (c). For purposes hereof, a Lender’s “pro rata share” shall be determined based upon its share of the aggregate Revolving Credit Exposures, outstanding Term Loans and unused Commitments at such time. The obligations of the Lenders under this subsection (c) are subject to the provisions of Section 2.12(d).</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35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Consequential Damages, Etc. </w:t>
      </w:r>
      <w:r>
        <w:rPr>
          <w:rFonts w:ascii="Times New Roman" w:cs="Times New Roman" w:eastAsia="Times New Roman" w:hAnsi="Times New Roman"/>
          <w:sz w:val="18"/>
          <w:szCs w:val="18"/>
          <w:color w:val="auto"/>
        </w:rPr>
        <w:t>To the fullest extent permitted by applicable law, none of the Borrower, any other Loan Party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Indemnitee shall assert, and the Borrower, each other Loan Party and each Indemnitee hereby waive and acknowledge that no other Person shall have, any claim against the Borrower, any other Loan Party or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provided, that, nothing in this sentence shall limit any Loan Party’s indemnity and reimbursement obligations to the extent that such special, indirect, consequential or punitive damages are included in any claim by a third party unaffiliated with any Indemnitee with respect to which the applicable Indemnitee is entitled to indemnification under Section 11.04(b). No Indemnitee referred to in subsection (b) above shall be liable for any damages arising from the use by other Person of any information or other materials distributed to such Person by such Indemnitee through telecommunications, electronic or other information transmission systems in connection with this Agreement or the other Loan Documents or the transactions contemplated hereby or thereby except to the extent such damage is found in a final, nonappealable judgment by a court of competent jurisdiction to have resulted from such Indemnitee’s gross negligence, bad faith or willful misconduct (or the gross negligence, bad faith or willful misconduct of any Related Indemnified Party).</w:t>
      </w:r>
    </w:p>
    <w:p>
      <w:pPr>
        <w:spacing w:after="0" w:line="18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w:t>
      </w:r>
      <w:r>
        <w:rPr>
          <w:rFonts w:ascii="Times New Roman" w:cs="Times New Roman" w:eastAsia="Times New Roman" w:hAnsi="Times New Roman"/>
          <w:sz w:val="18"/>
          <w:szCs w:val="18"/>
          <w:color w:val="auto"/>
        </w:rPr>
        <w:t>. All amounts due under this Section shall be payable not later than ten Business Days after demand therefor.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2" w:name="page203"/>
    <w:bookmarkEnd w:id="202"/>
    <w:p>
      <w:pPr>
        <w:jc w:val="both"/>
        <w:ind w:firstLine="656"/>
        <w:spacing w:after="0" w:line="266" w:lineRule="auto"/>
        <w:tabs>
          <w:tab w:leader="none" w:pos="166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Survival. The agreements in this Section and the indemnity provision of Section 11.02(e) shall survive the resignation of the Administrative Agent, the L/C Issuer and the Swing Line Lender, the replacement of any Lender, the termination of the Aggregate Commitments and the repayment, satisfaction or discharge of all the other Loan Document Obligations.</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Payments Set Aside</w:t>
      </w:r>
      <w:r>
        <w:rPr>
          <w:rFonts w:ascii="Times New Roman" w:cs="Times New Roman" w:eastAsia="Times New Roman" w:hAnsi="Times New Roman"/>
          <w:sz w:val="18"/>
          <w:szCs w:val="18"/>
          <w:color w:val="auto"/>
        </w:rPr>
        <w:t>. 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to the extent of such recovery, the obligation or part thereof originally intended to be satisfied shall be revived and continued in full force and effect as if such payment had not been made or such setoff had not occurred, and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spacing w:after="0" w:line="185"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11.06.</w:t>
      </w:r>
      <w:r>
        <w:rPr>
          <w:sz w:val="20"/>
          <w:szCs w:val="20"/>
          <w:color w:val="auto"/>
        </w:rPr>
        <w:tab/>
      </w:r>
      <w:r>
        <w:rPr>
          <w:rFonts w:ascii="Times New Roman" w:cs="Times New Roman" w:eastAsia="Times New Roman" w:hAnsi="Times New Roman"/>
          <w:sz w:val="17"/>
          <w:szCs w:val="17"/>
          <w:i w:val="1"/>
          <w:iCs w:val="1"/>
          <w:color w:val="auto"/>
        </w:rPr>
        <w:t>Successors and Assigns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53" w:lineRule="auto"/>
        <w:tabs>
          <w:tab w:leader="none" w:pos="1382"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Successors and Assigns Generally. The provisions of this Agreement and the other Loan Documents shall be binding upon and inure to the benefit of the parties hereto and thereto and their respective successors and assigns permitted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in accordance with Section 7.04 or 7.05, neither the Borrower nor any other Loan Party may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Section 11.06(b), (ii) by way of participation in accordance with the provisions of Section 11.06(d), or (iii) by way of pledge or assignment of a security interest subject to the restrictions of Section 11.06(e)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w:t>
      </w:r>
    </w:p>
    <w:p>
      <w:pPr>
        <w:ind w:firstLine="8"/>
        <w:spacing w:after="0" w:line="260" w:lineRule="auto"/>
        <w:tabs>
          <w:tab w:leader="none" w:pos="28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and, to the extent expressly contemplated hereby, the Related Parties of each of the Administrative Agent, the L/C Issuer and the Lenders) any legal or equitable right, remedy or claim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3" w:name="page204"/>
    <w:bookmarkEnd w:id="203"/>
    <w:p>
      <w:pPr>
        <w:jc w:val="both"/>
        <w:ind w:firstLine="656"/>
        <w:spacing w:after="0" w:line="261" w:lineRule="auto"/>
        <w:tabs>
          <w:tab w:leader="none" w:pos="136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Assignments by Lenders</w:t>
      </w:r>
      <w:r>
        <w:rPr>
          <w:rFonts w:ascii="Times New Roman" w:cs="Times New Roman" w:eastAsia="Times New Roman" w:hAnsi="Times New Roman"/>
          <w:sz w:val="18"/>
          <w:szCs w:val="18"/>
          <w:color w:val="auto"/>
        </w:rPr>
        <w:t>. Any Lender may at any time assign to one or more assignees all or a portion of its rights and obligations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Agreement and the other Loan Documents (including all or a portion of its Commitment(s) and the Loans (including for purposes of this Section 11.06(b), participations in L/C Obligations and in Swing Line Loans) at the time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with respect to any Facility) any such assignment shall be subject to the following conditions: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2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Amounts</w:t>
      </w:r>
      <w:r>
        <w:rPr>
          <w:rFonts w:ascii="Times New Roman" w:cs="Times New Roman" w:eastAsia="Times New Roman" w:hAnsi="Times New Roman"/>
          <w:sz w:val="18"/>
          <w:szCs w:val="18"/>
          <w:color w:val="auto"/>
        </w:rPr>
        <w:t>. in the case of an assignment of the entire remaining amount of the assigning Lender’s Commitment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Facility and/or the Loans at the time owing to it (in each case with respect to any Facility) or contemporaneous assignments to related Approved Funds that equal at least the amount specified in paragraph 11.06(b)(i)(B) of this Section in the aggregate or in the case of an assignment to a Lender, an Affiliate of a Lender or an Approved Fund, no minimum amount need be assigned; and</w:t>
      </w:r>
    </w:p>
    <w:p>
      <w:pPr>
        <w:spacing w:after="0" w:line="181"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888"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subsection 11.06(b)(i)(A)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the Term Facility unless each of the Administrative Agent and, so long as no Event of Default has occurred and is continuing, the Borrower otherwise consents (each such consent not to be unreasonably withheld or delayed).</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67" w:lineRule="auto"/>
        <w:tabs>
          <w:tab w:leader="none" w:pos="213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Lender’s rights and obligations under this Agreement with respect to the Loans or the Commitment assigned, except that this clause (ii) shall not apply to the Swing Line Lender’s rights and obligations in respect of Swing Line Loans;</w:t>
      </w:r>
    </w:p>
    <w:p>
      <w:pPr>
        <w:spacing w:after="0" w:line="173" w:lineRule="exact"/>
        <w:rPr>
          <w:rFonts w:ascii="Times New Roman" w:cs="Times New Roman" w:eastAsia="Times New Roman" w:hAnsi="Times New Roman"/>
          <w:sz w:val="18"/>
          <w:szCs w:val="18"/>
          <w:color w:val="auto"/>
        </w:rPr>
      </w:pPr>
    </w:p>
    <w:p>
      <w:pPr>
        <w:ind w:left="660" w:firstLine="644"/>
        <w:spacing w:after="0" w:line="284" w:lineRule="auto"/>
        <w:tabs>
          <w:tab w:leader="none" w:pos="2153"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subsection (b)(i)(B)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Section and, in addition:</w:t>
      </w:r>
    </w:p>
    <w:p>
      <w:pPr>
        <w:spacing w:after="0" w:line="160"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720"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Borrower (such consent not to be unreasonably withheld or delayed) shall be required unless (1) an Event of Default has occurred and is continuing at the time of such assignment or (2) such assignment is in respect of (i) any unfunded Term Commitment or any Revolving Credit Commitment or Revolving Credit Loan (or participation in any Swing Line Loan or Letter of Credit) if such assignment is to a Person that is a Lender with a Commitment in respect of the applicable Facility, an Affiliate of such Lender or an Approved Fund with respect to such Lender or (ii) any Term Loan to a Person that is a Lender, an Affiliate of a Lender or an Approved 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of a Term Loan if it has not responded to the Administrative Agent within ten (10) Business Days after having received a written request for such consent;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4" w:name="page205"/>
    <w:bookmarkEnd w:id="204"/>
    <w:p>
      <w:pPr>
        <w:jc w:val="both"/>
        <w:ind w:left="180" w:firstLine="652"/>
        <w:spacing w:after="0" w:line="261" w:lineRule="auto"/>
        <w:tabs>
          <w:tab w:leader="none" w:pos="163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in respect of (i) any unfunded Term Commitment or any Revolving Credit Commitment if such assignment is to a Person that is not a Lender with a Commitment in respect of the applicable Facility, an Affiliate of such Lender or an Approved Fund with respect to such Lender or (ii) any Term Loan to a Person that is not a Lender, an Affiliate of a Lender or an Approved Fund; and</w:t>
      </w:r>
    </w:p>
    <w:p>
      <w:pPr>
        <w:spacing w:after="0" w:line="179" w:lineRule="exact"/>
        <w:rPr>
          <w:rFonts w:ascii="Times New Roman" w:cs="Times New Roman" w:eastAsia="Times New Roman" w:hAnsi="Times New Roman"/>
          <w:sz w:val="18"/>
          <w:szCs w:val="18"/>
          <w:color w:val="auto"/>
        </w:rPr>
      </w:pPr>
    </w:p>
    <w:p>
      <w:pPr>
        <w:ind w:left="180" w:firstLine="652"/>
        <w:spacing w:after="0" w:line="282" w:lineRule="auto"/>
        <w:tabs>
          <w:tab w:leader="none" w:pos="1643"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L/C Issuer and the Swing Line Lender (such consent not to be unreasonably withheld or delayed) shall be required for any assignment in respect of the Revolving Credit Facility.</w:t>
      </w:r>
    </w:p>
    <w:p>
      <w:pPr>
        <w:spacing w:after="0" w:line="15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21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Assignment and Assumption</w:t>
      </w:r>
      <w:r>
        <w:rPr>
          <w:rFonts w:ascii="Times New Roman" w:cs="Times New Roman" w:eastAsia="Times New Roman" w:hAnsi="Times New Roman"/>
          <w:sz w:val="18"/>
          <w:szCs w:val="18"/>
          <w:color w:val="auto"/>
        </w:rPr>
        <w:t>. The parties to each assignment shall execute and deliver to the Administrative Agent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Assignment and Assumption, together with a processing and recordation fee in the amount of $3,500;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Assignment to Certain Persons</w:t>
      </w:r>
      <w:r>
        <w:rPr>
          <w:rFonts w:ascii="Times New Roman" w:cs="Times New Roman" w:eastAsia="Times New Roman" w:hAnsi="Times New Roman"/>
          <w:sz w:val="18"/>
          <w:szCs w:val="18"/>
          <w:color w:val="auto"/>
        </w:rPr>
        <w:t>. No such assignment shall be made (A) to the Borrower or any of the Borrower’s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Subsidiaries,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a natural person).</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125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05" w:name="page206"/>
    <w:bookmarkEnd w:id="205"/>
    <w:p>
      <w:pPr>
        <w:jc w:val="both"/>
        <w:ind w:left="660" w:firstLine="644"/>
        <w:spacing w:after="0" w:line="253" w:lineRule="auto"/>
        <w:tabs>
          <w:tab w:leader="none" w:pos="2166"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3.04, 3.05 and 11.04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477"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Register</w:t>
      </w:r>
      <w:r>
        <w:rPr>
          <w:rFonts w:ascii="Times New Roman" w:cs="Times New Roman" w:eastAsia="Times New Roman" w:hAnsi="Times New Roman"/>
          <w:sz w:val="18"/>
          <w:szCs w:val="18"/>
          <w:color w:val="auto"/>
        </w:rPr>
        <w:t>. The Administrative Agent, acting solely for this purpose as an agent of the Borrower, shall maintain at the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(solely with respect to its own outstanding Loans and Commitments), at any reasonable time and from time to time upon reasonable prior notice.</w:t>
      </w:r>
    </w:p>
    <w:p>
      <w:pPr>
        <w:spacing w:after="0" w:line="182" w:lineRule="exact"/>
        <w:rPr>
          <w:rFonts w:ascii="Times New Roman" w:cs="Times New Roman" w:eastAsia="Times New Roman" w:hAnsi="Times New Roman"/>
          <w:sz w:val="18"/>
          <w:szCs w:val="18"/>
          <w:color w:val="auto"/>
        </w:rPr>
      </w:pPr>
    </w:p>
    <w:p>
      <w:pPr>
        <w:jc w:val="both"/>
        <w:ind w:firstLine="656"/>
        <w:spacing w:after="0" w:line="254" w:lineRule="auto"/>
        <w:tabs>
          <w:tab w:leader="none" w:pos="15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Participations</w:t>
      </w:r>
      <w:r>
        <w:rPr>
          <w:rFonts w:ascii="Times New Roman" w:cs="Times New Roman" w:eastAsia="Times New Roman" w:hAnsi="Times New Roman"/>
          <w:sz w:val="18"/>
          <w:szCs w:val="18"/>
          <w:color w:val="auto"/>
        </w:rPr>
        <w:t>. Any Lender may at any time, without the consent of, or notice to, the Borrower or the Administrative Agent,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participations to any Person (other than a natural Person (or a holding company, investment vehicle or trust for, or owned and operated for, the primary benefit of a natural person), a Defaulting Lender or the Borrower or any of the Borrower’s Affiliates or Subsidiaries) (each,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Section 11.04(c) without regard to the existence of any participation.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6" w:name="page207"/>
    <w:bookmarkEnd w:id="20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Section 11.01 that affects such Participant. The Borrower agrees that each Participant shall be entitled to the benefits of Sections 3.01, 3.04 and 3.05 to the same extent as if it were a Lender and had acquired its interest by assignment pursuant to subsection (b) of this Section (it being understood that the documentation required under Section 3.01(e) shall be delivered to the Lender who sells the participation) to the same extent as if it were a Lender and had acquired its interest by assignment pursuant to paragraph (b)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Participant (A) agrees to be subject to the provisions of Sections 3.06 and 11.13 as if it were an assignee under paragraph (b) of this Section and (B) shall not be entitled to receive any greater payment under Sections 3.01 or 3.04,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3.06 with respect to any Participant. To the extent permitted by law, each Participant also shall be entitled to the benefits of Section 11.08 as though it were a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Participant agrees to be subject to Section 2.13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4" w:lineRule="exact"/>
        <w:rPr>
          <w:sz w:val="20"/>
          <w:szCs w:val="20"/>
          <w:color w:val="auto"/>
        </w:rPr>
      </w:pPr>
    </w:p>
    <w:p>
      <w:pPr>
        <w:jc w:val="both"/>
        <w:ind w:firstLine="656"/>
        <w:spacing w:after="0" w:line="261" w:lineRule="auto"/>
        <w:tabs>
          <w:tab w:leader="none" w:pos="135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Pledges</w:t>
      </w:r>
      <w:r>
        <w:rPr>
          <w:rFonts w:ascii="Times New Roman" w:cs="Times New Roman" w:eastAsia="Times New Roman" w:hAnsi="Times New Roman"/>
          <w:sz w:val="18"/>
          <w:szCs w:val="18"/>
          <w:color w:val="auto"/>
        </w:rPr>
        <w:t>. Any Lender may at any time pledge or assign a security interest in all or any portion of its rights under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under its Note, if any) to secure obligations of such Lender, including any pledge or assignment to secure obligations to a Federal Reserve Bank;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pledge or assignment shall release such Lender from any of its obligations hereunder or substitute any such pledgee or assignee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7" w:name="page208"/>
    <w:bookmarkEnd w:id="207"/>
    <w:p>
      <w:pPr>
        <w:jc w:val="both"/>
        <w:ind w:firstLine="656"/>
        <w:spacing w:after="0" w:line="252" w:lineRule="auto"/>
        <w:tabs>
          <w:tab w:leader="none" w:pos="137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Resignation as L/C Issuer or Swing Line Lender after Assignment</w:t>
      </w:r>
      <w:r>
        <w:rPr>
          <w:rFonts w:ascii="Times New Roman" w:cs="Times New Roman" w:eastAsia="Times New Roman" w:hAnsi="Times New Roman"/>
          <w:sz w:val="18"/>
          <w:szCs w:val="18"/>
          <w:color w:val="auto"/>
        </w:rPr>
        <w:t>. Notwithstanding anything to the contrary contained herein, if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Bank of America assigns all of its Revolving Credit Commitment and Revolving Credit Loans pursuant to Section 11.06(b), Bank of America may, (i) upon 30 days’ notice to the Borrower and the Lenders, resign as L/C Issuer and/or (ii) upon 30 days’ notice to the Borrower, resign as Swing Line Lender. In the event of any such resignation as L/C Issuer or Swing Line Lender, the Borrower shall be entitled to appoint from among the Lenders a successor L/C Issuer or Swing Line Lender hereunder that agrees in its sole discretion to serve as L/C Issuer or Swing Line Lender,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failure by the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Section 2.03(c)).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Section 2.04(c).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i w:val="1"/>
          <w:iCs w:val="1"/>
          <w:color w:val="auto"/>
        </w:rPr>
        <w:t>Treatment of Certain Information; Confidentiality</w:t>
      </w:r>
      <w:r>
        <w:rPr>
          <w:rFonts w:ascii="Times New Roman" w:cs="Times New Roman" w:eastAsia="Times New Roman" w:hAnsi="Times New Roman"/>
          <w:sz w:val="18"/>
          <w:szCs w:val="18"/>
          <w:color w:val="auto"/>
        </w:rPr>
        <w:t>. Each of the Administrative Agent, the Lenders and the L/C Issuer agrees to maintain the confidentiality of the Information (as defined below), except that Information may be disclosed to (a) its Affiliates and to its Related Parties who need to know such Information (it being understood the Administrative Agent, such Lender or the L/C Issuer, as applicable, will (i) inform any Persons to whom such disclosure is made of the confidential nature of such Information and (ii) will be responsible for any breach of the terms hereof by any Persons to whom such disclosure is made), (b) to the extent required or requested by any regulatory authority purporting to have jurisdiction over such Person or its Related Parties (including any self-regulatory authority, such as the National Association of Insurance Commissioners), (c) pursuant to the order of any court or administrative agency or in any pending legal, judicial or administrative proceeding or to the extent required by applicable laws or compulsory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not materially less restrictive than those of this Section, which shall in any event require “click through” or other affirmative actions on the part of the recipient to access such information, to (i) any assignee of or Participant in, or any prospective assignee of or Participant in, any of its rights and obligations under this Agreement or any Eligible Assignee invited to become an Additional Lender pursuant to Section 2.14 or (ii) any actual or prospective direct or indirect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of other market identifiers with respect to the credit facilities provided hereunder, (h) to the extent such Information (i) becomes publicly available other than as a result of a breach of this Section or any other confidentiality obligation to the Borrower with respect to such Information or (ii) becomes available to the Administrative Agent, any Lender, the L/C Issuer or any of their respective Affiliates from a source other than the Borrower that is not, to the Administrative Agent’s knowledge, subject to a confidentiality obligation to the Borrower with respect to such Information or (i) for purposes of establishing a “due diligence” defense.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8" w:name="page209"/>
    <w:bookmarkEnd w:id="20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“Information”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i w:val="1"/>
          <w:iCs w:val="1"/>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then due and owing by such Lender, the L/C Issuer or any such Affiliate to or for the credit or the account of any Loan Party against any and all of the obligations of such Loan Party then due and owing under this Agreement or any other Loan Document to such Lender or the L/C Issuer, irrespective of whether or not such Lender or the L/C Issuer shall have made any demand under this Agreement or any other Loan Document and although such obligations of such Loan Party are owed to a branch or office or Affiliate of such Lender or the L/C Issuer different from the branch, office or Affiliate holding such deposit or obligated on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2.16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9" w:name="page210"/>
    <w:bookmarkEnd w:id="20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i w:val="1"/>
          <w:iCs w:val="1"/>
          <w:color w:val="auto"/>
        </w:rPr>
        <w:t>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8"/>
          <w:szCs w:val="18"/>
          <w:b w:val="1"/>
          <w:bCs w:val="1"/>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8"/>
          <w:szCs w:val="18"/>
          <w:color w:val="auto"/>
        </w:rPr>
        <w:t>”). If the Administrative Agent or any Lender shall receive interest in an amount that exceeds the Maximum Rate, the excess interest shall be applied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i w:val="1"/>
          <w:iCs w:val="1"/>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(e.g. “pdf” or “tif”) shall be effective as delivery of a manually executed counterpart of this Agreement.</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i w:val="1"/>
          <w:iCs w:val="1"/>
          <w:color w:val="auto"/>
        </w:rPr>
        <w:t>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2"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11.12.</w:t>
      </w:r>
      <w:r>
        <w:rPr>
          <w:sz w:val="20"/>
          <w:szCs w:val="20"/>
          <w:color w:val="auto"/>
        </w:rPr>
        <w:tab/>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this Agreement or the other Loan Documents is held to be illegal, invalid or unenforceable,</w:t>
      </w:r>
    </w:p>
    <w:p>
      <w:pPr>
        <w:spacing w:after="0" w:line="29" w:lineRule="exact"/>
        <w:rPr>
          <w:sz w:val="20"/>
          <w:szCs w:val="20"/>
          <w:color w:val="auto"/>
        </w:rPr>
      </w:pPr>
    </w:p>
    <w:p>
      <w:pPr>
        <w:jc w:val="both"/>
        <w:ind w:firstLine="8"/>
        <w:spacing w:after="0" w:line="252" w:lineRule="auto"/>
        <w:tabs>
          <w:tab w:leader="none" w:pos="25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11.12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10" w:name="page211"/>
    <w:bookmarkEnd w:id="21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i w:val="1"/>
          <w:iCs w:val="1"/>
          <w:color w:val="auto"/>
        </w:rPr>
        <w:t>Replacement of Lenders</w:t>
      </w:r>
      <w:r>
        <w:rPr>
          <w:rFonts w:ascii="Times New Roman" w:cs="Times New Roman" w:eastAsia="Times New Roman" w:hAnsi="Times New Roman"/>
          <w:sz w:val="18"/>
          <w:szCs w:val="18"/>
          <w:color w:val="auto"/>
        </w:rPr>
        <w:t xml:space="preserve">. If the Borrower is entitled to replace a Lender pursuant to the provisions of Section 3.06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Section 11.06), all of its interests, rights (other than its existing rights to payments pursuant to Sections 3.01 and 3.04)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4" w:lineRule="exact"/>
        <w:rPr>
          <w:sz w:val="20"/>
          <w:szCs w:val="20"/>
          <w:color w:val="auto"/>
        </w:rPr>
      </w:pPr>
    </w:p>
    <w:p>
      <w:pPr>
        <w:ind w:left="1360" w:hanging="704"/>
        <w:spacing w:after="0"/>
        <w:tabs>
          <w:tab w:leader="none" w:pos="13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to the Administrative Agent the assignment fee (if any) specified in Section 11.06(b);</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3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have received payment of an amount equal to the outstanding principal of its Loans and L/C Advances, accrued interest thereon, accrued fees and all other amounts payable to it hereunder and under the other Loan Documents (including any amounts under Section 3.05) from the assignee (to the extent of such outstanding principal and accrued interest and fees) or the Borrower (in the case of all other amounts);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56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claim for compensation under Section 3.04 or payments required to be made pursuant to Section 3.01, such assignment will result in a reduction in such compensation or payments thereafter;</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 and</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40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resulting from a Lender becoming a Non-Consenting Lender, the applicable assignee shall have consented to the applicable amendment, waiver or consent.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 Notwithstanding anything herein to the contrary, each party hereto agrees that any assignment pursuant to the terms of this Section 11.13 may be effected pursuant to an Assignment and Assumption executed by the Borrower, the Administrative Agent, and the assignee and that the Lender making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further that any such documents shall be without recourse to or warranty by the parties thereto.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11" w:name="page212"/>
    <w:bookmarkEnd w:id="2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in this Section 11.13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in its capacity as Administrative Agent except in accordance with the terms of Section 9.06.</w:t>
      </w:r>
    </w:p>
    <w:p>
      <w:pPr>
        <w:spacing w:after="0" w:line="185"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11.14.</w:t>
      </w:r>
      <w:r>
        <w:rPr>
          <w:sz w:val="20"/>
          <w:szCs w:val="20"/>
          <w:color w:val="auto"/>
        </w:rPr>
        <w:tab/>
      </w:r>
      <w:r>
        <w:rPr>
          <w:rFonts w:ascii="Times New Roman" w:cs="Times New Roman" w:eastAsia="Times New Roman" w:hAnsi="Times New Roman"/>
          <w:sz w:val="17"/>
          <w:szCs w:val="17"/>
          <w:i w:val="1"/>
          <w:iCs w:val="1"/>
          <w:color w:val="auto"/>
        </w:rPr>
        <w:t>Governing Law; Jurisdiction; Etc.</w:t>
      </w:r>
    </w:p>
    <w:p>
      <w:pPr>
        <w:spacing w:after="0" w:line="227" w:lineRule="exact"/>
        <w:rPr>
          <w:sz w:val="20"/>
          <w:szCs w:val="20"/>
          <w:color w:val="auto"/>
        </w:rPr>
      </w:pPr>
    </w:p>
    <w:p>
      <w:pPr>
        <w:jc w:val="both"/>
        <w:ind w:firstLine="656"/>
        <w:spacing w:after="0" w:line="258" w:lineRule="auto"/>
        <w:tabs>
          <w:tab w:leader="none" w:pos="139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48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JURISDICTION. EACH PARTY HERETO IRREVOCABLY AND UNCONDITIONALLY AGREES THAT IT WILL NOT COMMENCE ANY ACTION, LITIGATION OR PROCEEDING OF ANY KIND OR DESCRIPTION, WHETHER IN LAW OR EQUITY, WHETHER IN CONTRACT OR IN TORT OR OTHERWISE,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PARTY HERETO MAY OTHERWISE HAVE TO BRING ANY ACTION OR PROCEEDING RELATING TO THIS AGREEMENT OR ANY OTHER LOAN DOCUMENT AGAINST ANY OTHER PARTY OR ITS PROPERTIES IN THE COURTS OF ANY JURISDICTION.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2" w:name="page213"/>
    <w:bookmarkEnd w:id="212"/>
    <w:p>
      <w:pPr>
        <w:jc w:val="both"/>
        <w:ind w:firstLine="656"/>
        <w:spacing w:after="0" w:line="257" w:lineRule="auto"/>
        <w:tabs>
          <w:tab w:leader="none" w:pos="163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VENUE</w:t>
      </w:r>
      <w:r>
        <w:rPr>
          <w:rFonts w:ascii="Times New Roman" w:cs="Times New Roman" w:eastAsia="Times New Roman" w:hAnsi="Times New Roman"/>
          <w:sz w:val="18"/>
          <w:szCs w:val="18"/>
          <w:color w:val="auto"/>
        </w:rPr>
        <w:t>. EACH PARTY HERETO IRREVOCABLY AND UNCONDITIONALLY WAIVES, TO THE FULLEST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PERMITTED BY APPLICABLE LAW, ANY OBJECTION THAT IT MAY NOW OR HEREAFTER HAVE TO THE LAYING OF VENUE OF ANY ACTION OR PROCEEDING ARISING OUT OF OR RELATING TO THIS AGREEMENT OR ANY OTHER LOAN DOCUMENT IN ANY COURT REFERRED TO IN PARAGRAPH (D) OF THIS SECTION. EACH OF THE PARTIES HERETO HEREBY IRREVOCABLY WAIVES, TO THE FULLEST EXTENT PERMITTED BY APPLICABLE LAW, THE DEFENSE OF AN INCONVENIENT FORUM TO THE MAINTENANCE OF SUCH ACTION OR PROCEEDING IN ANY SUCH COURT.</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 OF PROCESS</w:t>
      </w:r>
      <w:r>
        <w:rPr>
          <w:rFonts w:ascii="Times New Roman" w:cs="Times New Roman" w:eastAsia="Times New Roman" w:hAnsi="Times New Roman"/>
          <w:sz w:val="18"/>
          <w:szCs w:val="18"/>
          <w:color w:val="auto"/>
        </w:rPr>
        <w:t>. EACH PARTY HERETO IRREVOCABLY CONSENTS TO SERVICE OF PROCESS IN THE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FOR NOTICES IN SECTION 11.02. NOTHING IN THIS AGREEMENT WILL AFFECT THE RIGHT OF ANY PARTY HERETO TO SERVE PROCESS IN ANY OTHER MANNER PERMITTED BY APPLICABLE LAW.</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1" w:lineRule="exact"/>
        <w:rPr>
          <w:sz w:val="20"/>
          <w:szCs w:val="20"/>
          <w:color w:val="auto"/>
        </w:rPr>
      </w:pPr>
    </w:p>
    <w:p>
      <w:pPr>
        <w:jc w:val="both"/>
        <w:ind w:firstLine="8"/>
        <w:spacing w:after="0" w:line="253" w:lineRule="auto"/>
        <w:tabs>
          <w:tab w:leader="none" w:pos="33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i w:val="1"/>
          <w:iCs w:val="1"/>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each of the Loan Parties acknowledges and agrees that: (i) (A) the arranging and other services regarding this Agreement provided by the Administrative Agent, the Arrangers and the Lenders are arm’s-length commercial transactions between the Loan Parties, on the one hand, and the Administrative Agent, the Arrangers and the Lenders, on the other hand, (B) each of the Loan Parties has consulted its own legal, accounting, regulatory and tax advisors to the extent it has deemed appropriate, and</w:t>
      </w:r>
    </w:p>
    <w:p>
      <w:pPr>
        <w:spacing w:after="0" w:line="1" w:lineRule="exact"/>
        <w:rPr>
          <w:sz w:val="20"/>
          <w:szCs w:val="20"/>
          <w:color w:val="auto"/>
        </w:rPr>
      </w:pPr>
    </w:p>
    <w:p>
      <w:pPr>
        <w:jc w:val="both"/>
        <w:ind w:firstLine="8"/>
        <w:spacing w:after="0" w:line="251" w:lineRule="auto"/>
        <w:tabs>
          <w:tab w:leader="none" w:pos="29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any Loan Party or any other Person and (B) neither the Administrative Agent, the Arrangers nor any Lender has any obligation to any Loan Party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Loan Parties, and neither the Administrative Agent, the Arrangers nor any Lender has any obligation to disclose any of such interests to any Loan Party. To the fullest extent permitted by law, each Loan Party hereby agrees that it will not claim any breach or alleged breach of agency or fiduciary duty by the Administrative Agent, the Arrangers or the Lenders in connection with any aspect of any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13" w:name="page214"/>
    <w:bookmarkEnd w:id="21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i w:val="1"/>
          <w:iCs w:val="1"/>
          <w:color w:val="auto"/>
        </w:rPr>
        <w:t>Electronic Execution of Assignments and Certain Other Documents</w:t>
      </w:r>
      <w:r>
        <w:rPr>
          <w:rFonts w:ascii="Times New Roman" w:cs="Times New Roman" w:eastAsia="Times New Roman" w:hAnsi="Times New Roman"/>
          <w:sz w:val="18"/>
          <w:szCs w:val="18"/>
          <w:color w:val="auto"/>
        </w:rPr>
        <w:t>. The words “execution,” “execute”, “signed,” “signature,” and words of like import in or related to any document to be signed in connection with this Agreement and the transactions contemplated hereby (including without limitation Assignment and Assumptions, amendments or other Committed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11.18.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Each Lender that is subject to the Patriot Act and the Administrative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The Loan Parties shall, promptly following a request by the Administrative Agent or any Lender, provide all documentation and other information that the Administrative Agent or such Lender reasonably requests in order to comply with its ongoing obligations under applicable “know your customer” and anti-money laundering rules and regulations, including the Patriot Act.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11.19.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 “</w:t>
      </w:r>
      <w:r>
        <w:rPr>
          <w:rFonts w:ascii="Times New Roman" w:cs="Times New Roman" w:eastAsia="Times New Roman" w:hAnsi="Times New Roman"/>
          <w:sz w:val="18"/>
          <w:szCs w:val="18"/>
          <w:b w:val="1"/>
          <w:bCs w:val="1"/>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14" w:name="page215"/>
    <w:bookmarkEnd w:id="214"/>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11.20.</w:t>
      </w:r>
      <w:r>
        <w:rPr>
          <w:sz w:val="20"/>
          <w:szCs w:val="20"/>
          <w:color w:val="auto"/>
        </w:rPr>
        <w:tab/>
      </w:r>
      <w:r>
        <w:rPr>
          <w:rFonts w:ascii="Times New Roman" w:cs="Times New Roman" w:eastAsia="Times New Roman" w:hAnsi="Times New Roman"/>
          <w:sz w:val="18"/>
          <w:szCs w:val="18"/>
          <w:i w:val="1"/>
          <w:iCs w:val="1"/>
          <w:color w:val="auto"/>
        </w:rPr>
        <w:t>Release of Collateral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4" w:lineRule="auto"/>
        <w:tabs>
          <w:tab w:leader="none" w:pos="153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Lien on any property granted to or held by the Administrative Agent under any Loan Document (x) shall be automatically released (A) upon Payment in Full, (B) if such property is sold or otherwise Disposed of or to be sold or otherwise Disposed of as part of or in connection with any sale or other Disposition permitted hereunder or under any other Loan Document to a Person that is not a Loan Party, (C) if such property constitutes or becomes “Excluded Collateral” (as such term is defined in the Pledge Agreement) and (D) to the extent such property is leased to a Loan Party by a Person that is not a Loan Party, upon termination or expiration of such lease and (y) shall be released by the Administrative Agent if approved, authorized or ratified in writing in accordance with Section 11.01;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clause (x)(B), the Borrower shall have delivered to the Administrative Agent a certificate in form and substance reasonably satisfactory to the Administrative Agent, certifying that the transaction is permitted by this Agreement or any other Loan Document, as applicable;</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2112"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Guarantor shall be automatically released from its obligations under the Guaranty (and any Lien on any property of such Guarantor granted to or held by the Administrative Agent under any Loan Document shall automatically be released) if such Person ceases to be a Subsidiary or becomes an Excluded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Guarantor becomes an Excluded Subsidiary of the type described in clause</w:t>
      </w:r>
    </w:p>
    <w:p>
      <w:pPr>
        <w:spacing w:after="0" w:line="1"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887"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thereof,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release and the consummation of the transaction that causes such Person to be an Excluded Subsidiary of such type, the Borrower shall be deemed to have made a new Investment in such Person for purposes of Section 7.03 (as if such Person were then newly acquired) and such release shall occur only if such Investment is permitted hereunder at such time; and</w:t>
      </w:r>
    </w:p>
    <w:p>
      <w:pPr>
        <w:spacing w:after="0" w:line="186" w:lineRule="exact"/>
        <w:rPr>
          <w:sz w:val="20"/>
          <w:szCs w:val="20"/>
          <w:color w:val="auto"/>
        </w:rPr>
      </w:pPr>
    </w:p>
    <w:p>
      <w:pPr>
        <w:ind w:left="660" w:firstLine="644"/>
        <w:spacing w:after="0" w:line="282" w:lineRule="auto"/>
        <w:tabs>
          <w:tab w:leader="none" w:pos="208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subordinate any Lien on any property granted to or held by the Administrative Agent under any Loan Document to the holder of any Lien on such property that is permitted by Section 7.01(i).</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50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as specified in this Section 11.20,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Section 11.20.</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3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15" w:name="page216"/>
    <w:bookmarkEnd w:id="21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11.21. </w:t>
      </w:r>
      <w:r>
        <w:rPr>
          <w:rFonts w:ascii="Times New Roman" w:cs="Times New Roman" w:eastAsia="Times New Roman" w:hAnsi="Times New Roman"/>
          <w:sz w:val="18"/>
          <w:szCs w:val="18"/>
          <w:i w:val="1"/>
          <w:iCs w:val="1"/>
          <w:color w:val="auto"/>
        </w:rPr>
        <w:t>Acknowledgment and Consent to Bail-In of Affected Financial Institutions</w:t>
      </w:r>
      <w:r>
        <w:rPr>
          <w:rFonts w:ascii="Times New Roman" w:cs="Times New Roman" w:eastAsia="Times New Roman" w:hAnsi="Times New Roman"/>
          <w:sz w:val="18"/>
          <w:szCs w:val="18"/>
          <w:color w:val="auto"/>
        </w:rPr>
        <w:t>. 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5" w:lineRule="exact"/>
        <w:rPr>
          <w:sz w:val="20"/>
          <w:szCs w:val="20"/>
          <w:color w:val="auto"/>
        </w:rPr>
      </w:pPr>
    </w:p>
    <w:p>
      <w:pPr>
        <w:ind w:firstLine="656"/>
        <w:spacing w:after="0" w:line="282" w:lineRule="auto"/>
        <w:tabs>
          <w:tab w:leader="none" w:pos="160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96"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16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0"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11.22.</w:t>
      </w:r>
      <w:r>
        <w:rPr>
          <w:sz w:val="20"/>
          <w:szCs w:val="20"/>
          <w:color w:val="auto"/>
        </w:rPr>
        <w:tab/>
      </w:r>
      <w:r>
        <w:rPr>
          <w:rFonts w:ascii="Times New Roman" w:cs="Times New Roman" w:eastAsia="Times New Roman" w:hAnsi="Times New Roman"/>
          <w:sz w:val="17"/>
          <w:szCs w:val="17"/>
          <w:i w:val="1"/>
          <w:iCs w:val="1"/>
          <w:color w:val="auto"/>
        </w:rPr>
        <w:t>Certain ERISA Matters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61" w:lineRule="auto"/>
        <w:tabs>
          <w:tab w:leader="none" w:pos="14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reliance by the Borrower, that at least one of the following is and will be true:</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214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the Letters of Credit or the Commitments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16" w:name="page217"/>
    <w:bookmarkEnd w:id="216"/>
    <w:p>
      <w:pPr>
        <w:jc w:val="both"/>
        <w:ind w:left="660" w:firstLine="644"/>
        <w:spacing w:after="0" w:line="255" w:lineRule="auto"/>
        <w:tabs>
          <w:tab w:leader="none" w:pos="226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and the conditions for exemptive relief thereunder are and will continue to be satisfied in connection therewith,</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2127"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8"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177"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35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reliance by the Borrower, that none of the Administrative Agent, any of the Arrangers or any of their respective Affiliates is a fiduciary with respect to the assets of such Lender involved in the Loans, the Commitments and this Agreement (including in connection with the reservation or exercise of any rights by the Administrative Agent under this Agreement, any of the other Loan Documents or any documents related to hereto or thereto).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7" w:name="page218"/>
    <w:bookmarkEnd w:id="2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11.23. </w:t>
      </w:r>
      <w:r>
        <w:rPr>
          <w:rFonts w:ascii="Times New Roman" w:cs="Times New Roman" w:eastAsia="Times New Roman" w:hAnsi="Times New Roman"/>
          <w:sz w:val="18"/>
          <w:szCs w:val="18"/>
          <w:i w:val="1"/>
          <w:iCs w:val="1"/>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Swap Contract or any other agreement or instrument that is a QFC (such support,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1" w:lineRule="exact"/>
        <w:rPr>
          <w:sz w:val="20"/>
          <w:szCs w:val="20"/>
          <w:color w:val="auto"/>
        </w:rPr>
      </w:pPr>
    </w:p>
    <w:p>
      <w:pPr>
        <w:jc w:val="both"/>
        <w:ind w:firstLine="656"/>
        <w:spacing w:after="0" w:line="254" w:lineRule="auto"/>
        <w:tabs>
          <w:tab w:leader="none" w:pos="136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6"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11.23,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 of such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18" w:name="page219"/>
    <w:bookmarkEnd w:id="218"/>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xml:space="preserve"> has the meaning assigned to that term in, and shall be interpreted in accordance with, 12 C.F.R. §§ 252.81, 47.2 or 382.1, as applicable.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OMNIBUS INCENTIVE PLAN,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Restricted Stock Unit Agreement, Participant’s award information (the “Award Summary”), which can be accessed on the Fidelity website (currently www.fidelity.com) or the website of such other stock plan administrator(s) that the Company may select in the future, and the Appendix for Participant’s country contained in this agreement, if any, (collectively, this “Agreement”) set forth the terms and conditions of the Restricted Stock Units granted to Participant under the Nu Skin Enterprises, Inc. 2024 Omnibus Incentive Plan, as it may be amended from time to time (the “Plan”). In the event of a conflict between (i) the terms and conditions of the Plan; and (ii) the terms and conditions of this Agreement, the terms and conditions of the Plan shall prevail. Unless otherwise defined herein, the capitalized terms in this Agreement shall have the same defined meaning assigned to them in the Plan.</w:t>
      </w:r>
    </w:p>
    <w:p>
      <w:pPr>
        <w:spacing w:after="0" w:line="183" w:lineRule="exact"/>
        <w:rPr>
          <w:sz w:val="20"/>
          <w:szCs w:val="20"/>
          <w:color w:val="auto"/>
        </w:rPr>
      </w:pPr>
    </w:p>
    <w:p>
      <w:pPr>
        <w:ind w:left="340" w:hanging="332"/>
        <w:spacing w:after="0"/>
        <w:tabs>
          <w:tab w:leader="none" w:pos="3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Restricted Stock Units.</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1288"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Grant of Restricted Stock Units. </w:t>
      </w:r>
      <w:r>
        <w:rPr>
          <w:rFonts w:ascii="Times New Roman" w:cs="Times New Roman" w:eastAsia="Times New Roman" w:hAnsi="Times New Roman"/>
          <w:sz w:val="18"/>
          <w:szCs w:val="18"/>
          <w:color w:val="auto"/>
        </w:rPr>
        <w:t>Effective as of the date of grant specified in the Award Summary (the “Grant Date”),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grants to Participant an award of the number of Restricted Stock Units specified in the Award Summary. Each Restricted Stock Unit is a bookkeeping entry representing the Company’s unfunded promise to deliver one Share on the terms provided herein and in the Plan.</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434"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of Restricted Stock Units</w:t>
      </w:r>
      <w:r>
        <w:rPr>
          <w:rFonts w:ascii="Times New Roman" w:cs="Times New Roman" w:eastAsia="Times New Roman" w:hAnsi="Times New Roman"/>
          <w:sz w:val="18"/>
          <w:szCs w:val="18"/>
          <w:color w:val="auto"/>
        </w:rPr>
        <w:t>. The Restricted Stock Units shall vest on the dates (the “Vesting Dates”) and in the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determined by the Committee and set forth in the Award Summary, except as otherwise provided in this Agreement, including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Continuous Service.</w:t>
      </w:r>
    </w:p>
    <w:p>
      <w:pPr>
        <w:spacing w:after="0" w:line="229" w:lineRule="exact"/>
        <w:rPr>
          <w:rFonts w:ascii="Times New Roman" w:cs="Times New Roman" w:eastAsia="Times New Roman" w:hAnsi="Times New Roman"/>
          <w:sz w:val="18"/>
          <w:szCs w:val="18"/>
          <w:color w:val="auto"/>
        </w:rPr>
      </w:pPr>
    </w:p>
    <w:p>
      <w:pPr>
        <w:jc w:val="both"/>
        <w:ind w:left="980" w:firstLine="324"/>
        <w:spacing w:after="0" w:line="261" w:lineRule="auto"/>
        <w:tabs>
          <w:tab w:leader="none" w:pos="2006"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Participant’s Continuous Service (as defined in </w:t>
      </w:r>
      <w:r>
        <w:rPr>
          <w:rFonts w:ascii="Times New Roman" w:cs="Times New Roman" w:eastAsia="Times New Roman" w:hAnsi="Times New Roman"/>
          <w:sz w:val="18"/>
          <w:szCs w:val="18"/>
          <w:u w:val="single" w:color="auto"/>
          <w:color w:val="auto"/>
        </w:rPr>
        <w:t>Section 1(g)(ii)</w:t>
      </w:r>
      <w:r>
        <w:rPr>
          <w:rFonts w:ascii="Times New Roman" w:cs="Times New Roman" w:eastAsia="Times New Roman" w:hAnsi="Times New Roman"/>
          <w:sz w:val="18"/>
          <w:szCs w:val="18"/>
          <w:color w:val="auto"/>
        </w:rPr>
        <w:t xml:space="preserve"> below) is terminated for any reason prior to the full vesting of the Restricted Stock Units, the Restricted Stock Units granted hereunder shall be canceled to the extent they are not vested as of the termination of Participant’s Continuous Service, as determined in accordance with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below, and Participant shall not have any right to receive any Shares subject to such unvested Restricted Stock Units.</w:t>
      </w:r>
    </w:p>
    <w:p>
      <w:pPr>
        <w:spacing w:after="0" w:line="179" w:lineRule="exact"/>
        <w:rPr>
          <w:rFonts w:ascii="Times New Roman" w:cs="Times New Roman" w:eastAsia="Times New Roman" w:hAnsi="Times New Roman"/>
          <w:sz w:val="18"/>
          <w:szCs w:val="18"/>
          <w:color w:val="auto"/>
        </w:rPr>
      </w:pPr>
    </w:p>
    <w:p>
      <w:pPr>
        <w:jc w:val="both"/>
        <w:ind w:left="980" w:firstLine="324"/>
        <w:spacing w:after="0" w:line="255" w:lineRule="auto"/>
        <w:tabs>
          <w:tab w:leader="none" w:pos="1984"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Continuous Service shall not be deemed to have terminated merely because of a change in the capacity in which Participant renders service to the Company or a Subsidiary as an Employee, Consultant, or Director, or a change in the entity for which Participant renders such service, provided that there is no interruption or termination of Participant’s Continuous Service. For example, a change in status from an Employee of the Company to a Consultant of a Subsidiary or a Director will not constitute an interruption of Continuous Service. Subject to the requirements of applicable law, the Committee, in its sole discretion, shall determine whether Continuous Service shall be considered interrupted in the case of any leave of absence approved by the Company or a Subsidiary, including sick leave, military leave or any other personal leave.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20" w:name="page221"/>
    <w:bookmarkEnd w:id="220"/>
    <w:p>
      <w:pPr>
        <w:ind w:left="1300" w:hanging="66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Restricted Stock Units.</w:t>
      </w:r>
    </w:p>
    <w:p>
      <w:pPr>
        <w:spacing w:after="0" w:line="229" w:lineRule="exact"/>
        <w:rPr>
          <w:rFonts w:ascii="Times New Roman" w:cs="Times New Roman" w:eastAsia="Times New Roman" w:hAnsi="Times New Roman"/>
          <w:sz w:val="18"/>
          <w:szCs w:val="18"/>
          <w:color w:val="auto"/>
        </w:rPr>
      </w:pPr>
    </w:p>
    <w:p>
      <w:pPr>
        <w:ind w:left="960" w:right="20" w:firstLine="324"/>
        <w:spacing w:after="0" w:line="282" w:lineRule="auto"/>
        <w:tabs>
          <w:tab w:leader="none" w:pos="196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the Plan and this Agreement, Restricted Stock Units shall be settled in Shares, provided that Participant has satisfied any Tax-Related Items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below.</w:t>
      </w:r>
    </w:p>
    <w:p>
      <w:pPr>
        <w:spacing w:after="0" w:line="161" w:lineRule="exact"/>
        <w:rPr>
          <w:rFonts w:ascii="Times New Roman" w:cs="Times New Roman" w:eastAsia="Times New Roman" w:hAnsi="Times New Roman"/>
          <w:sz w:val="18"/>
          <w:szCs w:val="18"/>
          <w:color w:val="auto"/>
        </w:rPr>
      </w:pPr>
    </w:p>
    <w:p>
      <w:pPr>
        <w:jc w:val="both"/>
        <w:ind w:left="960" w:firstLine="324"/>
        <w:spacing w:after="0" w:line="266" w:lineRule="auto"/>
        <w:tabs>
          <w:tab w:leader="none" w:pos="2092"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will be issued to Participant within 70 days following the applicable Vesting Date; provided, however, that if the Participant is a “United States person” as defined in Section 7701(a)(30) of the Internal Revenue Code of 1986, as amended, (a “U.S. Taxpayer”) holding Section 409A Change of Control Units, the Shares will be issued in accordance with the following schedule:</w:t>
      </w:r>
    </w:p>
    <w:p>
      <w:pPr>
        <w:spacing w:after="0" w:line="175" w:lineRule="exact"/>
        <w:rPr>
          <w:rFonts w:ascii="Times New Roman" w:cs="Times New Roman" w:eastAsia="Times New Roman" w:hAnsi="Times New Roman"/>
          <w:sz w:val="18"/>
          <w:szCs w:val="18"/>
          <w:color w:val="auto"/>
        </w:rPr>
      </w:pPr>
    </w:p>
    <w:p>
      <w:pPr>
        <w:ind w:left="960" w:right="80" w:firstLine="972"/>
        <w:spacing w:after="0" w:line="258" w:lineRule="auto"/>
        <w:tabs>
          <w:tab w:leader="none" w:pos="2632"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event giving rise to the vesting acceleration occurs prior to the Change in Control and the Change in Control constitutes a “change in control event” (within the meaning of U.S. Treasury Regulation 1.409A-3(i)(5)(i)) (a “409A CIC”), the Shares will be issued on the date of the Change in Control, and if the Change in Control does not constitute a 409A CIC, the Shares will be issued on the date that is six months following the Participant’s “separation from service” (within the meaning of Code Section 409A) (a “Separation from Service”); and</w:t>
      </w:r>
    </w:p>
    <w:p>
      <w:pPr>
        <w:spacing w:after="0" w:line="183" w:lineRule="exact"/>
        <w:rPr>
          <w:rFonts w:ascii="Times New Roman" w:cs="Times New Roman" w:eastAsia="Times New Roman" w:hAnsi="Times New Roman"/>
          <w:sz w:val="18"/>
          <w:szCs w:val="18"/>
          <w:color w:val="auto"/>
        </w:rPr>
      </w:pPr>
    </w:p>
    <w:p>
      <w:pPr>
        <w:ind w:left="960" w:right="80" w:firstLine="972"/>
        <w:spacing w:after="0" w:line="261" w:lineRule="auto"/>
        <w:tabs>
          <w:tab w:leader="none" w:pos="2622"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event giving rise to the vesting acceleration occurs on or following the Change in Control and the Change in Control constitutes a 409A CIC, then the Shares will be issued within 30 days following the Participant’s Separation from Service, and if the Change in Control is not a 409A CIC, then the Shares will be issued on the date that is six months following the Participant’s Separation from Service.</w:t>
      </w:r>
    </w:p>
    <w:p>
      <w:pPr>
        <w:spacing w:after="0" w:line="179" w:lineRule="exact"/>
        <w:rPr>
          <w:rFonts w:ascii="Times New Roman" w:cs="Times New Roman" w:eastAsia="Times New Roman" w:hAnsi="Times New Roman"/>
          <w:sz w:val="18"/>
          <w:szCs w:val="18"/>
          <w:color w:val="auto"/>
        </w:rPr>
      </w:pPr>
    </w:p>
    <w:p>
      <w:pPr>
        <w:jc w:val="both"/>
        <w:ind w:left="960" w:firstLine="324"/>
        <w:spacing w:after="0" w:line="255" w:lineRule="auto"/>
        <w:tabs>
          <w:tab w:leader="none" w:pos="1888"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for purposes of complying with Code Section 409A, if the Participant is a U.S. Taxpayer holding Section 409A Change of Control Units, (A) the Company and the Participant shall take all steps necessary (including with regard to any post-termination services by the Participant) to ensure that a termination contemplated under </w:t>
      </w:r>
      <w:r>
        <w:rPr>
          <w:rFonts w:ascii="Times New Roman" w:cs="Times New Roman" w:eastAsia="Times New Roman" w:hAnsi="Times New Roman"/>
          <w:sz w:val="18"/>
          <w:szCs w:val="18"/>
          <w:u w:val="single" w:color="auto"/>
          <w:color w:val="auto"/>
        </w:rPr>
        <w:t>Section 1(f)</w:t>
      </w:r>
      <w:r>
        <w:rPr>
          <w:rFonts w:ascii="Times New Roman" w:cs="Times New Roman" w:eastAsia="Times New Roman" w:hAnsi="Times New Roman"/>
          <w:sz w:val="18"/>
          <w:szCs w:val="18"/>
          <w:color w:val="auto"/>
        </w:rPr>
        <w:t xml:space="preserve"> constitutes a Separation from Service; and (B) to the extent such Participant is a “specified employee” within the meaning of Code Section 409A, on the date the Participant experiences a Separation from Service, the Shares will be issued on the first business day of the seventh month following the Participant’s Separation from Service, or, if earlier, on the date of the Participant’s death, to the extent such delayed payment is required in order to avoid a prohibited distribution under Code Section 409A.</w:t>
      </w:r>
    </w:p>
    <w:p>
      <w:pPr>
        <w:spacing w:after="0" w:line="184" w:lineRule="exact"/>
        <w:rPr>
          <w:rFonts w:ascii="Times New Roman" w:cs="Times New Roman" w:eastAsia="Times New Roman" w:hAnsi="Times New Roman"/>
          <w:sz w:val="18"/>
          <w:szCs w:val="18"/>
          <w:color w:val="auto"/>
        </w:rPr>
      </w:pPr>
    </w:p>
    <w:p>
      <w:pPr>
        <w:jc w:val="both"/>
        <w:ind w:left="-20" w:firstLine="656"/>
        <w:spacing w:after="0" w:line="268" w:lineRule="auto"/>
        <w:tabs>
          <w:tab w:leader="none" w:pos="125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Unless and until Shares are issued by the Company after the Vesting Date, Participant shall have none of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privileges of a shareholder of the Company (including voting, dividend and liquidation rights) with respect to the Shares covered by the Restricted Stock Units.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221" w:name="page222"/>
    <w:bookmarkEnd w:id="221"/>
    <w:p>
      <w:pPr>
        <w:jc w:val="both"/>
        <w:ind w:left="-20" w:firstLine="656"/>
        <w:spacing w:after="0" w:line="262" w:lineRule="auto"/>
        <w:tabs>
          <w:tab w:leader="none" w:pos="133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Notwithstanding any provision in this Agreement to the contrary, if, within six months prior to and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Change in Control or within two years following such Change in Control, Participant’s employment is terminated (i) by the Company and its Subsidiaries without Cause, or (ii) by Participant for Good Reason, the vesting of the Restricted Stock Units governed by this Agreement shall be accelerated such that all such Restricted Stock Units shall be deemed to be vested in full immediately prior to the termination of Participant’s employment.</w:t>
      </w:r>
    </w:p>
    <w:p>
      <w:pPr>
        <w:spacing w:after="0" w:line="176"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Defined Terms</w:t>
      </w:r>
      <w:r>
        <w:rPr>
          <w:rFonts w:ascii="Times New Roman" w:cs="Times New Roman" w:eastAsia="Times New Roman" w:hAnsi="Times New Roman"/>
          <w:sz w:val="18"/>
          <w:szCs w:val="18"/>
          <w:color w:val="auto"/>
        </w:rPr>
        <w:t>. For purposes of this Agreement:</w:t>
      </w:r>
    </w:p>
    <w:p>
      <w:pPr>
        <w:spacing w:after="0" w:line="229" w:lineRule="exact"/>
        <w:rPr>
          <w:rFonts w:ascii="Times New Roman" w:cs="Times New Roman" w:eastAsia="Times New Roman" w:hAnsi="Times New Roman"/>
          <w:sz w:val="18"/>
          <w:szCs w:val="18"/>
          <w:color w:val="auto"/>
        </w:rPr>
      </w:pPr>
    </w:p>
    <w:p>
      <w:pPr>
        <w:ind w:left="1900" w:hanging="616"/>
        <w:spacing w:after="0"/>
        <w:tabs>
          <w:tab w:leader="none" w:pos="190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that Participant has engaged in any one of the following:</w:t>
      </w:r>
    </w:p>
    <w:p>
      <w:pPr>
        <w:spacing w:after="0" w:line="225" w:lineRule="exact"/>
        <w:rPr>
          <w:rFonts w:ascii="Times New Roman" w:cs="Times New Roman" w:eastAsia="Times New Roman" w:hAnsi="Times New Roman"/>
          <w:sz w:val="18"/>
          <w:szCs w:val="18"/>
          <w:color w:val="auto"/>
        </w:rPr>
      </w:pPr>
    </w:p>
    <w:p>
      <w:pPr>
        <w:ind w:left="960" w:right="80" w:firstLine="972"/>
        <w:spacing w:after="0" w:line="282" w:lineRule="auto"/>
        <w:tabs>
          <w:tab w:leader="none" w:pos="2632" w:val="left"/>
        </w:tabs>
        <w:numPr>
          <w:ilvl w:val="2"/>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Participant of the Company’s Employee Covenants Agreement, other employee covenants or any employment agreement, which breach is not cured within any applicable cure period set forth in the respective document;</w:t>
      </w:r>
    </w:p>
    <w:p>
      <w:pPr>
        <w:spacing w:after="0" w:line="161" w:lineRule="exact"/>
        <w:rPr>
          <w:rFonts w:ascii="Times New Roman" w:cs="Times New Roman" w:eastAsia="Times New Roman" w:hAnsi="Times New Roman"/>
          <w:sz w:val="18"/>
          <w:szCs w:val="18"/>
          <w:color w:val="auto"/>
        </w:rPr>
      </w:pPr>
    </w:p>
    <w:p>
      <w:pPr>
        <w:ind w:left="2620" w:hanging="688"/>
        <w:spacing w:after="0"/>
        <w:tabs>
          <w:tab w:leader="none" w:pos="2620" w:val="left"/>
        </w:tabs>
        <w:numPr>
          <w:ilvl w:val="2"/>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willful violation by Participant of any material law or regulation applicable to the business of the Company or any</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its Subsidiaries;</w:t>
      </w:r>
    </w:p>
    <w:p>
      <w:pPr>
        <w:spacing w:after="0" w:line="206" w:lineRule="exact"/>
        <w:rPr>
          <w:rFonts w:ascii="Times New Roman" w:cs="Times New Roman" w:eastAsia="Times New Roman" w:hAnsi="Times New Roman"/>
          <w:sz w:val="18"/>
          <w:szCs w:val="18"/>
          <w:color w:val="auto"/>
        </w:rPr>
      </w:pPr>
    </w:p>
    <w:p>
      <w:pPr>
        <w:ind w:left="960" w:right="260" w:firstLine="972"/>
        <w:spacing w:after="0" w:line="282" w:lineRule="auto"/>
        <w:tabs>
          <w:tab w:leader="none" w:pos="2622" w:val="left"/>
        </w:tabs>
        <w:numPr>
          <w:ilvl w:val="2"/>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conviction of, or a plea of guilty or nolo contendere to, a felony or any willful perpetration of common law fraud (or analogous violation of law in a jurisdiction outside the United States); or</w:t>
      </w:r>
    </w:p>
    <w:p>
      <w:pPr>
        <w:spacing w:after="0" w:line="161" w:lineRule="exact"/>
        <w:rPr>
          <w:rFonts w:ascii="Times New Roman" w:cs="Times New Roman" w:eastAsia="Times New Roman" w:hAnsi="Times New Roman"/>
          <w:sz w:val="18"/>
          <w:szCs w:val="18"/>
          <w:color w:val="auto"/>
        </w:rPr>
      </w:pPr>
    </w:p>
    <w:p>
      <w:pPr>
        <w:ind w:left="960" w:right="60" w:firstLine="972"/>
        <w:spacing w:after="0" w:line="282" w:lineRule="auto"/>
        <w:tabs>
          <w:tab w:leader="none" w:pos="2632" w:val="left"/>
        </w:tabs>
        <w:numPr>
          <w:ilvl w:val="2"/>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willful misconduct by Participant that is materially injurious to the financial condition or business reputation of, or is otherwise materially injurious to, the Company or any of its Subsidiaries.</w:t>
      </w:r>
    </w:p>
    <w:p>
      <w:pPr>
        <w:spacing w:after="0" w:line="162" w:lineRule="exact"/>
        <w:rPr>
          <w:sz w:val="20"/>
          <w:szCs w:val="20"/>
          <w:color w:val="auto"/>
        </w:rPr>
      </w:pPr>
    </w:p>
    <w:p>
      <w:pPr>
        <w:jc w:val="both"/>
        <w:ind w:left="960"/>
        <w:spacing w:after="0" w:line="261" w:lineRule="auto"/>
        <w:rPr>
          <w:sz w:val="20"/>
          <w:szCs w:val="20"/>
          <w:color w:val="auto"/>
        </w:rPr>
      </w:pPr>
      <w:r>
        <w:rPr>
          <w:rFonts w:ascii="Times New Roman" w:cs="Times New Roman" w:eastAsia="Times New Roman" w:hAnsi="Times New Roman"/>
          <w:sz w:val="18"/>
          <w:szCs w:val="18"/>
          <w:color w:val="auto"/>
        </w:rPr>
        <w:t>For purposes of the foregoing, in determining whether a “material breach” has occurred, or whether there has been a willful violation of a “material” law or regulation, the standard shall be a breach or violation that is, or will reasonably likely be, materially injurious to the financial condition or business reputation of, or is, or will reasonably likely be, otherwise materially injurious to, the Company or any of its Subsidiaries.</w:t>
      </w:r>
    </w:p>
    <w:p>
      <w:pPr>
        <w:spacing w:after="0" w:line="180" w:lineRule="exact"/>
        <w:rPr>
          <w:sz w:val="20"/>
          <w:szCs w:val="20"/>
          <w:color w:val="auto"/>
        </w:rPr>
      </w:pPr>
    </w:p>
    <w:p>
      <w:pPr>
        <w:ind w:left="960" w:right="20" w:firstLine="324"/>
        <w:spacing w:after="0" w:line="282" w:lineRule="auto"/>
        <w:tabs>
          <w:tab w:leader="none" w:pos="213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Continuous Service</w:t>
      </w:r>
      <w:r>
        <w:rPr>
          <w:rFonts w:ascii="Times New Roman" w:cs="Times New Roman" w:eastAsia="Times New Roman" w:hAnsi="Times New Roman"/>
          <w:sz w:val="18"/>
          <w:szCs w:val="18"/>
          <w:color w:val="auto"/>
        </w:rPr>
        <w:t>” shall mean the uninterrupted provision of services to the Company or a Subsidiary, whether as an Employee, Director, or Consultant.</w:t>
      </w:r>
    </w:p>
    <w:p>
      <w:pPr>
        <w:spacing w:after="0" w:line="161" w:lineRule="exact"/>
        <w:rPr>
          <w:rFonts w:ascii="Times New Roman" w:cs="Times New Roman" w:eastAsia="Times New Roman" w:hAnsi="Times New Roman"/>
          <w:sz w:val="18"/>
          <w:szCs w:val="18"/>
          <w:color w:val="auto"/>
        </w:rPr>
      </w:pPr>
    </w:p>
    <w:p>
      <w:pPr>
        <w:ind w:left="1920" w:hanging="636"/>
        <w:spacing w:after="0"/>
        <w:tabs>
          <w:tab w:leader="none" w:pos="19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the occurrence any of the following events that result in a material negative change to Participant:</w:t>
      </w:r>
    </w:p>
    <w:p>
      <w:pPr>
        <w:spacing w:after="0" w:line="225" w:lineRule="exact"/>
        <w:rPr>
          <w:rFonts w:ascii="Times New Roman" w:cs="Times New Roman" w:eastAsia="Times New Roman" w:hAnsi="Times New Roman"/>
          <w:sz w:val="18"/>
          <w:szCs w:val="18"/>
          <w:color w:val="auto"/>
        </w:rPr>
      </w:pPr>
    </w:p>
    <w:p>
      <w:pPr>
        <w:ind w:left="960" w:right="160" w:firstLine="972"/>
        <w:spacing w:after="0" w:line="282" w:lineRule="auto"/>
        <w:tabs>
          <w:tab w:leader="none" w:pos="2632"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material reduction in the scope of Participant’s duties and responsibilities or the level of management to which Participant reports;</w:t>
      </w:r>
    </w:p>
    <w:p>
      <w:pPr>
        <w:spacing w:after="0" w:line="161" w:lineRule="exact"/>
        <w:rPr>
          <w:rFonts w:ascii="Times New Roman" w:cs="Times New Roman" w:eastAsia="Times New Roman" w:hAnsi="Times New Roman"/>
          <w:sz w:val="18"/>
          <w:szCs w:val="18"/>
          <w:color w:val="auto"/>
        </w:rPr>
      </w:pPr>
    </w:p>
    <w:p>
      <w:pPr>
        <w:ind w:left="960" w:right="340" w:firstLine="972"/>
        <w:spacing w:after="0" w:line="282" w:lineRule="auto"/>
        <w:tabs>
          <w:tab w:leader="none" w:pos="2622"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reduction in base salary (other than an across-the-board reduction of not more than 10% applicable to all similarly situated employees);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222" w:name="page223"/>
    <w:bookmarkEnd w:id="222"/>
    <w:p>
      <w:pPr>
        <w:ind w:left="980" w:right="80" w:firstLine="972"/>
        <w:spacing w:after="0" w:line="282" w:lineRule="auto"/>
        <w:tabs>
          <w:tab w:leader="none" w:pos="264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material reduction in Participant’s benefits in the aggregate (in terms of benefit levels) from those provided to Participant under any employee benefit plan, program and practice in which Participant participates;</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relocation of Participant’s principal place of employment of more than 50 miles;</w:t>
      </w:r>
    </w:p>
    <w:p>
      <w:pPr>
        <w:spacing w:after="0" w:line="225" w:lineRule="exact"/>
        <w:rPr>
          <w:rFonts w:ascii="Times New Roman" w:cs="Times New Roman" w:eastAsia="Times New Roman" w:hAnsi="Times New Roman"/>
          <w:sz w:val="18"/>
          <w:szCs w:val="18"/>
          <w:color w:val="auto"/>
        </w:rPr>
      </w:pPr>
    </w:p>
    <w:p>
      <w:pPr>
        <w:ind w:left="980" w:right="740" w:firstLine="972"/>
        <w:spacing w:after="0" w:line="282" w:lineRule="auto"/>
        <w:tabs>
          <w:tab w:leader="none" w:pos="263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have a successor entity specifically assume this Agreement or any employment agreement within 10 business days after a Change in Control; or</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or a successor entity of this Agreement or any employment agreement.</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Notwithstanding the foregoing, Participant’s employment shall not be deemed to have been terminated for Good Reason unless Participant provides written notice to the Company of the event or condition constituting Good Reason within 30 days of its initial occurrence, the Company does not cure such event or condition within 30 days after receiving such notice (the “Cure Period”) and the Participant resigns within 30 days following the expiration of the Cure Period.</w:t>
      </w:r>
    </w:p>
    <w:p>
      <w:pPr>
        <w:spacing w:after="0" w:line="180" w:lineRule="exact"/>
        <w:rPr>
          <w:sz w:val="20"/>
          <w:szCs w:val="20"/>
          <w:color w:val="auto"/>
        </w:rPr>
      </w:pPr>
    </w:p>
    <w:p>
      <w:pPr>
        <w:ind w:left="980" w:firstLine="324"/>
        <w:spacing w:after="0" w:line="282" w:lineRule="auto"/>
        <w:tabs>
          <w:tab w:leader="none" w:pos="2122"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 Change of Control Units</w:t>
      </w:r>
      <w:r>
        <w:rPr>
          <w:rFonts w:ascii="Times New Roman" w:cs="Times New Roman" w:eastAsia="Times New Roman" w:hAnsi="Times New Roman"/>
          <w:sz w:val="18"/>
          <w:szCs w:val="18"/>
          <w:color w:val="auto"/>
        </w:rPr>
        <w:t xml:space="preserve">” shall mean Restricted Stock Units that are considered “non-qualified deferred compensation” subject to Section 409A of the Code and that vest in full as a result of the Participant’s termination pursuant to </w:t>
      </w:r>
      <w:r>
        <w:rPr>
          <w:rFonts w:ascii="Times New Roman" w:cs="Times New Roman" w:eastAsia="Times New Roman" w:hAnsi="Times New Roman"/>
          <w:sz w:val="18"/>
          <w:szCs w:val="18"/>
          <w:u w:val="single" w:color="auto"/>
          <w:color w:val="auto"/>
        </w:rPr>
        <w:t>Section 1(f)</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firstLine="8"/>
        <w:spacing w:after="0" w:line="254" w:lineRule="auto"/>
        <w:tabs>
          <w:tab w:leader="none" w:pos="59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Participant represents that Participant has received and carefully read a copy of the Prospectus for the Plan,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Company’s most recent Annual Report to Stockholders. Participant hereby acknowledges that Participant is aware of the risks associated with the Shares and that there can be no assurance the price of the Shares will not decrease in the future. Participant hereby acknowledges that no representations or statements have been made to Participant concerning the value or potential value of the Shares. Participant acknowledges that Participant has relied only on information contained in the Prospectus and has received no representations, written or oral, from the Company or its employees, attorneys or agents, other than those contained in the Prospectus or this Agreement. Participant acknowledges that the Company has made no representations or recommendations, and is not providing any tax, legal or financial advice,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88" w:lineRule="exact"/>
        <w:rPr>
          <w:rFonts w:ascii="Times New Roman" w:cs="Times New Roman" w:eastAsia="Times New Roman" w:hAnsi="Times New Roman"/>
          <w:sz w:val="18"/>
          <w:szCs w:val="18"/>
          <w:color w:val="auto"/>
        </w:rPr>
      </w:pPr>
    </w:p>
    <w:p>
      <w:pPr>
        <w:jc w:val="both"/>
        <w:ind w:firstLine="8"/>
        <w:spacing w:after="0" w:line="268" w:lineRule="auto"/>
        <w:tabs>
          <w:tab w:leader="none" w:pos="80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Participant shall not transfer, assign, sell, encumber, pledge, grant a security interest in or otherwise dispose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Units subject to this Agreement in any manner other than by the laws of descent or distribution. Any such transfer, assignment, sale, encumbrance, pledge, security interest or disposition shall be void.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3" w:name="page224"/>
    <w:bookmarkEnd w:id="223"/>
    <w:p>
      <w:pPr>
        <w:ind w:left="640" w:hanging="632"/>
        <w:spacing w:after="0"/>
        <w:tabs>
          <w:tab w:leader="none" w:pos="6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w:t>
      </w:r>
    </w:p>
    <w:p>
      <w:pPr>
        <w:spacing w:after="0" w:line="229"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2"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Participant’s Continuous Service or at any time during the 12-month period following termination of Participant’s Continuous Service, Participant engages in conduct that constitutes Cause (as defined above), then at the election of the Committee, (i) this Agreement and all unvested Restricted Stock Units granted hereunder shall terminate, and (ii) Participant shall return to the Company for cancellation all Shares held by Participant plus pay the Company the amount of any proceeds received from the sale of any Shares to the extent such Shares were issued pursuant to Restricted Stock Units granted under this Agreement that vested (A) during the 12-month period immediately preceding the event that constituted Cause, or</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on the date of or at any time after such Cause.</w:t>
      </w:r>
    </w:p>
    <w:p>
      <w:pPr>
        <w:spacing w:after="0" w:line="206" w:lineRule="exact"/>
        <w:rPr>
          <w:rFonts w:ascii="Times New Roman" w:cs="Times New Roman" w:eastAsia="Times New Roman" w:hAnsi="Times New Roman"/>
          <w:sz w:val="18"/>
          <w:szCs w:val="18"/>
          <w:color w:val="auto"/>
        </w:rPr>
      </w:pPr>
    </w:p>
    <w:p>
      <w:pPr>
        <w:jc w:val="both"/>
        <w:ind w:firstLine="656"/>
        <w:spacing w:after="0" w:line="258" w:lineRule="auto"/>
        <w:tabs>
          <w:tab w:leader="none" w:pos="134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forfeiture and recoupment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applied by the Committee, at its discretion, to the maximum extent permitted under applicable laws. Further, these provisions are in addition to, and not in lieu of, any recoupment requirements under the Sarbanes-Oxley Act or under other applicable laws, rules, regulations or stock exchange listing standards, including, without limitation, Section 954 of the Dodd-Frank Wall Street Reform and Consumer Protection Act of 2010 or Section 10D of the U.S. Securities Exchange Act of 1934, as amended, and shall apply notwithstanding anything to the contrary in this Agreement or in the Plan.</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15"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if Participant is or becomes subject to the Nu Skin Enterprises, Inc. Executive Officer Incentive Compensation Recovery Policy (the “Recovery Policy”), Participant agrees that any Restricted Stock Units granted hereunder may be terminated, any Shares held by Participant shall be returned to the Company, and any proceeds from the sale of such Shares shall be paid by Participant to the Company, to the extent the Company determines such actions are necessary to satisfy a recoupment requirement under the Recovery Policy.</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3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Participant expressly agrees that the Company may take such actions as are necessary or appropriate to effectuate the foregoing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(as applicable to Participant) or applicable law without further consent or action being required by Participant. For purposes of the foregoing and as a condition to the grant, Participant expressly and explicitly authorizes the Company to issue instructions, on Participant’s behalf, to Fidelity (or any other stock plan service provider engaged by the Company to administer awards granted under the Plan) to re-convey, transfer or otherwise return any Shares held by Participant and/or other amounts to the Company.</w:t>
      </w:r>
    </w:p>
    <w:p>
      <w:pPr>
        <w:spacing w:after="0" w:line="179" w:lineRule="exact"/>
        <w:rPr>
          <w:rFonts w:ascii="Times New Roman" w:cs="Times New Roman" w:eastAsia="Times New Roman" w:hAnsi="Times New Roman"/>
          <w:sz w:val="18"/>
          <w:szCs w:val="18"/>
          <w:color w:val="auto"/>
        </w:rPr>
      </w:pPr>
    </w:p>
    <w:p>
      <w:pPr>
        <w:jc w:val="both"/>
        <w:ind w:firstLine="8"/>
        <w:spacing w:after="0" w:line="268" w:lineRule="auto"/>
        <w:tabs>
          <w:tab w:leader="none" w:pos="63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Plan Document. </w:t>
      </w:r>
      <w:r>
        <w:rPr>
          <w:rFonts w:ascii="Times New Roman" w:cs="Times New Roman" w:eastAsia="Times New Roman" w:hAnsi="Times New Roman"/>
          <w:sz w:val="18"/>
          <w:szCs w:val="18"/>
          <w:color w:val="auto"/>
        </w:rPr>
        <w:t>This Agreement incorporates by reference all of the terms and conditions of the Plan, as presently existing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hereafter amended. Participant expressly acknowledges and agrees that the terms and provisions of this Agreement are subject in all respects to the provisions of the Plan. Participant also expressly:</w:t>
      </w:r>
    </w:p>
    <w:p>
      <w:pPr>
        <w:spacing w:after="0" w:line="174" w:lineRule="exact"/>
        <w:rPr>
          <w:rFonts w:ascii="Times New Roman" w:cs="Times New Roman" w:eastAsia="Times New Roman" w:hAnsi="Times New Roman"/>
          <w:sz w:val="18"/>
          <w:szCs w:val="18"/>
          <w:color w:val="auto"/>
        </w:rPr>
      </w:pPr>
    </w:p>
    <w:p>
      <w:pPr>
        <w:ind w:right="20" w:firstLine="656"/>
        <w:spacing w:after="0" w:line="282" w:lineRule="auto"/>
        <w:tabs>
          <w:tab w:leader="none" w:pos="118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receipt of the Plan and represents that Participant is familiar with the provisions of the Plan, and that Participant enters into this Agreement subject to all of the provisions of the Plan;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4" w:name="page225"/>
    <w:bookmarkEnd w:id="224"/>
    <w:p>
      <w:pPr>
        <w:jc w:val="both"/>
        <w:ind w:firstLine="656"/>
        <w:spacing w:after="0" w:line="266" w:lineRule="auto"/>
        <w:tabs>
          <w:tab w:leader="none" w:pos="1281"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that the Committee has been granted complete authority to administer the Plan in its sole discretion, and agrees to accept all decisions related to the Plan and all interpretations of the Plan made by the Committee as final and conclusive upon Participant and upon all persons at any time claiming any interest through Participant in the Restricted Stock Units or the Shares subject to this Agreement; and</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40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understands that the establishment of the Plan and the existence of this Agreement are not sufficient, in and of themselves, to exempt Participant from the requirements of Section 16(b) of the Exchange Act and any rules or regulations promulgated thereunder, and that Participant (to the extent Section 16(b) applies to Participant) shall not be exempt from such requirements pursuant to Rule 16b-3 unless and until Participant shall comply with all applicable requirements of Rule 16b-3, including without limitation, the possible requirement that Participant must not sell or otherwise dispose of any Shares acquired pursuant to Restricted Stock Units unless and until a period of at least six months shall have elapsed between the Grant Date and the date upon which Participant desires to sell or otherwise dispose of such Shares.</w:t>
      </w:r>
    </w:p>
    <w:p>
      <w:pPr>
        <w:spacing w:after="0" w:line="183" w:lineRule="exact"/>
        <w:rPr>
          <w:rFonts w:ascii="Times New Roman" w:cs="Times New Roman" w:eastAsia="Times New Roman" w:hAnsi="Times New Roman"/>
          <w:sz w:val="18"/>
          <w:szCs w:val="18"/>
          <w:color w:val="auto"/>
        </w:rPr>
      </w:pPr>
    </w:p>
    <w:p>
      <w:pPr>
        <w:jc w:val="both"/>
        <w:ind w:firstLine="8"/>
        <w:spacing w:after="0" w:line="262" w:lineRule="auto"/>
        <w:tabs>
          <w:tab w:leader="none" w:pos="7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As a condition to the receipt of any Shares upon vesting of the Restricted Stock Units,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Participant to make any representations and warranties to the Company that legal counsel to the Company may determine to be required or advisable under any applicable law or regulation, including without limitation, representations and warranties that the Shares are being acquired only for investment and without any present intention or view to sell or distribute any such Shares.</w:t>
      </w:r>
    </w:p>
    <w:p>
      <w:pPr>
        <w:spacing w:after="0" w:line="176" w:lineRule="exact"/>
        <w:rPr>
          <w:rFonts w:ascii="Times New Roman" w:cs="Times New Roman" w:eastAsia="Times New Roman" w:hAnsi="Times New Roman"/>
          <w:sz w:val="18"/>
          <w:szCs w:val="18"/>
          <w:color w:val="auto"/>
        </w:rPr>
      </w:pPr>
    </w:p>
    <w:p>
      <w:pPr>
        <w:jc w:val="both"/>
        <w:ind w:firstLine="8"/>
        <w:spacing w:after="0" w:line="254" w:lineRule="auto"/>
        <w:tabs>
          <w:tab w:leader="none" w:pos="84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With Law and Regulations. </w:t>
      </w:r>
      <w:r>
        <w:rPr>
          <w:rFonts w:ascii="Times New Roman" w:cs="Times New Roman" w:eastAsia="Times New Roman" w:hAnsi="Times New Roman"/>
          <w:sz w:val="18"/>
          <w:szCs w:val="18"/>
          <w:color w:val="auto"/>
        </w:rPr>
        <w:t>Notwithstanding any other provision of the Plan or this Agreement, unless there is an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from any registration, qualification or other legal requirement applicable to the Shares, the Company shall not be required to deliver any Shares issuable upon settlement of the Restricted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with the SEC or any state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5" w:name="page226"/>
    <w:bookmarkEnd w:id="225"/>
    <w:p>
      <w:pPr>
        <w:ind w:left="640" w:hanging="632"/>
        <w:spacing w:after="0"/>
        <w:tabs>
          <w:tab w:leader="none" w:pos="6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Responsibility for Taxes.</w:t>
      </w:r>
    </w:p>
    <w:p>
      <w:pPr>
        <w:spacing w:after="0" w:line="22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32"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Participant acknowledges that, regardless of any action taken by the Company or, if different, Participant’s employer (the “Employer”), the ultimate liability for all income tax, social insurance, payroll tax, fringe benefits tax, payment on account or other tax-related items related to Participant’s participation in the Plan and legally applicable to Participant or deemed by the Company or the Employer in its discretion to be an appropriate charge to Participant even if legally applicable to the Company or the Employer (“Tax-Related Items”), is and remains Participant’s responsibility and may exceed the amount, if any, actually withheld by the Company or the Employer pursuant to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Participant further acknowledges that the Company and the Employer (i) make no representations or undertakings regarding the treatment of any Tax-Related Items in connection with any aspect of the Restricted Stock Units, including, but not limited to, the grant, vesting or settlement of the Restricted Stock Units, the subsequent sale of any Shares acquired at settlement and the receipt of any dividends; and (ii)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46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relevant taxable or tax withholding event, as applicable, Participant agrees to make adequate arrangements satisfactory to the Company and/or the Employer to satisfy all Tax-Related Items.</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32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payment of the Tax-Related Items shall be made by any of the following, or a combination thereof, at the election of the Participant, subject to the Committee’s or Company’s right to eliminate, prior to vesting, any of the following as permissible payment methods: (i) in cash or cash equivalents (including certified check, bank check or wire transfer of immediately available funds); (ii) by tendering previously acquired Shares (either actually or by attestation) valued at their then-Fair Market Value; (iii) by withholding Shares otherwise issuable in connection with the vesting of the Restricted Stock Units; (iv) through same-day voluntary or involuntary (on Participant’s behalf pursuant to this authorization) sales through a broker if permitted by the Company’s Securities Trading Policy; (v) withholding from Participant’s wages or other cash compensation paid to Participant by the Company and/or the Employer; or (vi) any combination of any of the foregoing. In the absence of Participant’s timely election or in the event Section 16(b) applies to Participant, the Company will withhold in Shares upon the relevant taxable or tax withholding event, as applicable. In the event that such withholding in Shares is problematic under applicable tax or securities law or has materially adverse accounting consequences, Participant authorizes and directs the Company and/or the Employer, or their respective agents, at their discretion, to satisfy any applicable withholding obligation with regard to all Tax-Related Items by one or a combination of the methods above.</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127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withholding method, the Company and/or the Employer may withhold or account for Tax-Related Items by considering applicable withholding rates in Participant’s jurisdiction(s) (up to the rate that will not cause an adverse accounting consequence or cost, including pursuant to ASC Topic 718, as applicable). If the Company and/or the Employer withhold more than the amount necessary to satisfy the liability for Tax-Related Items, Participant may receive a refund of any over-withheld amount in cash and will have no entitlement to the equivalent Shares, or if not refunded, Participant may be able to seek a refund from the applicable tax authorities. If the Company and/or the Employer withhold less than the amount necessary to satisfy the liability for Tax-Related Items, Participant may be required to pay additional Tax-Related Items directly to the applicable tax authorities or to the Company and/or the Employer. If the obligation for Tax-Related Items is satisfied by withholding in Shares, for tax purposes, Participant is deemed to have been issued the full number of Shares subject to the vested Restricted Stock Units, notwithstanding that a number of the Shares are held back solely for the purpose of paying the Tax-Related Items.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6" w:name="page227"/>
    <w:bookmarkEnd w:id="226"/>
    <w:p>
      <w:pPr>
        <w:jc w:val="both"/>
        <w:ind w:firstLine="656"/>
        <w:spacing w:after="0" w:line="261" w:lineRule="auto"/>
        <w:tabs>
          <w:tab w:leader="none" w:pos="1319"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7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Nature of Grant. </w:t>
      </w:r>
      <w:r>
        <w:rPr>
          <w:rFonts w:ascii="Times New Roman" w:cs="Times New Roman" w:eastAsia="Times New Roman" w:hAnsi="Times New Roman"/>
          <w:sz w:val="18"/>
          <w:szCs w:val="18"/>
          <w:color w:val="auto"/>
        </w:rPr>
        <w:t>In accepting the Restricted Stock Units, Participant acknowledges, understands and agrees that:</w:t>
      </w:r>
    </w:p>
    <w:p>
      <w:pPr>
        <w:spacing w:after="0" w:line="229" w:lineRule="exact"/>
        <w:rPr>
          <w:rFonts w:ascii="Times New Roman" w:cs="Times New Roman" w:eastAsia="Times New Roman" w:hAnsi="Times New Roman"/>
          <w:sz w:val="18"/>
          <w:szCs w:val="18"/>
          <w:color w:val="auto"/>
        </w:rPr>
      </w:pPr>
    </w:p>
    <w:p>
      <w:pPr>
        <w:ind w:firstLine="656"/>
        <w:spacing w:after="0" w:line="282" w:lineRule="auto"/>
        <w:tabs>
          <w:tab w:leader="none" w:pos="1261"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may be modified, amended, suspended or terminated by the Company at any time, to the extent permitted by the Plan;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64"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Restricted Stock Units is exceptional, voluntary and occasional and does not create any contractual or other right to receive future awards of Restricted Stock Units, or benefits in lieu of Restricted Stock Units even if Restricted Stock Units have been awarded in the past;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25"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in the Plan shall confer upon Participant any right to continue in the employment or service of the Employer, the Company or any Subsidiary or be interpreted as forming or amending an employment or services contract with the Employer, the Company or any Subsidiary and shall not interfere with or restrict any way the ability of the Employer, the Company or any Subsidiary, as applicable, to terminate Participant’s employment or service relationship, if any;</w:t>
      </w:r>
    </w:p>
    <w:p>
      <w:pPr>
        <w:spacing w:after="0" w:line="17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Restricted Stock Units or other grants, if any, will be at the sole discretion of the Committee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and/or Company;</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participation in the Plan is voluntary;</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indeterminable and unpredictable;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2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the Restricted Stock Units and the Shares subject to the Restricted Stock Units, and the income and value of same, are not granted as consideration for, or in connection with, the service Participant may provide as a director of any entity of the Company;</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7" w:name="page228"/>
    <w:bookmarkEnd w:id="227"/>
    <w:p>
      <w:pPr>
        <w:jc w:val="both"/>
        <w:ind w:firstLine="656"/>
        <w:spacing w:after="0" w:line="254" w:lineRule="auto"/>
        <w:tabs>
          <w:tab w:leader="none" w:pos="132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Participant’s Continuous Service (as defined above) (for any reason whatsoever, whether or not later found to be invalid or in breach of employment laws in the jurisdiction where Participant is employed or the terms of Participant’s employment agreement, if any), unless otherwise determined by the Company, Participant’s right to vest in the Restricted Stock Units under the Plan, if any, will terminate as of the date Participant is no longer providing Continuous Service and will not be extended by any notice period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Participant’s period of service would not include any contractual notice period or any period of “garden leave” or similar period mandated under employment laws in the jurisdiction where Participant is employed or the terms of Participant’s employment agreement, if any); the Committee shall have the exclusive discretion to determine when Participant is no longer providing Continuous Service for purposes of this Agreement, including whether Participant may still be considered to be providing Continuous Service while on a leave of absence;</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1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and the Shares subject to Restricted Stock Units, and the income and value of same, are not part of normal or expected compensation or salary for any purpose, including, but not limited to, calculation of any severance, resignation, termination, redundancy, dismissal, end-of-service payments, holiday pay, bonuses, long-service awards, leave-related pay, pension or retirement or welfare benefits or similar mandatory payments;</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23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and the Shares subject to Restricted Stock Units, and the income and value of same, are not intended to replace any pension rights or compensation;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8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are an extraordinary item that does not constitute compensation of any kind for service of any kind rendered to the Company or to the Employer, and Restricted Stock Units are outside of the scope of Participant’s employment agreement, if 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Restricted Stock Units resulting from termination of Participant’s Continuous Service (for any reason whatsoever, whether or not later found to be invalid or in breach of employment laws in the jurisdiction where Participant is employed or the terms of Participant’s employment agreement, if any);</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Employer nor any Subsidiary of the Company shall be liable for any foreign exchange rate fluctuation between Participant’s local currency and the United States Dollar that may affect the value of Restricted Stock Units or of any amounts due to Participant pursuant to the settlement of the Restricted Stock Units or the subsequent sale of any Shares acquired upon settlement;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6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operated and the Award is granted solely by the Company and only the Company is a party to this Agreement; accordingly, any rights you may have under this Agreement may be raised only against the Company but not any affiliate of the Company (including, but not limited to, the Employer); and</w:t>
      </w:r>
    </w:p>
    <w:p>
      <w:pPr>
        <w:spacing w:after="0" w:line="17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affiliate of the Company (including, but not limited to, the Employer) has any obligation to make any payment of any kind under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jc w:val="both"/>
        <w:ind w:firstLine="8"/>
        <w:spacing w:after="0" w:line="262" w:lineRule="auto"/>
        <w:tabs>
          <w:tab w:leader="none" w:pos="62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Privacy Notice and Consent.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or other form, of Participant’s personal data, as described in this Agreement and any other Restricted Stock Unit grant materials by and among, as applicable, the Employer, the Company and Subsidiaries for the exclusive purpose of implementing, administering and managing Participant’s participation in the Plan.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Employer, the Company and Subsidiaries may hold certain personal information about Participant, including, but not limited to, Participant’s name, home address, email address, telephone number, date of birth, social security number, passport information, social insurance number or other identification number, salary, nationality, job title, any Shares or directorships held in the Company, details of all Restricted Stock Units or any other entitlement to Shares or other equivalent benefits awarded, canceled, purchased, exercised, vested, unvested or outstanding in Participant’s favor (“Data”), for the exclusive purpose of implementing, administering and managing the Plan.</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Fidelity,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Fidelity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Employer will not be affected; the only consequence of refusing or withdrawing Participant’s consent is that the Company may not be able to grant Restricted Stock Units or other equity awards to Participant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his or her local human resources representative.</w:t>
      </w: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Upon request of the Company or the Employer, Participant agrees to provide an executed data privacy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he or she will not be able to participate in the Plan if Participant fails to provide any such consent or agreement as requested by the Company and/or the Employer.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9" w:name="page230"/>
    <w:bookmarkEnd w:id="229"/>
    <w:p>
      <w:pPr>
        <w:ind w:left="640" w:hanging="632"/>
        <w:spacing w:after="0"/>
        <w:tabs>
          <w:tab w:leader="none" w:pos="6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rFonts w:ascii="Times New Roman" w:cs="Times New Roman" w:eastAsia="Times New Roman" w:hAnsi="Times New Roman"/>
          <w:sz w:val="18"/>
          <w:szCs w:val="18"/>
          <w:color w:val="auto"/>
        </w:rPr>
      </w:pPr>
    </w:p>
    <w:p>
      <w:pPr>
        <w:jc w:val="both"/>
        <w:ind w:firstLine="656"/>
        <w:spacing w:after="0" w:line="259" w:lineRule="auto"/>
        <w:tabs>
          <w:tab w:leader="none" w:pos="1414"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 required to be given under this Agreement shall be in writing and shall be deemed effective upon (i)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delivery, (ii) when sent by confirmed electronic mail or facsimile if sent during normal business hours of the recipient, or if not, then on the next business day, or (iii) upon deposit in the sender’s local mail, registered or certified, postage prepaid and, with respect to notice sent pursuant to clauses (ii) or (iii), properly addressed to the party entitled to such notice at the latest email or physical address on file or at such other address as such party may designate by ten days advance written notice under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to all other parties to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9" w:lineRule="auto"/>
        <w:tabs>
          <w:tab w:leader="none" w:pos="1357"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The failure of the Company in any instance to exercise any rights under this Agreement, including the forfeiture rights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shall not constitute a waiver of any other rights that may subsequently arise under the provisions of this Agreement or any other agreement between the Company and Participant. Participant acknowledges that no waiver by the Company of any breach of any provision of this Agreement shall operate or be construed as a waiver of any other provision of this Agreement, or of any subsequent breach by Participant or any other Participant, whether of like or different nature.</w:t>
      </w:r>
    </w:p>
    <w:p>
      <w:pPr>
        <w:spacing w:after="0" w:line="179" w:lineRule="exact"/>
        <w:rPr>
          <w:rFonts w:ascii="Times New Roman" w:cs="Times New Roman" w:eastAsia="Times New Roman" w:hAnsi="Times New Roman"/>
          <w:sz w:val="18"/>
          <w:szCs w:val="18"/>
          <w:color w:val="auto"/>
        </w:rPr>
      </w:pPr>
    </w:p>
    <w:p>
      <w:pPr>
        <w:jc w:val="both"/>
        <w:ind w:firstLine="656"/>
        <w:spacing w:after="0" w:line="259" w:lineRule="auto"/>
        <w:tabs>
          <w:tab w:leader="none" w:pos="1342"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Imposition of Other Requirements &amp; Participant Undertaking. </w:t>
      </w:r>
      <w:r>
        <w:rPr>
          <w:rFonts w:ascii="Times New Roman" w:cs="Times New Roman" w:eastAsia="Times New Roman" w:hAnsi="Times New Roman"/>
          <w:sz w:val="18"/>
          <w:szCs w:val="18"/>
          <w:color w:val="auto"/>
        </w:rPr>
        <w:t>The Company reserves the right to impose other requirements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participation in the Plan, on the Restricted Stock Units and on any Shares acquired under the Plan, to the extent the Company determines it is necessary or advisable for legal or administrative reasons. Participant hereby agrees to take whatever additional action and execute whatever additional documents the Company may deem necessary or advisable in order to carry out the foregoing or one or more of the obligations or restrictions imposed on either Participant or the Shares pursuant to the provisions of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1218"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Contract. </w:t>
      </w:r>
      <w:r>
        <w:rPr>
          <w:rFonts w:ascii="Times New Roman" w:cs="Times New Roman" w:eastAsia="Times New Roman" w:hAnsi="Times New Roman"/>
          <w:sz w:val="18"/>
          <w:szCs w:val="18"/>
          <w:color w:val="auto"/>
        </w:rPr>
        <w:t>This Agreement and the Plan constitute the entire understanding and agreement of the parties with respect to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contained herein. This Agreement is made pursuant to, and incorporates by reference, the provisions of the Plan and shall in all respects be construed in conformity with the terms of the Plan.</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252"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Language. </w:t>
      </w:r>
      <w:r>
        <w:rPr>
          <w:rFonts w:ascii="Times New Roman" w:cs="Times New Roman" w:eastAsia="Times New Roman" w:hAnsi="Times New Roman"/>
          <w:sz w:val="18"/>
          <w:szCs w:val="18"/>
          <w:color w:val="auto"/>
        </w:rPr>
        <w:t>Participant acknowledges that he or she is sufficiently proficient in English, or, alternatively, Participant acknowledges that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she will seek appropriate assistance to understand the terms and conditions in this Agreement. Furthermore,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25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Electronic Delivery and Acceptance. </w:t>
      </w:r>
      <w:r>
        <w:rPr>
          <w:rFonts w:ascii="Times New Roman" w:cs="Times New Roman" w:eastAsia="Times New Roman" w:hAnsi="Times New Roman"/>
          <w:sz w:val="18"/>
          <w:szCs w:val="18"/>
          <w:color w:val="auto"/>
        </w:rPr>
        <w:t>The Company may, in its sole discretion, decide to deliver any documents related to current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0" w:name="page231"/>
    <w:bookmarkEnd w:id="230"/>
    <w:p>
      <w:pPr>
        <w:jc w:val="both"/>
        <w:ind w:firstLine="656"/>
        <w:spacing w:after="0" w:line="262" w:lineRule="auto"/>
        <w:tabs>
          <w:tab w:leader="none" w:pos="135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Successors and Assigns. </w:t>
      </w:r>
      <w:r>
        <w:rPr>
          <w:rFonts w:ascii="Times New Roman" w:cs="Times New Roman" w:eastAsia="Times New Roman" w:hAnsi="Times New Roman"/>
          <w:sz w:val="18"/>
          <w:szCs w:val="18"/>
          <w:color w:val="auto"/>
        </w:rPr>
        <w:t>The provisions of this Agreement shall inure to the benefit of, and be binding upon,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 and upon Participant, Participant’s permitted assigns and the legal representatives, heirs and legatees of Participant’s estate, whether or not any such person shall have become a party to this Agreement and have agreed in writing to join herein and be bound by the terms hereof. Participant may not assign this Agreement other than by the laws of descent and distribution.</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134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In the event that any provision in this Agreement will be held invalid or unenforceable, such provision will be severable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and such invalidity or unenforceability will not be construed to have any effect on, the remaining provisions of this Agreement.</w:t>
      </w:r>
    </w:p>
    <w:p>
      <w:pPr>
        <w:spacing w:after="0" w:line="154" w:lineRule="exact"/>
        <w:rPr>
          <w:rFonts w:ascii="Times New Roman" w:cs="Times New Roman" w:eastAsia="Times New Roman" w:hAnsi="Times New Roman"/>
          <w:sz w:val="18"/>
          <w:szCs w:val="18"/>
          <w:color w:val="auto"/>
        </w:rPr>
      </w:pPr>
    </w:p>
    <w:p>
      <w:pPr>
        <w:jc w:val="both"/>
        <w:ind w:firstLine="656"/>
        <w:spacing w:after="0" w:line="259" w:lineRule="auto"/>
        <w:tabs>
          <w:tab w:leader="none" w:pos="141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and Choice of Venue. </w:t>
      </w:r>
      <w:r>
        <w:rPr>
          <w:rFonts w:ascii="Times New Roman" w:cs="Times New Roman" w:eastAsia="Times New Roman" w:hAnsi="Times New Roman"/>
          <w:sz w:val="18"/>
          <w:szCs w:val="18"/>
          <w:color w:val="auto"/>
        </w:rPr>
        <w:t>The Restricted Stock Units and the provisions of this Agreement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laws of the State of Utah, United States, without regard to the conflict of law provisions, as provided in the Plan. For purposes of litigating any dispute that arises under this Agreement or this grant of Restricted Stock Units, the parties hereby submit to and consent to the jurisdiction of the State of Utah, agree that such litigation shall be conducted in the courts of Utah County, Utah, or the federal courts of the United States for the District of Utah, where this grant is made and/or to be performed.</w:t>
      </w:r>
    </w:p>
    <w:p>
      <w:pPr>
        <w:spacing w:after="0" w:line="179" w:lineRule="exact"/>
        <w:rPr>
          <w:rFonts w:ascii="Times New Roman" w:cs="Times New Roman" w:eastAsia="Times New Roman" w:hAnsi="Times New Roman"/>
          <w:sz w:val="18"/>
          <w:szCs w:val="18"/>
          <w:color w:val="auto"/>
        </w:rPr>
      </w:pPr>
    </w:p>
    <w:p>
      <w:pPr>
        <w:jc w:val="both"/>
        <w:ind w:firstLine="656"/>
        <w:spacing w:after="0" w:line="262" w:lineRule="auto"/>
        <w:tabs>
          <w:tab w:leader="none" w:pos="147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Appendix. </w:t>
      </w:r>
      <w:r>
        <w:rPr>
          <w:rFonts w:ascii="Times New Roman" w:cs="Times New Roman" w:eastAsia="Times New Roman" w:hAnsi="Times New Roman"/>
          <w:sz w:val="18"/>
          <w:szCs w:val="18"/>
          <w:color w:val="auto"/>
        </w:rPr>
        <w:t>Notwithstanding any provisions in this Agreement, the Restricted Stock Units shall be subject to any special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in any Appendix to this Agreement for Participant’s country. Moreover, if Participant relocates to one of the countries included in the Appendix, the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76" w:lineRule="exact"/>
        <w:rPr>
          <w:rFonts w:ascii="Times New Roman" w:cs="Times New Roman" w:eastAsia="Times New Roman" w:hAnsi="Times New Roman"/>
          <w:sz w:val="18"/>
          <w:szCs w:val="18"/>
          <w:color w:val="auto"/>
        </w:rPr>
      </w:pPr>
    </w:p>
    <w:p>
      <w:pPr>
        <w:jc w:val="both"/>
        <w:ind w:firstLine="656"/>
        <w:spacing w:after="0" w:line="254" w:lineRule="auto"/>
        <w:tabs>
          <w:tab w:leader="none" w:pos="121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 Restrictions/Market Abuse Laws</w:t>
      </w:r>
      <w:r>
        <w:rPr>
          <w:rFonts w:ascii="Times New Roman" w:cs="Times New Roman" w:eastAsia="Times New Roman" w:hAnsi="Times New Roman"/>
          <w:sz w:val="18"/>
          <w:szCs w:val="18"/>
          <w:color w:val="auto"/>
        </w:rPr>
        <w:t>. Participant acknowledges that, depending on Participant’s country, broker’s country,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where Shares are listed, Participant may be subject to insider trading and/or market abuse laws which may affect Participant’s ability to accept, acquire, sell or otherwise dispose of Shares, rights to such shares (e.g., Restricted Stock Units) or rights linked to the value of Shares under the Plan during such times as Participant is considered to have “material nonpublic information” or “inside information” regarding the Company (as defined by the laws or regulations in the relevant jurisdiction). Local insider trading laws and regulations may prohibit the cancellation or amendment of orders Participant places before Participant possessed inside information. Furthermore, Participant could be prohibited from (i) disclosing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Participant acknowledges that it is his or her responsibility to comply with any applicable restrictions, and that Participant should speak to his or her personal advisor on this matter.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1" w:name="page232"/>
    <w:bookmarkEnd w:id="231"/>
    <w:p>
      <w:pPr>
        <w:jc w:val="both"/>
        <w:ind w:firstLine="656"/>
        <w:spacing w:after="0" w:line="254" w:lineRule="auto"/>
        <w:tabs>
          <w:tab w:leader="none" w:pos="133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Control Tax and Foreign Asset/Account Reporting Requirements</w:t>
      </w:r>
      <w:r>
        <w:rPr>
          <w:rFonts w:ascii="Times New Roman" w:cs="Times New Roman" w:eastAsia="Times New Roman" w:hAnsi="Times New Roman"/>
          <w:sz w:val="18"/>
          <w:szCs w:val="18"/>
          <w:color w:val="auto"/>
        </w:rPr>
        <w:t>. Participant acknowledges that there may be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tax, foreign asset and/or account reporting requirements which may affect Participant’s ability to acquire or hold Shares acquired under the Plan or cash received from participating in the Plan (including from any dividends paid on Shares acquired under the Plan) in a brokerage, bank account or legal entity outside Participant’s country. Participant may be required to report such accounts, balances, assets and/or the related transactions to the tax or other authorities in his or her country. Participant also may be required to repatriate sale proceeds or other funds received as a result of Participant’s participation in the Plan to his or her country through a designated bank or broker within a certain time after receipt. Participant acknowledges that it is Participant’s responsibility to be compliant with such regulations and Participant should consult his or her personal legal advisor for any details. Participant agrees to take any and all actions, and consents to any and all actions taken by the Company or the Employer as may be required to allow the Company or the Employer to comply with local laws, rules and regulations in Participant’s country of residence (and country of employment, if different). Finally, Participant agrees to take any and all actions as may be required to comply with Participant’s personal legal and tax obligations under local laws, rules and regulations in Participant’s country of residence (and country of employment, if different).</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134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The Restricted Stock Units and issuance of Shares thereunder are intended to comply with Code Section 409A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U.S. Treasury Regulations relating thereto so as not to subject the Participant to the payment of additional taxes and interest under Code Section 409A or other adverse tax consequences. In furtherance of this intent, the provisions of this Agreement will be interpreted, operated, and administered in a manner consistent with these intentions. The Committee may modify the terms of this Agreement, the Plan or both, without the consent of the Participant, in the manner that the Committee may determine to be necessary or advisable in order to comply with Code Section 409A or to mitigate any additional tax, interest and/or penalties or other adverse tax consequences that may apply under Code Section 409A if compliance is not practical. This </w:t>
      </w:r>
      <w:r>
        <w:rPr>
          <w:rFonts w:ascii="Times New Roman" w:cs="Times New Roman" w:eastAsia="Times New Roman" w:hAnsi="Times New Roman"/>
          <w:sz w:val="18"/>
          <w:szCs w:val="18"/>
          <w:u w:val="single" w:color="auto"/>
          <w:color w:val="auto"/>
        </w:rPr>
        <w:t>Section 11(m)</w:t>
      </w:r>
      <w:r>
        <w:rPr>
          <w:rFonts w:ascii="Times New Roman" w:cs="Times New Roman" w:eastAsia="Times New Roman" w:hAnsi="Times New Roman"/>
          <w:sz w:val="18"/>
          <w:szCs w:val="18"/>
          <w:color w:val="auto"/>
        </w:rPr>
        <w:t xml:space="preserve"> does not create an obligation on the part of the Company to modify the terms of this Agreement or the Plan and does not guarantee that the Restricted Stock Units or the delivery of Shares upon vesting/settlement of the Restricted Stock Units will not be subject to taxes, interest and penalties or any other adverse tax consequences under Code Section 409A. Nothing in this Agreement shall provide a basis for any person to take any action against the Company or any of its Subsidiaries based on matters covered by Code Section 409A, including the tax treatment of any amounts paid under this Agreement, and neither the Company nor any of its Subsidiaries will have any liability under any circumstances to the Participant or any other party if the Restricted Stock Units, the delivery of Shares upon vesting/settlement of the Restricted Stock Units or other payment or tax event hereunder that is intended to be exempt from, or compliant with, Code Section 409A, is not so exempt or compliant or for any action taken by the Committee with respect thereto. Further, settlement of any portion of the Restricted Stock Units that is Deferred Compensation may not be accelerated or postponed except to the extent permitted by Code Section 409A.</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By electronically accepting this Agreement and participating in the Plan, Participant agrees to be bound by the terms and conditions in the Plan and this Agreement, including the Appendix. Within six months of the Grant Date, if Participant has not electronically accepted this Agreement on Fidelity’s website, or the website of any other stock plan service provider appointed by the Company, and has not otherwise rejected the grant, then this award shall automatically be deemed accepted, and Participant shall be bound by the terms and conditions in the Plan and this Agreement, including the Appendix.</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PARTICIPANTS OUTSIDE THE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OMNIBUS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capitalized terms in this Appendix shall have the same defined meaning assigned to them in the Plan and the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Appendix includes special country-specific terms and conditions that apply to Participants in the countries listed below. This Appendix is part of the Agreement. This Appendix also includes information of which Participant should be aware with respect to his or her participation in the Plan. For example, certain individual exchange control reporting requirements may apply upon vesting of the Restricted Stock Units and/or sale of Shares. The information is based on the securities, exchange control and other laws in effect in the respective countries as of October 2025 and is provided for informational purposes. Such laws are often complex and change frequently, and results may be different based on the particular facts and circumstances. As a result, the Company recommends that Participant does not rely on the information noted herein as the only source of information relating to the consequences of Participant’s participation in the Plan because the information may be out of date at the time the Restricted Stock Units vest or are settled, or Participant sells Shares acquired under the Plan.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his or her situation.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if Participant is a citizen or resident of a country other than the one in which he or she currently is residing and/or working, transfers employment after the Restricted Stock Units are granted to him or her, or is considered a resident of another country for local law purposes, the terms and conditions and/or notifications contained herein may not be applicable to him or her, and the Company shall, in its discretion, determine to what extent such terms and conditions contained herein shall apply to him or 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DATA PRIVACY PROVISIONS APPLICABLE TO GRANTEES IN THE EUROPEAN UNION/EUROPEAN ECONOMIC AREA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provision replaces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3" w:name="page234"/>
    <w:bookmarkEnd w:id="233"/>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Data Collection and Usage</w:t>
      </w:r>
      <w:r>
        <w:rPr>
          <w:rFonts w:ascii="Times New Roman" w:cs="Times New Roman" w:eastAsia="Times New Roman" w:hAnsi="Times New Roman"/>
          <w:sz w:val="18"/>
          <w:szCs w:val="18"/>
          <w:color w:val="auto"/>
        </w:rPr>
        <w:t>. Pursuant to applicable data protection laws, Participant is hereby notified that the Company collects, processes, uses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certain personally-identifiable information about Participant for the exclusive legitimate purpose of granting Restricted Stock Units and implementing, administering and managing Participant’s participation in the Plan. Specifics of the data processing are described below. For California residents, the categories of personal information,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personal information is not sold or shared for cross-context behavioral advertising. The Company’s Global Privacy Notice is available at https://www.nuskin.com/content/global-privacy.html.</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Controller, EU Representative and DPO</w:t>
      </w:r>
      <w:r>
        <w:rPr>
          <w:rFonts w:ascii="Times New Roman" w:cs="Times New Roman" w:eastAsia="Times New Roman" w:hAnsi="Times New Roman"/>
          <w:sz w:val="18"/>
          <w:szCs w:val="18"/>
          <w:color w:val="auto"/>
        </w:rPr>
        <w:t>. The Company is the controller responsible for the processing of Participant’s personal data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Company’s representative in the European Union is NSE Products Europe BV, Da Vincilaan 9, 1930 Zaventem, Belgium, telephone number +32 2 722 70 00. Participant can reach the data protection officer (“DPO”) of the Company at +1 (801) 345-1000, 75 West Center Street, Provo, Utah 84601.</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Personal Data Subject to Processing</w:t>
      </w:r>
      <w:r>
        <w:rPr>
          <w:rFonts w:ascii="Times New Roman" w:cs="Times New Roman" w:eastAsia="Times New Roman" w:hAnsi="Times New Roman"/>
          <w:sz w:val="18"/>
          <w:szCs w:val="18"/>
          <w:color w:val="auto"/>
        </w:rPr>
        <w:t>. The Company collects, processes and uses the following types of personal data about Participant: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home address and telephone number, email address, date of birth, social insurance, passport number or other identification number, salary, nationality, job title, any Shares or directorships held in the Company, details of all Restricted Stock Units or any other entitlement to Shares awarded, canceled, settled, vested, unvested or outstanding in Participant’s favor, which the Company receives from Participant or the Employer, as well as Participant’s hire date, term date, term reason code, status, and Company’s Division (“Personal Data”).</w:t>
      </w:r>
    </w:p>
    <w:p>
      <w:pPr>
        <w:spacing w:after="0" w:line="179"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b w:val="1"/>
          <w:bCs w:val="1"/>
          <w:color w:val="auto"/>
        </w:rPr>
        <w:t>Purposes and Legal Bases of Processing</w:t>
      </w:r>
      <w:r>
        <w:rPr>
          <w:rFonts w:ascii="Times New Roman" w:cs="Times New Roman" w:eastAsia="Times New Roman" w:hAnsi="Times New Roman"/>
          <w:sz w:val="18"/>
          <w:szCs w:val="18"/>
          <w:color w:val="auto"/>
        </w:rPr>
        <w:t>. The Company processes the Personal Data for the purpose of granting Restricted Stock Units, implementing,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administering and managing Participant’s participation in the Plan. The legal basis for the processing of the Personal Data by the Company and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described below is the necessity of the data processing for the Company to perform its contractual obligations under the Agreement and generally administering employee equity awards.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Stock Plan Administration Service Providers</w:t>
      </w:r>
      <w:r>
        <w:rPr>
          <w:rFonts w:ascii="Times New Roman" w:cs="Times New Roman" w:eastAsia="Times New Roman" w:hAnsi="Times New Roman"/>
          <w:sz w:val="18"/>
          <w:szCs w:val="18"/>
          <w:color w:val="auto"/>
        </w:rPr>
        <w:t>. The Company transfers Personal Data to Fidelity Stock Plan Services, LLC and its affiliated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“Fidelity”), an independent stock plan administrator with operations, relevant to the Company, in the United States, which assists the Company with the implementation, administration and management of the Plan. In the future, the Company may select different service providers and may share Personal Data with such service providers. As a data controller, the Company’s stock plan administrator will open an account for Participant to receive and trade Shares. Participant will be asked to agree on separate terms and data processing practices with the service provider, which is a condition of Participant’s ability to participate in the Plan. Participant’s Personal Data will only be accessible by those individuals requiring access to it for purposes of implementing, administering and operating Participant’s participation in the Plan. Participant understands that Participant may request a list with the names and addresses of any potential recipients of Personal Data by contacting Participant’s local human resources representative.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International Data Transfers</w:t>
      </w:r>
      <w:r>
        <w:rPr>
          <w:rFonts w:ascii="Times New Roman" w:cs="Times New Roman" w:eastAsia="Times New Roman" w:hAnsi="Times New Roman"/>
          <w:sz w:val="18"/>
          <w:szCs w:val="18"/>
          <w:color w:val="auto"/>
        </w:rPr>
        <w:t>. The Company and its service providers, including, without limitation, Fidelity, operate, relevant to the Company,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which means that it will be necessary for Personal Data to be transferred to, and processed in, the United States. Participant understands and acknowledges that the United States is not subject to an unlimited adequacy finding by the European Commission and that Participant’s Personal Data may not have an equivalent level of protection as compared to Participant’s country of residence.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4" w:name="page235"/>
    <w:bookmarkEnd w:id="234"/>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The legal basis for the processing of the Personal Data by the Company and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is the necessity of the data processing for the Company to perform its contractual obligations under the Agreement and generally administering employee equity awards.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Data Retention</w:t>
      </w:r>
      <w:r>
        <w:rPr>
          <w:rFonts w:ascii="Times New Roman" w:cs="Times New Roman" w:eastAsia="Times New Roman" w:hAnsi="Times New Roman"/>
          <w:sz w:val="18"/>
          <w:szCs w:val="18"/>
          <w:color w:val="auto"/>
        </w:rPr>
        <w:t>. The Company will use the Personal Data only as long as necessary to implement, administer and manage Participant’s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or as required to comply with legal or regulatory obligations, including tax and securities laws. When the Company no longer needs the Personal Data, the Company will remove it from its systems. If the Company keeps data longer, it would be to satisfy tax, legal or regulatory obligations and the Company’s legal basis would be relevant laws or regulations.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Data Subject Rights</w:t>
      </w:r>
      <w:r>
        <w:rPr>
          <w:rFonts w:ascii="Times New Roman" w:cs="Times New Roman" w:eastAsia="Times New Roman" w:hAnsi="Times New Roman"/>
          <w:sz w:val="18"/>
          <w:szCs w:val="18"/>
          <w:color w:val="auto"/>
        </w:rPr>
        <w:t>. To the extent provided by law, Participant has the right to (i) inquire whether and what kind of Personal Data the Company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Participant and how it is processed, and to access or request copies of such Personal Data, (ii) request the correction or supplementation of Personal Data that is inaccurate, incomplete or out-of-date in light of the purposes underlying the processing, or (iii) obtain the erasure of Personal Data no longer necessary for the purposes underlying the processing or processed in non-compliance with applicable legal requirements. In addition, Participant has, to the extent provided by law, the right to (iv) request the Company to restrict the processing of Personal Data in certain situations where Participant feels its processing is inappropriate, (v) object, in certain circumstances, to the processing of Personal Data for legitimate interests, and to (vi) request portability of Personal Data that Participant has actively or passively provided to the Company, where the processing of such Personal Data is based on consent or a contractual agreement with Participant and is carried out by automated means. In case of concerns, Participant also has the right to (vii) lodge a complaint with the competent local data protection authority. To receive additional information regarding Participant’s rights, raise any other questions regarding the practices described in this Agreement or to exercise his or her rights, Participant should contact his or her local human resources representative.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Contractual Requirement</w:t>
      </w:r>
      <w:r>
        <w:rPr>
          <w:rFonts w:ascii="Times New Roman" w:cs="Times New Roman" w:eastAsia="Times New Roman" w:hAnsi="Times New Roman"/>
          <w:sz w:val="18"/>
          <w:szCs w:val="18"/>
          <w:color w:val="auto"/>
        </w:rPr>
        <w:t>. Participant’s provision of Personal Data and its processing as described above is required for the performance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obligations pursuant to the Plan and a condition to Participant’s ability to participate in the Plan. Participant understands that, as a consequence of Participant’s refusing to provide Personal Data, the Company may not be able to allow Participant to participate in the Plan, grant Restricted Stock Units to Participant or administer or maintain such Restricted Stock Units. However, Participant’s participation in the Plan and his or her acceptance of this Agreement are purely voluntary. While Participant will not receive Restricted Stock Units if he or she decides against participating in the Plan or providing Personal Data as described above, Participant’s career and salary will not be affected in any way. For more information on the consequences of the refusal to provide Personal Data, Participant may contact his or her local human resources representative.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AUSTRALIA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Nature of Plan</w:t>
      </w:r>
      <w:r>
        <w:rPr>
          <w:rFonts w:ascii="Times New Roman" w:cs="Times New Roman" w:eastAsia="Times New Roman" w:hAnsi="Times New Roman"/>
          <w:sz w:val="18"/>
          <w:szCs w:val="18"/>
          <w:color w:val="auto"/>
        </w:rPr>
        <w:t>. The Plan and the Agreement is a plan to which Subdivision 83A-C of the Income Tax Assessment Act 1997 (Cth) (the “Act”) applies (subject to the conditions in the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offer of the Restricted Stock Units is being made under Division 1A Part 7.12 of the Australian Corporations Act 2001 (Cth). If Participant offers Shares acquired under the Plan for sale to a person or entity resident in Australia, the offer may be subject to disclosure requirements under Australian law. Participant should obtain legal advice on any disclosure obligations prior to making any such offer.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235" w:name="page236"/>
    <w:bookmarkEnd w:id="235"/>
    <w:p>
      <w:pPr>
        <w:jc w:val="both"/>
        <w:spacing w:after="0" w:line="284"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Participant is an Australian resident, exchange control reporting is required for cash transactions exceeding AUD10,000 and for international fund transfers. If an Australian bank is assisting with the transaction, the bank will file the report on Participant’s behalf.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BELGIUM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is required to report any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Shares acquired under the Plan) or bank accounts established outside of Belgium on his or her annual tax return. In a separate report, Belgian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Participant should consult a personal tax advisor with respect to the applicable reporting obligations.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Annual Securities Accounts Tax</w:t>
      </w:r>
      <w:r>
        <w:rPr>
          <w:rFonts w:ascii="Times New Roman" w:cs="Times New Roman" w:eastAsia="Times New Roman" w:hAnsi="Times New Roman"/>
          <w:sz w:val="18"/>
          <w:szCs w:val="18"/>
          <w:color w:val="auto"/>
        </w:rPr>
        <w:t>. An annual securities accounts tax may be payable if the total average value of securities held in a Belgian or foreign securities account (e.g., Shares acquired under the Plan) exceeds a certain threshold on four reference dates within the relevant reporting period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December 31, March 31, June 30 and September 30). In such case, the tax will be due on the value of the qualifying securities held in such account. Participant should consult with a personal tax or financial advisor for additional details on Participant’s obligations with respect to the annual securities account tax.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CHINA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The following provisions apply only to Participants who are subject to exchange control restrictions imposed by the State Administration of Foreign Exchange ("SAFE"), as determined by the Company in its sole discretion: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Settlement of Restricted Stock Units</w:t>
      </w:r>
      <w:r>
        <w:rPr>
          <w:rFonts w:ascii="Times New Roman" w:cs="Times New Roman" w:eastAsia="Times New Roman" w:hAnsi="Times New Roman"/>
          <w:sz w:val="18"/>
          <w:szCs w:val="18"/>
          <w:color w:val="auto"/>
        </w:rPr>
        <w:t xml:space="preserve">. This provision supplements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Restricted Stock Units will only vest if and when the Company has completed the registration of the Plan with SAFE and provided such registration remains effective. If the Company is unable to complete the registration or maintain the registration, the settlement of the Restricted Stock Units may be delayed. Shares issued to Participant under the Plan must be maintained in an account with Fidelity or such other broker as may be designated by the Company until the Shares are sold through that broker. Due to local regulatory requirements, Participant agrees that the Company may force the sale of any Shares obtained at vesting. The sale may occur immediately upon vesting or within any other time frame as the Company determines to be necessary or advisable for legal or administrative reasons.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6" w:name="page237"/>
    <w:bookmarkEnd w:id="236"/>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due to regulatory requirements, Participant acknowledges and agrees that Participant must sell any Shares issued to Participant upon vesting of the Restricted Stock Units as soon as practicable following the termination of Participant’s Continuous Service and in no event later than six months following the termination of Participant’s Continuous Service, or within any other such time frame as may be required by SAFE. Participant agrees that if Participant continues to hold any of such Shares after this time, the Shares will be sold by the Company’s designated broker on Participant’s behalf at the instruction of the Company. Therefore, by accepting the Restricted Stock Units, Participant understands and agrees that the Company is authorized to, and may in its sole discretion, instruct its designated broker to assist with the mandatory sale of Shares (on Participant’s behalf pursuant to this authorization) and that Participant expressly authorizes the Company’s designated broker to complete the sale of such Shares. Participant acknowledges that the Company’s designated broker is under no obligation to arrange for the sale of the Shares at any particular price. Upon the sale of the Shares, the proceeds, less any Tax-Related Items and brokerage fees or commissions will be remitted to Participant pursuant to the procedures described in the “Exchange Control Information” section below.</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understands and agrees that, to facilitate compliance with exchange control requirements, Participant will be required to immediately repatriate to China the cash proceeds from the sale of the Shares issued upon the vesting of the Restricted Stock Units. Participant further understands that, under local law, such repatriation of the cash proceeds will be effectuated through a special exchange control account established by the Company or its Subsidiary in China, and Participant hereby consents and agrees that the proceeds from the sale of Shares acquired under the Plan may be transferred to such special account prior to being delivered to Participant. The Company may deliver the proceeds to Participant in U.S. dollars or local currency at the Company’s discretion. If the proceeds are paid in U.S. dollars, Participant understands that he or she will be required to set up a U.S. dollar bank account in China so that the proceeds may be deposited into this account. If the proceeds are converted to local currency, there may be delays in delivering the proceeds to Participant. Participant agrees to bear the risk of any currency fluctuation between the time the Shares are sold, either through voluntary sale or through a mandatory sale arranged by the Company, or proceeds are otherwise realized under the Plan and the time such proceeds are distributed to Participant through the special exchange control account.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further agrees to comply with any other requirements that may be imposed by the Company in the future to facilitate compliance with exchange control requirements in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DENMARK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Danish Stock Option Act</w:t>
      </w:r>
      <w:r>
        <w:rPr>
          <w:rFonts w:ascii="Times New Roman" w:cs="Times New Roman" w:eastAsia="Times New Roman" w:hAnsi="Times New Roman"/>
          <w:sz w:val="18"/>
          <w:szCs w:val="18"/>
          <w:color w:val="auto"/>
        </w:rPr>
        <w:t>. Participant acknowledges that they have received an Employer Statement in Danish attached hereto as Schedule A, which sets forth additional terms of the Restricted Stock Units, to the extent that the Danish Stock Option Act applies to the Restricted Stock Units.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be aware that as set forth in Section 1 of the Act, the Act only applies to “employees” as that term is defined in Section 2 of the Act. If Participant is a member of the registered management of a Subsidiary in Denmark or otherwise does not satisfy the definition of employee, Participant will not be subject to the Act and the Employer Statement will not apply to Participant.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Danish residents who establish an account holding Shares or an account holding cash outside Denmark must report the account to the Danish Tax Administration as part of their annual tax return under the section related to foreign affairs and income. The form which should be used in this respect can be obtained from a local bank. Participant should consult with Participant’s personal advisor(s) regarding any personal foreign asset/foreign account tax obligations Participant may have in connection with Participant’s participation in the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auto"/>
        </w:rPr>
        <w:t>GERMANY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Cross-border payments in excess of €50,000 must be reported monthly to the German Federal Bank (Bundesbank). If Participant makes or receives a payment that exceeds €50,000 (including if Participant acquires Shares with a value in excess of this amount under the Plan or sell Shares via a foreign broker, bank or service provider and receive proceeds in excess of this amount) and/or if the Company withholds or sells Shares with a value in excess of this amount to cover Tax-Related Items, Participant must report the payment and/or the value of the Shares withheld or sold to Bundesbank. Such reports must be filed either electronically using the “General Statistics Reporting Portal” (</w:t>
      </w:r>
      <w:r>
        <w:rPr>
          <w:rFonts w:ascii="Times New Roman" w:cs="Times New Roman" w:eastAsia="Times New Roman" w:hAnsi="Times New Roman"/>
          <w:sz w:val="18"/>
          <w:szCs w:val="18"/>
          <w:i w:val="1"/>
          <w:iCs w:val="1"/>
          <w:color w:val="auto"/>
        </w:rPr>
        <w:t>Allgemeine Meldeportal Statistik</w:t>
      </w:r>
      <w:r>
        <w:rPr>
          <w:rFonts w:ascii="Times New Roman" w:cs="Times New Roman" w:eastAsia="Times New Roman" w:hAnsi="Times New Roman"/>
          <w:sz w:val="18"/>
          <w:szCs w:val="18"/>
          <w:color w:val="auto"/>
        </w:rPr>
        <w:t>) available via the Bundesbank’s website (www.bundesbank.de) or by such other method as is permitted or required by Bundesbank. The report must be submitted monthly or within such timing as is permitted or required by Bundesbank. Participant is responsible for obtaining the appropriate form from the bank and complying with the applying the applicable reporting obligations.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German residents holding Shares must notify their local tax office if the acquisition of Shares under the Plan leads to a so-called qualified participation at any point during the calendar year. A qualified participation is attained only in the unlikely event (i) Participant owns at least 1% of the Company and the value of the Shares acquired exceeds €150,000, or (ii) Participant holds Shares exceeding 10% of the total capital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HONG KONG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Restricted Stock Units Only Payable in Shares</w:t>
      </w:r>
      <w:r>
        <w:rPr>
          <w:rFonts w:ascii="Times New Roman" w:cs="Times New Roman" w:eastAsia="Times New Roman" w:hAnsi="Times New Roman"/>
          <w:sz w:val="18"/>
          <w:szCs w:val="18"/>
          <w:color w:val="auto"/>
        </w:rPr>
        <w:t>. Notwithstanding any discretion in the Plan, the Restricted Stock Units will be settled in Shares only. The grant of Restricted Stock Units does not provide any right for Participant to receive a cash payment.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Restriction on Sale of Shares</w:t>
      </w:r>
      <w:r>
        <w:rPr>
          <w:rFonts w:ascii="Times New Roman" w:cs="Times New Roman" w:eastAsia="Times New Roman" w:hAnsi="Times New Roman"/>
          <w:sz w:val="18"/>
          <w:szCs w:val="18"/>
          <w:color w:val="auto"/>
        </w:rPr>
        <w:t>. Shares received under the Plan are accepted as a personal investment. Should any portion of the Restricted Stock Units vest within six months of the Grant Date, Participant agrees that Participant will not dispose of the Shares acquired at vesting prior to the six-month anniversary of the Grant Date.</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Securities Law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Warning: The contents of this document have not been reviewed by any regulatory authority in Hong Kong.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is advised to exercise caution in relation to the offer. If Participant is in any doubt about any of the contents of the Agreement, including this Appendix, or the Plan, Participant should obtain independent professional advice. The Restricted Stock Units and any Shares issued pursuant to the grant do not constitute a public offering of securities under Hong Kong law and are available only to employees of the Company.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Restricted Stock Units and any related documentation are intended only for the personal use of each eligible employee of the Company or its Subsidiaries and may not be distributed to any other person.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HUNGARY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INDIA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must repatriate the cash proceeds received upon the sale of Shares and receipt of any dividends, and convert such proceeds into local currency to India within specified timeframes as required under applicable regulations. Participant must obtain a foreign inward remittance certificate (“FIRC”) from the bank where Participant deposits the foreign currency and must maintain the FIRC as evidence of the repatriation of funds in the event the Reserve Bank of India, the Company or the Employer requests proof of repatriation. Participant may be required to provide information to the Company and/or the Employer to make any applicable filings under exchange control laws in India. Because exchange control restrictions in India change frequently, Participant should consult with a personal advisor before taking any action under the Plan.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Indian residents are required to declare any foreign bank accounts and any foreign financial assets (including Shares acquired under the Plan) in their annual tax returns. It is Participant’s responsibility to comply with this reporting obligation and Participant should consult his or her personal advisor in this regard.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INDONESIA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Language Consent and Notification</w:t>
      </w:r>
      <w:r>
        <w:rPr>
          <w:rFonts w:ascii="Times New Roman" w:cs="Times New Roman" w:eastAsia="Times New Roman" w:hAnsi="Times New Roman"/>
          <w:sz w:val="18"/>
          <w:szCs w:val="18"/>
          <w:color w:val="auto"/>
        </w:rPr>
        <w:t>. A translation of the documents related to this grant into Bahasa Indonesia can be provided to Participant upon request to hroperations@nuskin.com. By accepting the grant, Participant (i) confirms having read and understood the documents relating to this grant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Language Consent and Notification</w:t>
      </w:r>
      <w:r>
        <w:rPr>
          <w:rFonts w:ascii="Times New Roman" w:cs="Times New Roman" w:eastAsia="Times New Roman" w:hAnsi="Times New Roman"/>
          <w:sz w:val="18"/>
          <w:szCs w:val="18"/>
          <w:color w:val="auto"/>
        </w:rPr>
        <w:t>. Terjemahan dari dokumen-dokumen terkait dengan pemberian ini ke Bahasa Indonesia dapat disediakan untuk anda berdasarkan permintaan kepada hroperations@nuskin.com.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remits proceeds from the sale of Shares or the receipt of any dividends paid on such Shares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should be provided to Participant by the bank through which the transaction is made.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Participant must provide the Bank of Indonesia with information on foreign exchange activities via a monthly report submitted online through the Bank of Indonesia’s website. The report is due no later than the 15th day of the month following the month in which the activity occurred.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9" w:name="page240"/>
    <w:bookmarkEnd w:id="239"/>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should consult with Participant’s personal advisor(s) regarding any personal legal, regulatory or foreign exchange obligations Participant may have in connection with Participant’s participation in the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Indonesian residents have the obligation to report worldwide assets (including foreign accounts and Shares acquired under the Plan) in their annual individual income tax return.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JAPAN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acquires Shares valued at more than ¥100,000,000 in a single transaction, Participant must file a Securities Acquisition Report with the Ministry of Finance through the Bank of Japan within 20 days of the purchase of the Shares. Participant should consult with Participant’s personal advisor(s) regarding any personal legal, regulatory or foreign exchange obligations Participant may have in connection with Participant’s participation in the Plan.</w:t>
      </w:r>
    </w:p>
    <w:p>
      <w:pPr>
        <w:spacing w:after="0" w:line="180" w:lineRule="exact"/>
        <w:rPr>
          <w:sz w:val="20"/>
          <w:szCs w:val="20"/>
          <w:color w:val="auto"/>
        </w:rPr>
      </w:pPr>
    </w:p>
    <w:p>
      <w:pPr>
        <w:jc w:val="both"/>
        <w:spacing w:after="0" w:line="195"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will be required to report details of any assets (including any Shares acquired under the Plan) held outside of Japan as of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year, to the extent such assets have a total net fair market value exceeding ¥50,000,000. Such report will be due by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following year. Participant should consult with his or her personal tax advisor as to whether the reporting obligation applies to Participant and whether Participant will be required to report details of any outstanding Restricted Stock Units or Shares held by Participant in the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KOREA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xml:space="preserve"> Korean residents may need to file a report with a Korean foreign exchange bank if the Korean resident sells Shares acquired under the Plan and/or receives cash dividends in excess of a certain threshold (currently US$5,000) (per transaction) and deposits the proceeds into a non-Korean bank account. The reporting is not required if proceeds are deposited into a non-Korean brokerage account. Participant is responsible for complying with any applicable exchange control reporting obligations in Korea and should consult with a personal legal advisor to determine their personal reporting obligations.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Korean residents must declare all foreign financial accounts (e.g., non-Korean bank accounts, brokerage accounts) to the Korean tax authority and file a report with respect to such accounts in June of the following year if the monthly balance of such accounts exceeds KRW 500 million (or an equivalent amount in foreign currency) on any month-end date during a calendar year. Participant should consult with Participant’s personal advisor(s) regarding any personal foreign asset/foreign account tax obligations Participant may have in connection with Participant’s participation in the Plan.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auto"/>
        </w:rPr>
        <w:t>MALAYSIA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agrees that, if so requested by the Company, the Employer or any third party designated by the Company or the Employer, Participant must execute and return a compliance declaration related to Participant’s foreign investments to such person, as provided by the Company or the Employer in order to participate in the Plan. Participant understands that failure to do so may prevent Participant from being able to participate in the Plan.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Director Notification Information</w:t>
      </w:r>
      <w:r>
        <w:rPr>
          <w:rFonts w:ascii="Times New Roman" w:cs="Times New Roman" w:eastAsia="Times New Roman" w:hAnsi="Times New Roman"/>
          <w:sz w:val="18"/>
          <w:szCs w:val="18"/>
          <w:color w:val="auto"/>
        </w:rPr>
        <w:t>. If Participant is a director of a Malaysian Subsidiary, Participant is subject to certain notification requirements under the Malaysian Companies Act, 1965. Among these requirements is an obligation to notify the Malaysian Subsidiary in writing when Participant receives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Restricted Stock Units) in the Company or any related companies. In addition, Participant must notify the Malaysian Subsidiary when Participant sells Shares of the Company or any related company (including when Participant sells Shares acquired under the Plan). These notifications must be made within fourteen days of acquiring or disposing of any interest in the Company or any related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Privacy Notice and Consent</w:t>
      </w:r>
      <w:r>
        <w:rPr>
          <w:rFonts w:ascii="Times New Roman" w:cs="Times New Roman" w:eastAsia="Times New Roman" w:hAnsi="Times New Roman"/>
          <w:sz w:val="18"/>
          <w:szCs w:val="18"/>
          <w:color w:val="auto"/>
        </w:rPr>
        <w:t xml:space="preserve">. This provision replaces in its entirety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Agreement:</w:t>
      </w:r>
    </w:p>
    <w:p>
      <w:pPr>
        <w:sectPr>
          <w:pgSz w:w="11900" w:h="16838" w:orient="portrait"/>
          <w:cols w:equalWidth="0" w:num="1">
            <w:col w:w="11240"/>
          </w:cols>
          <w:pgMar w:left="320" w:top="117" w:right="339" w:bottom="1440" w:gutter="0" w:footer="0" w:header="0"/>
        </w:sectPr>
      </w:pP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 or other form, of Participant’s personal data, as described in this Agreement and any other Restricted Stock Unit grant materials by and among, as applicable, the Employer, the Company and Subsidiaries for the exclusive purpose of implementing, administering and managing Participant’s participation in the Plan.</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Employer, the Company and Subsidiaries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for the exclusive purpose of implementing, administering and managing the Plan (“Data”). The Data is supplied by the Employer and also by me through information collected in connection with the Agreement and the Plan.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Peserta dengan ini secara eksplisit dan tanpa sebarang keraguan mengizinkan pengumpulan, penggunaan dan pemindahan, dalam bentuk elektronik atau lain-lain, data peribadi Peserta seperti yang diterangkan dalam Perjanjian dan bahan-bahan geran Unit Saham Terbatas yang lain oleh dan di antara, seperti yang berkenaan, Majikan, Syarikat dan Anak-anak Syarikat untuk tujuan yang eksklusif bagi melaksanakan, mentadbir dan menguruskan penyertaan Peserta di dalam Pelan.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Peserta memahami bahawa Majikan, Syarikat and Anak-anak Syarikat mungkin memegang maklumat peribadi tertentu tentang Peserta, termasuk, tetapi tidak terhad kepada, nama Peserta, alamat rumah dan nombor telefon, tarikh lahir, nombor insurans sosial atau nombor pengenalan lain, gaji, kewarganegaraan, jawatan, apa-apa Syer atau jawatan pengarah yang dipegang dalam Syarikat, butir-butir semua Unit Saham Terbatas, atau apa-apa hak lain atas Syer yang dianugerahkan, dibatalkan, dilaksanakan, terletak hak, tidak diletak hak ataupun yang belum dijelaskan bagi faedah Peserta, untuk tujuan eksklusif bagi melaksanakan, mentadbir dan menguruskan Pelan tersebut ("Data"). Data tersebut dibekalkan oleh Majikan dan juga oleh saya berkenaan dengan Perjanjian dan Pelan.</w:t>
      </w:r>
    </w:p>
    <w:p>
      <w:pPr>
        <w:spacing w:after="0" w:line="200" w:lineRule="exact"/>
        <w:rPr>
          <w:sz w:val="20"/>
          <w:szCs w:val="20"/>
          <w:color w:val="auto"/>
        </w:rPr>
      </w:pPr>
    </w:p>
    <w:p>
      <w:pPr>
        <w:sectPr>
          <w:pgSz w:w="11900" w:h="16838" w:orient="portrait"/>
          <w:cols w:equalWidth="0" w:num="2">
            <w:col w:w="5520" w:space="220"/>
            <w:col w:w="5500"/>
          </w:cols>
          <w:pgMar w:left="320" w:top="117" w:right="339" w:bottom="1440" w:gutter="0" w:footer="0" w:header="0"/>
          <w:type w:val="continuous"/>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1" w:name="page242"/>
    <w:bookmarkEnd w:id="241"/>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Fidelity,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at +60-03-2170-7700. Participant authorizes the Company, Fidelity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adverse consequence of refusing or withdrawing Participant’s consent is that the Company may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his or her local human resources representative.</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Peserta memahami bahawa Data ini akan dipindahkan kepada Fidelity, atau mana-mana pembekal perkhidmatan pelan saham lain sebagaimana yang dipilih oleh Syarikat pada masa depan, yang membantu Syarikat dengan pelaksanaan, pentadbiran dan pengurusan Pelan. Peserta memahami bahawa penerima-penerima Data mungkin berada di Amerika Syarikat atau mana-mana tempat lain, dan bahawa negara penerima-penerima (contohnya, Amerika Syarikat) mungkin mempunyai undang-undang privasi data dan perlindungan yang berbeza daripada negara Peserta. Peserta memahami bahawa sekiranya Peserta menetap di luar Amerika Syarikat, Peserta boleh meminta satu senarai yang mengandungi nama-nama dan alamat-alamat penerima-penerima Data yang berpotensi dengan menghubungi wakil sumber manusia tempatan peserta di +60-03-2170-7700. Peserta memberi kuasa kepada Syarikat, Fidelity dan mana-mana penerima-penerima kemungkinan lain yang mungkin akan membantu Syarikat (pada masa sekarang atau pada masa depan) dengan melaksanakan, mentadbir dan menguruskan Pelan untuk menerima, memiliki, menggunakan, mengekalkan dan memindahkan Data, dalam bentuk elektronik atau lain-lain, bagi tujuan-tujuan untuk melaksanakan, mentadbir dan menguruskan penyertaan Peserta di dalam Pelan, termasuk segala pemindahan Data tersebut sebagaimana yang dikehendaki kepada broker, egen eskrow atau pihak ketiga dengan siapa Saham diterima semasa peletakhakan Unit Saham Terbatas mungkin didepositkan. Peserta memahami bahawa Data hanya akan disimpan selagi ia adalah diperlukan untuk melaksanakan, mentadbir, dan menguruskan penyertaan peserta dalam Pelan. Peserta memahami bahawa sekiranya peserta menetap di luar Amerika Syarikat, peserta boleh, pada bila-bila masa, 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 Selanjutnya, Peserta memahami bahawa peserta memberikan persetujuan di sini secara sukarela semata-mata. Sekiranya Peserta tidak bersetuju, atau sekiranya Peserta kemudian membatalkan persetujuannya, status pekerjaan atau perkhidmatan dan kerjaya Peserta dengan Majikan tidak akan terjejas; satu-satunya akibat buruk sekiranya Peserta tidak bersetuju atau menarik balik persetujuan Peserta adalah bahawa Syarikat tidak akan dapat memberikan Unit Saham Terbatas atau anugerah ekuiti lain atau mentadbir atau mengekalkan anugerah-anugerah tersebut kepada Peserta. Oleh itu, Peserta memahami bahawa keengganan atau penarikan balik persetujuan peserta boleh menjejaskan keupayaan Peserta untuk mengambil bahagian dalam Pelan. Untuk maklumat lebih lanjut mengenai akibat-akibat keengganan Peserta untuk memberikan keizinan atau penarikan balik keizinan, Peserta memahami bahawa Peserta boleh menghubungi wakil sumber manusia tempatan.</w:t>
      </w:r>
    </w:p>
    <w:p>
      <w:pPr>
        <w:spacing w:after="0" w:line="200" w:lineRule="exact"/>
        <w:rPr>
          <w:sz w:val="20"/>
          <w:szCs w:val="20"/>
          <w:color w:val="auto"/>
        </w:rPr>
      </w:pPr>
    </w:p>
    <w:p>
      <w:pPr>
        <w:sectPr>
          <w:pgSz w:w="11900" w:h="16838" w:orient="portrait"/>
          <w:cols w:equalWidth="0" w:num="2">
            <w:col w:w="5520" w:space="220"/>
            <w:col w:w="5500"/>
          </w:cols>
          <w:pgMar w:left="320" w:top="117"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NETHERLANDS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PHILIPPINES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This offering is subject to exemption from the requirements of securities registration with the Philippines Securities and Exchange Commission, under Section 10.1(k) of the Philippine Securities Regulation Code.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3" w:name="page244"/>
    <w:bookmarkEnd w:id="243"/>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further information on risk factors impacting the Company’s business that may affect the value of the Shares, Participant may refer to the risk factors discussion in the Company's Annual Report on Form 10-K and Quarterly Reports on Form 10-Q, which are filed with the U.S. Securities and Exchange Commission and are available online at www.sec.gov, as well as on the Company's website at http://ir.nuskin.com. In addition, Participant may receive, free of charge, a copy of the Company's Annual Report, Quarterly Reports or any other reports, proxy statements or communications distributed to the Company's stockholders by contacting Investor Relations Department at 75 West Center Street, Provo, Utah 84601.</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 acknowledges he or she is permitted to dispose or sell Shares acquired under the Plan provided the offer and resale of such shares takes place outside the Philippines through the facilities of a stock exchange on which the Shares are listed. The Shares are currently listed on the New York Stock Exchange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Sale Restriction</w:t>
      </w:r>
      <w:r>
        <w:rPr>
          <w:rFonts w:ascii="Times New Roman" w:cs="Times New Roman" w:eastAsia="Times New Roman" w:hAnsi="Times New Roman"/>
          <w:sz w:val="18"/>
          <w:szCs w:val="18"/>
          <w:color w:val="auto"/>
        </w:rPr>
        <w:t>. Participant agrees that any Shares acquired pursuant to the Restricted Stock Units will not be offered for sale in Singapore prior to the six-month anniversary of the Grant Date, unless such offer or sale is made pursuant to the exemptions under Part XIII Division (1) Subdivision (4) (other than section 280) of the Securities and Futures Act (Chapter 289, 2006 Ed.) (“SFA”) , or pursuant to, and in accordance with the conditions of, any other applicable provisions of the SFA.</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grant of the Restricted Stock Units is made pursuant to the “Qualifying Person” exemption under section 273(1)(f) of the SFA and is not made to Participant with a view of the Restricted Stock Units being subsequently offered for sale to any other party. The Plan has not been lodged or registered as a prospectus with the Monetary Authority of Singapore and hence, statutory liability under the SFA in relation to the content of prospectuses will not apply. Participant should note that the Award is subject to section 257 of the SFA and Participant will not be able to make (i) any subsequent sale of the Shares in Singapore or (ii) any offer of such subsequent sale of the Shares subject to the Award in Singapore, unless such sale or offer is made (a) more than six months after the Grant Date or (b) pursuant to the exemptions under Part XIII Division (1) Subdivision (4) (other than section 280) of the SFA (Chapter 289, 2006 Ed.) or pursuant to, and in accordance with the conditions of, any other applicable provisions of the SFA.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Director Notification Requirement</w:t>
      </w:r>
      <w:r>
        <w:rPr>
          <w:rFonts w:ascii="Times New Roman" w:cs="Times New Roman" w:eastAsia="Times New Roman" w:hAnsi="Times New Roman"/>
          <w:sz w:val="18"/>
          <w:szCs w:val="18"/>
          <w:color w:val="auto"/>
        </w:rPr>
        <w:t>. Directors, associate directors and shadow directors of a Singapore Subsidiary are subject to certain notification requirements under the Singapore Companies Act. The directors, associate directors and shadow directors must notify the Singapore Subsidiary in writing of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Restricted Stock Units, Shares, etc.) in the Company or any related companies within two business days of (i) its acquisition or disposal, (ii) any change in a previously disclosed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when the Shares are sold), or (iii) becoming a director, associate director or shadow director.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TAIWAN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xml:space="preserve">. Participant hereby acknowledges that he or she has read and understood the terms regarding collection, processing and transfer of Data contained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Agreement and by participating in the Plan, Participant agrees to such terms. In this regard, upon request of the Company or the Employer,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Participant understands he or she will not be able to participate in the Plan if Participant fails to execute any such consent or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Restricted Stock Units and the Shares to be issued pursuant to the Plan are available only to employees of the Company and its Subsidiaries. The grant of the Restricted Stock Units does not constitute a public offer of securities by a Taiwanese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may remit foreign currency (including proceeds from the sale of Shares or the receipt of any dividends paid on such Shares) into or out of Taiwan up to US$10,000,000 per year without special permission. If the transaction amount is TWD500,000 or more in a single transaction, Participant must submit a Foreign Exchange Transaction Form to the remitting bank and provide supporting documentation to the satisfaction of the remitting bank. If the transaction amount is US$500,000 or more, Participant may be required to provide supporting documentation to the satisfaction of the remitting bank.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THAILAND</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receives proceeds from the sale of Shares or cash dividends in relation to the Shares in excess of US$1,000,000 in a single transaction, Participant must immediately repatriate the funds to Thailand (or utilize such funds offshore for permissible purposes) and convert the funds to Thai Baht within 360 days of repatriation or deposit the funds in an authorized foreign exchange account in Thailand. Participant is also required to provide details of the transaction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identification information and purpose of the transaction) to the receiving bank.</w:t>
      </w:r>
    </w:p>
    <w:p>
      <w:pPr>
        <w:spacing w:after="0" w:line="178"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color w:val="auto"/>
        </w:rPr>
        <w:t>If Participant does not repatriate such funds and utilizes them offshore for permissible purposes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purposes not listed in the negative list prescribed by the Bank of Thailand), Participant must obtain a waiver of the repatriation requirement from a commercial bank in Thailand by submitting an application and supporting documents evidencing that such funds will be utilized offshore for permissible purposes.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Participant should consult with Participant’s personal advisor(s) regarding any personal legal, regulatory or foreign exchange obligations Participant may have in connection with Participant’s participation in the Plan.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DENMARK EMPLOYER STATEMENT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SÆRLIG MEDDELELSE TIL MEDARBEJDERE I DANMARK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ARBEJDSGIVERERKLÆRING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henhold til § 3, stk. 1, i lov om brug af køberet eller tegningsret mv. i ansættelsesforhold ("Aktieoptionsloven") er medarbejderen ("Medarbejderen") berettiget til i en særskilt skriftlig erklæring at modtage følgende oplysninger vedrørende incitamentsordningen 2024 Omnibus Incentive Plan ("Planen") hos Nu Skin Enterprises, Inc. ("Selskabet").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Denne erklæring indeholder kun de oplysninger, der er nævnt i Aktieoptionsloven, mens de øvrige vilkår og betingelser for Medarbejderens tildeling af " Restricted Stock Units" er nærmere beskrevet i Planen, " Restricted Stock Unit Agreement" ("Aftalen") og det øvrige tildelingsmateriale, som er blevet udleveret. Begreber, der står med stort begyndelsesbogstav i denne Arbejdsgivererklæring, men som ikke er defineret heri, har samme betydning som de begreber, der er defineret i Planen eller Aftalen.</w:t>
      </w:r>
    </w:p>
    <w:p>
      <w:pPr>
        <w:spacing w:after="0" w:line="180" w:lineRule="exact"/>
        <w:rPr>
          <w:sz w:val="20"/>
          <w:szCs w:val="20"/>
          <w:color w:val="auto"/>
        </w:rPr>
      </w:pPr>
    </w:p>
    <w:p>
      <w:pPr>
        <w:ind w:left="580" w:hanging="572"/>
        <w:spacing w:after="0"/>
        <w:tabs>
          <w:tab w:leader="none" w:pos="5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Tidspunkt for tildeling af den vederlagsfri ret til at modtage aktier mod opfyldelse af visse betingelser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Tidspunktet for tildelingen af "Restricted Stock Units" er den dato, hvor Bestyrelsens Vederlagsudvalg ("Udvalget") godkendte tildelingen.</w:t>
      </w:r>
    </w:p>
    <w:p>
      <w:pPr>
        <w:spacing w:after="0" w:line="225" w:lineRule="exact"/>
        <w:rPr>
          <w:sz w:val="20"/>
          <w:szCs w:val="20"/>
          <w:color w:val="auto"/>
        </w:rPr>
      </w:pPr>
    </w:p>
    <w:p>
      <w:pPr>
        <w:ind w:left="600" w:hanging="592"/>
        <w:spacing w:after="0"/>
        <w:tabs>
          <w:tab w:leader="none" w:pos="6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Kriterier og betingelser for tildeling af retten til senere at modtage aktier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Kun Selskabets Medarbejdere, bestyrelsesmedlemmer og konsulenter kan deltage i Planen. Tildeling af " Restricted Stock Units" i henhold til Planen sker efter Selskabets eget skøn og har til formål at give Selskabet og dets datterselskaber mulighed for at tiltrække og fastholde udvalgte medarbejdere, som forventes at bidrage til Selskabets success og opnå langsigtede mål til gavn for Selskabets aktionærer. Medarbejderen har ikke nogen ret til eller noget krav på fremover at få tildelt " Restricted Stock Units".</w:t>
      </w:r>
    </w:p>
    <w:p>
      <w:pPr>
        <w:spacing w:after="0" w:line="180" w:lineRule="exact"/>
        <w:rPr>
          <w:sz w:val="20"/>
          <w:szCs w:val="20"/>
          <w:color w:val="auto"/>
        </w:rPr>
      </w:pPr>
    </w:p>
    <w:p>
      <w:pPr>
        <w:ind w:left="600" w:hanging="592"/>
        <w:spacing w:after="0"/>
        <w:tabs>
          <w:tab w:leader="none" w:pos="6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Modningstidspunkt eller -periode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Dine "Restricted Stock Units" optjenes over et antal år som fastsat i Aftalen. Dine "Restricted Stock Units"r vil ved optjeningen blive konverteret til et tilsvarende antal ordinære aktier i Selskabet. Optjeningen kan accelerere under visse andre omstændigheder som beskrevet i Aftalen.</w:t>
      </w:r>
    </w:p>
    <w:p>
      <w:pPr>
        <w:spacing w:after="0" w:line="162" w:lineRule="exact"/>
        <w:rPr>
          <w:sz w:val="20"/>
          <w:szCs w:val="20"/>
          <w:color w:val="auto"/>
        </w:rPr>
      </w:pPr>
    </w:p>
    <w:p>
      <w:pPr>
        <w:ind w:left="600" w:hanging="592"/>
        <w:spacing w:after="0"/>
        <w:tabs>
          <w:tab w:leader="none" w:pos="6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Udnyttelseskurs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betales ingen udnyttelseskurs ved modning af "Restricted Stock Units" eller udstedelse af aktier til Medarbejderen.</w:t>
      </w:r>
    </w:p>
    <w:p>
      <w:pPr>
        <w:spacing w:after="0" w:line="225" w:lineRule="exact"/>
        <w:rPr>
          <w:sz w:val="20"/>
          <w:szCs w:val="20"/>
          <w:color w:val="auto"/>
        </w:rPr>
      </w:pPr>
    </w:p>
    <w:p>
      <w:pPr>
        <w:ind w:left="600" w:hanging="592"/>
        <w:spacing w:after="0"/>
        <w:tabs>
          <w:tab w:leader="none" w:pos="6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Medarbejderens retsstilling i forbindelse med fratræden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Såfremt du fratræder din stilling, vil dine "Restricted Stock Units" blive behandlet i overensstemmelse med ophørsbestemmelserne i Aftalen, der kan opsummeres til følgende: Undtagen i tilfælde af en "Change in Control" (som beskrevet i Aftalen) hvis dit ansættelsesforhold bringes til ophør, bortfalder dine ikke-optjente "Restricted Stock Units".</w:t>
      </w:r>
    </w:p>
    <w:p>
      <w:pPr>
        <w:spacing w:after="0" w:line="176" w:lineRule="exact"/>
        <w:rPr>
          <w:sz w:val="20"/>
          <w:szCs w:val="20"/>
          <w:color w:val="auto"/>
        </w:rPr>
      </w:pPr>
    </w:p>
    <w:p>
      <w:pPr>
        <w:ind w:left="600" w:hanging="592"/>
        <w:spacing w:after="0"/>
        <w:tabs>
          <w:tab w:leader="none" w:pos="6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Økonomiske aspekter ved at deltage i Planen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Tildelingen af "Restricted Stock Units" har ingen umiddelbare økonomiske konsekvenser for Medarbejderen. Værdien af "Restricted Stock Units" indgår ikke i beregningen af feriepenge, pensionsbidrag eller andre lovpligtige, vederlagsafhængige ydelser.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Ordinære aktier er finansielle instrumenter. Den fremtidige værdi af de underliggende aktier i forbindelse med "Restricted Stock Units" kendes ikke og kan ikke forudsiges med sikkerhed.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OMNIBUS INCENTIVE PLAN,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RESTRICTED STOCK UNIT AGREEMENT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Performance Restricted Stock Unit Agreement, Participant’s award information (the “Award Summary”), which can be accessed on the Fidelity website (currently www.fidelity.com) or the website of such other stock plan administrator(s) that the Company may select in the future, and the Appendix for Participant’s country contained in this agreement, if any, (collectively, this “Agreement”) set forth the terms and conditions of the Performance Restricted Stock Units granted to Participant under the Nu Skin Enterprises, Inc. 2024 Omnibus Incentive Plan, as it may be amended from time to time (the “Plan”). In the event of a conflict between (i) the terms and conditions of the Plan; and (ii) the terms and conditions of this Agreement, the terms and conditions of the Plan shall prevail. Unless otherwise defined herein, the capitalized terms in this Agreement shall have the same defined meaning assigned to them in the Plan.</w:t>
      </w:r>
    </w:p>
    <w:p>
      <w:pPr>
        <w:spacing w:after="0" w:line="185" w:lineRule="exact"/>
        <w:rPr>
          <w:sz w:val="20"/>
          <w:szCs w:val="20"/>
          <w:color w:val="auto"/>
        </w:rPr>
      </w:pPr>
    </w:p>
    <w:p>
      <w:pPr>
        <w:ind w:left="660" w:hanging="652"/>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Performance Restricted Stock Units.</w:t>
      </w:r>
    </w:p>
    <w:p>
      <w:pPr>
        <w:spacing w:after="0" w:line="225" w:lineRule="exact"/>
        <w:rPr>
          <w:rFonts w:ascii="Times New Roman" w:cs="Times New Roman" w:eastAsia="Times New Roman" w:hAnsi="Times New Roman"/>
          <w:sz w:val="18"/>
          <w:szCs w:val="18"/>
          <w:color w:val="auto"/>
        </w:rPr>
      </w:pPr>
    </w:p>
    <w:p>
      <w:pPr>
        <w:jc w:val="both"/>
        <w:ind w:firstLine="656"/>
        <w:spacing w:after="0" w:line="259" w:lineRule="auto"/>
        <w:tabs>
          <w:tab w:leader="none" w:pos="1252"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Grant of Performance Restricted Stock Units. </w:t>
      </w:r>
      <w:r>
        <w:rPr>
          <w:rFonts w:ascii="Times New Roman" w:cs="Times New Roman" w:eastAsia="Times New Roman" w:hAnsi="Times New Roman"/>
          <w:sz w:val="18"/>
          <w:szCs w:val="18"/>
          <w:color w:val="auto"/>
        </w:rPr>
        <w:t>Effective as of the date of grant specified in the Award Summary (the “Grant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grants to Participant an award of [*]% of the number of Performance Restricted Stock Units specified in the Award Summary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 of the number of Performance Restricted Stock Units that would vest upon [Performance Vesting Provisions], as set forth in Schedule A below). Each Performance Restricted Stock Unit is a bookkeeping entry representing the Company’s unfunded promise to deliver one Share on the terms provided herein and in the Plan.</w:t>
      </w:r>
    </w:p>
    <w:p>
      <w:pPr>
        <w:spacing w:after="0" w:line="179" w:lineRule="exact"/>
        <w:rPr>
          <w:rFonts w:ascii="Times New Roman" w:cs="Times New Roman" w:eastAsia="Times New Roman" w:hAnsi="Times New Roman"/>
          <w:sz w:val="18"/>
          <w:szCs w:val="18"/>
          <w:color w:val="auto"/>
        </w:rPr>
      </w:pPr>
    </w:p>
    <w:p>
      <w:pPr>
        <w:ind w:right="20" w:firstLine="656"/>
        <w:spacing w:after="0" w:line="286" w:lineRule="auto"/>
        <w:tabs>
          <w:tab w:leader="none" w:pos="1339"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of Performance Restricted Stock Units. </w:t>
      </w:r>
      <w:r>
        <w:rPr>
          <w:rFonts w:ascii="Times New Roman" w:cs="Times New Roman" w:eastAsia="Times New Roman" w:hAnsi="Times New Roman"/>
          <w:sz w:val="18"/>
          <w:szCs w:val="18"/>
          <w:color w:val="auto"/>
        </w:rPr>
        <w:t>The Performance Restricted Stock Units shall be divided into tranches and vest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described in Schedule A below, except as otherwise provided in this Agreement, including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Continuous Service.</w:t>
      </w:r>
    </w:p>
    <w:p>
      <w:pPr>
        <w:spacing w:after="0" w:line="229" w:lineRule="exact"/>
        <w:rPr>
          <w:rFonts w:ascii="Times New Roman" w:cs="Times New Roman" w:eastAsia="Times New Roman" w:hAnsi="Times New Roman"/>
          <w:sz w:val="18"/>
          <w:szCs w:val="18"/>
          <w:color w:val="auto"/>
        </w:rPr>
      </w:pPr>
    </w:p>
    <w:p>
      <w:pPr>
        <w:jc w:val="both"/>
        <w:ind w:left="980" w:firstLine="324"/>
        <w:spacing w:after="0" w:line="261" w:lineRule="auto"/>
        <w:tabs>
          <w:tab w:leader="none" w:pos="1973"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Participant’s Continuous Service (as defined in </w:t>
      </w:r>
      <w:r>
        <w:rPr>
          <w:rFonts w:ascii="Times New Roman" w:cs="Times New Roman" w:eastAsia="Times New Roman" w:hAnsi="Times New Roman"/>
          <w:sz w:val="18"/>
          <w:szCs w:val="18"/>
          <w:u w:val="single" w:color="auto"/>
          <w:color w:val="auto"/>
        </w:rPr>
        <w:t>Section 1(g)(ii)</w:t>
      </w:r>
      <w:r>
        <w:rPr>
          <w:rFonts w:ascii="Times New Roman" w:cs="Times New Roman" w:eastAsia="Times New Roman" w:hAnsi="Times New Roman"/>
          <w:sz w:val="18"/>
          <w:szCs w:val="18"/>
          <w:color w:val="auto"/>
        </w:rPr>
        <w:t xml:space="preserve"> below) is terminated for any reason prior to the full vesting of the Performance Restricted Stock Units, the Performance Restricted Stock Units granted hereunder shall be canceled to the extent they are not vested as of the termination of Participant’s Continuous Service, as determined in accordance with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below, and Participant shall not have any right to receive any Shares subject to such unvested Performance Restricted Stock Units.</w:t>
      </w:r>
    </w:p>
    <w:p>
      <w:pPr>
        <w:spacing w:after="0" w:line="179" w:lineRule="exact"/>
        <w:rPr>
          <w:rFonts w:ascii="Times New Roman" w:cs="Times New Roman" w:eastAsia="Times New Roman" w:hAnsi="Times New Roman"/>
          <w:sz w:val="18"/>
          <w:szCs w:val="18"/>
          <w:color w:val="auto"/>
        </w:rPr>
      </w:pPr>
    </w:p>
    <w:p>
      <w:pPr>
        <w:jc w:val="both"/>
        <w:ind w:left="980" w:firstLine="324"/>
        <w:spacing w:after="0" w:line="255" w:lineRule="auto"/>
        <w:tabs>
          <w:tab w:leader="none" w:pos="1940"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Continuous Service shall not be deemed to have terminated merely because of a change in the capacity in which Participant renders service to the Company or a Subsidiary as an Employee, Consultant, or Director, or a change in the entity for which Participant renders such service, provided that there is no interruption or termination of Participant’s Continuous Service. For example, a change in status from an Employee of the Company to a Consultant of a Subsidiary or a Director will not constitute an interruption of Continuous Service. Subject to the requirements of applicable law, the Committee, in its sole discretion, shall determine whether Continuous Service shall be considered interrupted in the case of any leave of absence approved by the Company or a Subsidiary, including sick leave, military leave or any other personal leave.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47" w:name="page248"/>
    <w:bookmarkEnd w:id="247"/>
    <w:p>
      <w:pPr>
        <w:ind w:left="1320" w:hanging="664"/>
        <w:spacing w:after="0"/>
        <w:tabs>
          <w:tab w:leader="none" w:pos="13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Performance Restricted Stock Units.</w:t>
      </w:r>
    </w:p>
    <w:p>
      <w:pPr>
        <w:spacing w:after="0" w:line="229" w:lineRule="exact"/>
        <w:rPr>
          <w:rFonts w:ascii="Times New Roman" w:cs="Times New Roman" w:eastAsia="Times New Roman" w:hAnsi="Times New Roman"/>
          <w:sz w:val="18"/>
          <w:szCs w:val="18"/>
          <w:color w:val="auto"/>
        </w:rPr>
      </w:pPr>
    </w:p>
    <w:p>
      <w:pPr>
        <w:ind w:left="980" w:right="20" w:firstLine="324"/>
        <w:spacing w:after="0" w:line="282" w:lineRule="auto"/>
        <w:tabs>
          <w:tab w:leader="none" w:pos="1908"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the Plan and this Agreement, Performance Restricted Stock Units shall be settled in Shares, provided that Participant has satisfied any Tax-Related Items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below.</w:t>
      </w:r>
    </w:p>
    <w:p>
      <w:pPr>
        <w:spacing w:after="0" w:line="161" w:lineRule="exact"/>
        <w:rPr>
          <w:rFonts w:ascii="Times New Roman" w:cs="Times New Roman" w:eastAsia="Times New Roman" w:hAnsi="Times New Roman"/>
          <w:sz w:val="18"/>
          <w:szCs w:val="18"/>
          <w:color w:val="auto"/>
        </w:rPr>
      </w:pPr>
    </w:p>
    <w:p>
      <w:pPr>
        <w:jc w:val="both"/>
        <w:ind w:left="980" w:firstLine="324"/>
        <w:spacing w:after="0" w:line="261" w:lineRule="auto"/>
        <w:tabs>
          <w:tab w:leader="none" w:pos="1924"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will be issued to Participant within 70 days following the vesting of each tranche of Performance Restricted Stock Units; provided, however, that if the Participant is a “United States person” as defined in Section 7701(a)(30) of the Internal Revenue Code of 1986, as amended, (a “U.S. Taxpayer”) holding Section 409A Change of Control Units, the Shares will be issued in accordance with the following schedule:</w:t>
      </w:r>
    </w:p>
    <w:p>
      <w:pPr>
        <w:spacing w:after="0" w:line="179" w:lineRule="exact"/>
        <w:rPr>
          <w:rFonts w:ascii="Times New Roman" w:cs="Times New Roman" w:eastAsia="Times New Roman" w:hAnsi="Times New Roman"/>
          <w:sz w:val="18"/>
          <w:szCs w:val="18"/>
          <w:color w:val="auto"/>
        </w:rPr>
      </w:pPr>
    </w:p>
    <w:p>
      <w:pPr>
        <w:ind w:left="980" w:right="80" w:firstLine="972"/>
        <w:spacing w:after="0" w:line="258" w:lineRule="auto"/>
        <w:tabs>
          <w:tab w:leader="none" w:pos="2652"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event giving rise to the vesting acceleration occurs prior to the Change in Control and the Change in Control constitutes a “change in control event” (within the meaning of U.S. Treasury Regulation 1.409A-3(i)(5)(i)) (a “409A CIC”), the Shares will be issued on the date of the Change in Control, and if the Change in Control does not constitute a 409A CIC, the Shares will be issued on the date that is six months following the Participant’s “separation from service” (within the meaning of Code Section 409A) (a “Separation from Service”); and</w:t>
      </w:r>
    </w:p>
    <w:p>
      <w:pPr>
        <w:spacing w:after="0" w:line="183" w:lineRule="exact"/>
        <w:rPr>
          <w:rFonts w:ascii="Times New Roman" w:cs="Times New Roman" w:eastAsia="Times New Roman" w:hAnsi="Times New Roman"/>
          <w:sz w:val="18"/>
          <w:szCs w:val="18"/>
          <w:color w:val="auto"/>
        </w:rPr>
      </w:pPr>
    </w:p>
    <w:p>
      <w:pPr>
        <w:ind w:left="980" w:right="80" w:firstLine="972"/>
        <w:spacing w:after="0" w:line="261" w:lineRule="auto"/>
        <w:tabs>
          <w:tab w:leader="none" w:pos="2642"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event giving rise to the vesting acceleration occurs on or following the Change in Control and the Change in Control constitutes a 409A CIC, then the Shares will be issued within 30 days following the Participant’s Separation from Service, and if the Change in Control is not a 409A CIC, then the Shares will be issued on the date that is six months following the Participant’s Separation from Service.</w:t>
      </w:r>
    </w:p>
    <w:p>
      <w:pPr>
        <w:spacing w:after="0" w:line="179" w:lineRule="exact"/>
        <w:rPr>
          <w:rFonts w:ascii="Times New Roman" w:cs="Times New Roman" w:eastAsia="Times New Roman" w:hAnsi="Times New Roman"/>
          <w:sz w:val="18"/>
          <w:szCs w:val="18"/>
          <w:color w:val="auto"/>
        </w:rPr>
      </w:pPr>
    </w:p>
    <w:p>
      <w:pPr>
        <w:jc w:val="both"/>
        <w:ind w:left="980" w:firstLine="324"/>
        <w:spacing w:after="0" w:line="255" w:lineRule="auto"/>
        <w:tabs>
          <w:tab w:leader="none" w:pos="1908"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for purposes of complying with Code Section 409A, if the Participant is a U.S. Taxpayer holding Section 409A Change of Control Units, (A) the Company and the Participant shall take all steps necessary (including with regard to any post-termination services by the Participant) to ensure that a termination contemplated under </w:t>
      </w:r>
      <w:r>
        <w:rPr>
          <w:rFonts w:ascii="Times New Roman" w:cs="Times New Roman" w:eastAsia="Times New Roman" w:hAnsi="Times New Roman"/>
          <w:sz w:val="18"/>
          <w:szCs w:val="18"/>
          <w:u w:val="single" w:color="auto"/>
          <w:color w:val="auto"/>
        </w:rPr>
        <w:t>Section 1(f)</w:t>
      </w:r>
      <w:r>
        <w:rPr>
          <w:rFonts w:ascii="Times New Roman" w:cs="Times New Roman" w:eastAsia="Times New Roman" w:hAnsi="Times New Roman"/>
          <w:sz w:val="18"/>
          <w:szCs w:val="18"/>
          <w:color w:val="auto"/>
        </w:rPr>
        <w:t xml:space="preserve"> constitutes a Separation from Service; and (B) to the extent such Participant is a “specified employee” within the meaning of Code Section 409A, on the date the Participant experiences a Separation from Service, the Shares will be issued on the first business day of the seventh month following the Participant’s Separation from Service, or, if earlier, on the date of the Participant’s death, to the extent such delayed payment is required in order to avoid a prohibited distribution under Code Section 409A.</w:t>
      </w:r>
    </w:p>
    <w:p>
      <w:pPr>
        <w:spacing w:after="0" w:line="184" w:lineRule="exact"/>
        <w:rPr>
          <w:rFonts w:ascii="Times New Roman" w:cs="Times New Roman" w:eastAsia="Times New Roman" w:hAnsi="Times New Roman"/>
          <w:sz w:val="18"/>
          <w:szCs w:val="18"/>
          <w:color w:val="auto"/>
        </w:rPr>
      </w:pPr>
    </w:p>
    <w:p>
      <w:pPr>
        <w:jc w:val="both"/>
        <w:ind w:firstLine="656"/>
        <w:spacing w:after="0" w:line="268" w:lineRule="auto"/>
        <w:tabs>
          <w:tab w:leader="none" w:pos="139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Unless and until Shares are issued by the Company after the vesting of Performance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shall have none of the rights or privileges of a shareholder of the Company (including voting, dividend and liquidation rights) with respect to the Shares covered by the Performance Restricted Stock Units.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8" w:name="page249"/>
    <w:bookmarkEnd w:id="248"/>
    <w:p>
      <w:pPr>
        <w:jc w:val="both"/>
        <w:ind w:firstLine="656"/>
        <w:spacing w:after="0" w:line="257" w:lineRule="auto"/>
        <w:tabs>
          <w:tab w:leader="none" w:pos="135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Notwithstanding any provision in this Agreement to the contrary, if, within six months prior to and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Change in Control or within two years following such Change in Control, Participant’s employment is terminated (i) by the Company and its Subsidiaries without Cause, or (ii) by Participant for Good Reason, the vesting of outstanding Performance Restricted Stock Units governed by this Agreement shall be accelerated such that the number of Performance Restricted Stock Units specified in the Award Summary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number of Performance Restricted Stock Units that would vest upon [Performance Vesting Provisions], as set forth in Schedule A) shall be deemed to be vested in full immediately prior to the termination of Participant’s employment.</w:t>
      </w:r>
    </w:p>
    <w:p>
      <w:pPr>
        <w:spacing w:after="0" w:line="182"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Defined Terms. </w:t>
      </w:r>
      <w:r>
        <w:rPr>
          <w:rFonts w:ascii="Times New Roman" w:cs="Times New Roman" w:eastAsia="Times New Roman" w:hAnsi="Times New Roman"/>
          <w:sz w:val="18"/>
          <w:szCs w:val="18"/>
          <w:color w:val="auto"/>
        </w:rPr>
        <w:t>For purposes of this Agreement:</w:t>
      </w:r>
    </w:p>
    <w:p>
      <w:pPr>
        <w:spacing w:after="0" w:line="229"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that Participant has engaged in any one of the following:</w:t>
      </w:r>
    </w:p>
    <w:p>
      <w:pPr>
        <w:spacing w:after="0" w:line="225" w:lineRule="exact"/>
        <w:rPr>
          <w:rFonts w:ascii="Times New Roman" w:cs="Times New Roman" w:eastAsia="Times New Roman" w:hAnsi="Times New Roman"/>
          <w:sz w:val="18"/>
          <w:szCs w:val="18"/>
          <w:color w:val="auto"/>
        </w:rPr>
      </w:pPr>
    </w:p>
    <w:p>
      <w:pPr>
        <w:ind w:left="980" w:right="80" w:firstLine="972"/>
        <w:spacing w:after="0" w:line="282" w:lineRule="auto"/>
        <w:tabs>
          <w:tab w:leader="none" w:pos="2652"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Participant of the Company’s Employee Covenants Agreement, other employee covenants or any employment agreement, which breach is not cured within any applicable cure period set forth in the respective document;</w:t>
      </w:r>
    </w:p>
    <w:p>
      <w:pPr>
        <w:spacing w:after="0" w:line="161"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willful violation by Participant of any material law or regulation applicable to the business of the Company or any</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its Subsidiaries;</w:t>
      </w:r>
    </w:p>
    <w:p>
      <w:pPr>
        <w:spacing w:after="0" w:line="206" w:lineRule="exact"/>
        <w:rPr>
          <w:rFonts w:ascii="Times New Roman" w:cs="Times New Roman" w:eastAsia="Times New Roman" w:hAnsi="Times New Roman"/>
          <w:sz w:val="18"/>
          <w:szCs w:val="18"/>
          <w:color w:val="auto"/>
        </w:rPr>
      </w:pPr>
    </w:p>
    <w:p>
      <w:pPr>
        <w:ind w:left="980" w:right="260" w:firstLine="972"/>
        <w:spacing w:after="0" w:line="282" w:lineRule="auto"/>
        <w:tabs>
          <w:tab w:leader="none" w:pos="2642"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conviction of, or a plea of guilty or nolo contendere to, a felony or any willful perpetration of common law fraud (or analogous violation of law in a jurisdiction outside the United States); or</w:t>
      </w:r>
    </w:p>
    <w:p>
      <w:pPr>
        <w:spacing w:after="0" w:line="161" w:lineRule="exact"/>
        <w:rPr>
          <w:rFonts w:ascii="Times New Roman" w:cs="Times New Roman" w:eastAsia="Times New Roman" w:hAnsi="Times New Roman"/>
          <w:sz w:val="18"/>
          <w:szCs w:val="18"/>
          <w:color w:val="auto"/>
        </w:rPr>
      </w:pPr>
    </w:p>
    <w:p>
      <w:pPr>
        <w:ind w:left="980" w:right="60" w:firstLine="972"/>
        <w:spacing w:after="0" w:line="282" w:lineRule="auto"/>
        <w:tabs>
          <w:tab w:leader="none" w:pos="2652"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willful misconduct by Participant that is materially injurious to the financial condition or business reputation of, or is otherwise materially injurious to, the Company or any of its Subsidiaries.</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For purposes of the foregoing, in determining whether a “material breach” has occurred, or whether there has been a willful violation of a “material” law or regulation, the standard shall be a breach or violation that is, or will reasonably likely be, materially injurious to the financial condition or business reputation of, or is, or will reasonably likely be, otherwise materially injurious to, the Company or any of its Subsidiaries.</w:t>
      </w:r>
    </w:p>
    <w:p>
      <w:pPr>
        <w:spacing w:after="0" w:line="180" w:lineRule="exact"/>
        <w:rPr>
          <w:sz w:val="20"/>
          <w:szCs w:val="20"/>
          <w:color w:val="auto"/>
        </w:rPr>
      </w:pPr>
    </w:p>
    <w:p>
      <w:pPr>
        <w:ind w:left="980" w:firstLine="324"/>
        <w:spacing w:after="0" w:line="282" w:lineRule="auto"/>
        <w:tabs>
          <w:tab w:leader="none" w:pos="211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Continuous Service</w:t>
      </w:r>
      <w:r>
        <w:rPr>
          <w:rFonts w:ascii="Times New Roman" w:cs="Times New Roman" w:eastAsia="Times New Roman" w:hAnsi="Times New Roman"/>
          <w:sz w:val="18"/>
          <w:szCs w:val="18"/>
          <w:color w:val="auto"/>
        </w:rPr>
        <w:t>” shall mean the uninterrupted provision of services to the Company or a Subsidiary, whether as an Employee, Director, or Consultant.</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the occurrence any of the following events that result in a material negative change to Participant:</w:t>
      </w:r>
    </w:p>
    <w:p>
      <w:pPr>
        <w:spacing w:after="0" w:line="225" w:lineRule="exact"/>
        <w:rPr>
          <w:rFonts w:ascii="Times New Roman" w:cs="Times New Roman" w:eastAsia="Times New Roman" w:hAnsi="Times New Roman"/>
          <w:sz w:val="18"/>
          <w:szCs w:val="18"/>
          <w:color w:val="auto"/>
        </w:rPr>
      </w:pPr>
    </w:p>
    <w:p>
      <w:pPr>
        <w:ind w:left="980" w:right="160" w:firstLine="972"/>
        <w:spacing w:after="0" w:line="282" w:lineRule="auto"/>
        <w:tabs>
          <w:tab w:leader="none" w:pos="2652"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material reduction in the scope of Participant’s duties and responsibilities or the level of management to which Participant reports;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9" w:name="page250"/>
    <w:bookmarkEnd w:id="249"/>
    <w:p>
      <w:pPr>
        <w:ind w:left="972" w:right="340" w:firstLine="972"/>
        <w:spacing w:after="0" w:line="282" w:lineRule="auto"/>
        <w:tabs>
          <w:tab w:leader="none" w:pos="263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reduction in base salary (other than an across-the-board reduction of not more than 10% applicable to all similarly situated employees);</w:t>
      </w:r>
    </w:p>
    <w:p>
      <w:pPr>
        <w:spacing w:after="0" w:line="161" w:lineRule="exact"/>
        <w:rPr>
          <w:rFonts w:ascii="Times New Roman" w:cs="Times New Roman" w:eastAsia="Times New Roman" w:hAnsi="Times New Roman"/>
          <w:sz w:val="18"/>
          <w:szCs w:val="18"/>
          <w:color w:val="auto"/>
        </w:rPr>
      </w:pPr>
    </w:p>
    <w:p>
      <w:pPr>
        <w:ind w:left="972" w:right="80" w:firstLine="972"/>
        <w:spacing w:after="0" w:line="282" w:lineRule="auto"/>
        <w:tabs>
          <w:tab w:leader="none" w:pos="263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material reduction in Participant’s benefits in the aggregate (in terms of benefit levels) from those provided to Participant under any employee benefit plan, program and practice in which Participant participates;</w:t>
      </w:r>
    </w:p>
    <w:p>
      <w:pPr>
        <w:spacing w:after="0" w:line="161" w:lineRule="exact"/>
        <w:rPr>
          <w:rFonts w:ascii="Times New Roman" w:cs="Times New Roman" w:eastAsia="Times New Roman" w:hAnsi="Times New Roman"/>
          <w:sz w:val="18"/>
          <w:szCs w:val="18"/>
          <w:color w:val="auto"/>
        </w:rPr>
      </w:pPr>
    </w:p>
    <w:p>
      <w:pPr>
        <w:ind w:left="2652" w:hanging="708"/>
        <w:spacing w:after="0"/>
        <w:tabs>
          <w:tab w:leader="none" w:pos="265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relocation of Participant’s principal place of employment of more than 50 miles;</w:t>
      </w:r>
    </w:p>
    <w:p>
      <w:pPr>
        <w:spacing w:after="0" w:line="225" w:lineRule="exact"/>
        <w:rPr>
          <w:rFonts w:ascii="Times New Roman" w:cs="Times New Roman" w:eastAsia="Times New Roman" w:hAnsi="Times New Roman"/>
          <w:sz w:val="18"/>
          <w:szCs w:val="18"/>
          <w:color w:val="auto"/>
        </w:rPr>
      </w:pPr>
    </w:p>
    <w:p>
      <w:pPr>
        <w:ind w:left="972" w:right="740" w:firstLine="972"/>
        <w:spacing w:after="0" w:line="282" w:lineRule="auto"/>
        <w:tabs>
          <w:tab w:leader="none" w:pos="26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have a successor entity specifically assume this Agreement or any employment agreement within 10 business days after a Change in Control; or</w:t>
      </w:r>
    </w:p>
    <w:p>
      <w:pPr>
        <w:spacing w:after="0" w:line="161" w:lineRule="exact"/>
        <w:rPr>
          <w:rFonts w:ascii="Times New Roman" w:cs="Times New Roman" w:eastAsia="Times New Roman" w:hAnsi="Times New Roman"/>
          <w:sz w:val="18"/>
          <w:szCs w:val="18"/>
          <w:color w:val="auto"/>
        </w:rPr>
      </w:pPr>
    </w:p>
    <w:p>
      <w:pPr>
        <w:ind w:left="2612" w:hanging="668"/>
        <w:spacing w:after="0"/>
        <w:tabs>
          <w:tab w:leader="none" w:pos="261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or a successor entity of this Agreement or any employment agreement.</w:t>
      </w:r>
    </w:p>
    <w:p>
      <w:pPr>
        <w:spacing w:after="0" w:line="225" w:lineRule="exact"/>
        <w:rPr>
          <w:sz w:val="20"/>
          <w:szCs w:val="20"/>
          <w:color w:val="auto"/>
        </w:rPr>
      </w:pPr>
    </w:p>
    <w:p>
      <w:pPr>
        <w:jc w:val="both"/>
        <w:ind w:left="972"/>
        <w:spacing w:after="0" w:line="261" w:lineRule="auto"/>
        <w:rPr>
          <w:sz w:val="20"/>
          <w:szCs w:val="20"/>
          <w:color w:val="auto"/>
        </w:rPr>
      </w:pPr>
      <w:r>
        <w:rPr>
          <w:rFonts w:ascii="Times New Roman" w:cs="Times New Roman" w:eastAsia="Times New Roman" w:hAnsi="Times New Roman"/>
          <w:sz w:val="18"/>
          <w:szCs w:val="18"/>
          <w:color w:val="auto"/>
        </w:rPr>
        <w:t>Notwithstanding the foregoing, Participant’s employment shall not be deemed to have been terminated for Good Reason unless Participant provides written notice to the Company of the event or condition constituting Good Reason within 30 days of its initial occurrence, the Company does not cure such event or condition within 30 days after receiving such notice (the “Cure Period”) and the Participant resigns within 30 days following the expiration of the Cure Period.</w:t>
      </w:r>
    </w:p>
    <w:p>
      <w:pPr>
        <w:spacing w:after="0" w:line="180" w:lineRule="exact"/>
        <w:rPr>
          <w:sz w:val="20"/>
          <w:szCs w:val="20"/>
          <w:color w:val="auto"/>
        </w:rPr>
      </w:pPr>
    </w:p>
    <w:p>
      <w:pPr>
        <w:jc w:val="both"/>
        <w:ind w:left="972" w:firstLine="324"/>
        <w:spacing w:after="0" w:line="266" w:lineRule="auto"/>
        <w:tabs>
          <w:tab w:leader="none" w:pos="1916"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 Change of Control Units</w:t>
      </w:r>
      <w:r>
        <w:rPr>
          <w:rFonts w:ascii="Times New Roman" w:cs="Times New Roman" w:eastAsia="Times New Roman" w:hAnsi="Times New Roman"/>
          <w:sz w:val="18"/>
          <w:szCs w:val="18"/>
          <w:color w:val="auto"/>
        </w:rPr>
        <w:t xml:space="preserve">” shall mean Performance Restricted Stock Units that are considered “non-qualified deferred compensation” subject to Section 409A of the Code and that vest in full as a result of the Participant’s termination pursuant to </w:t>
      </w:r>
      <w:r>
        <w:rPr>
          <w:rFonts w:ascii="Times New Roman" w:cs="Times New Roman" w:eastAsia="Times New Roman" w:hAnsi="Times New Roman"/>
          <w:sz w:val="18"/>
          <w:szCs w:val="18"/>
          <w:u w:val="single" w:color="auto"/>
          <w:color w:val="auto"/>
        </w:rPr>
        <w:t>Section 1(f)</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8" w:right="20" w:firstLine="8"/>
        <w:spacing w:after="0" w:line="254" w:lineRule="auto"/>
        <w:tabs>
          <w:tab w:leader="none" w:pos="621"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Participant represents that Participant has received and carefully read a copy of the Prospectus for the Plan,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Company’s most recent Annual Report to Stockholders. Participant hereby acknowledges that Participant is aware of the risks associated with the Shares and that there can be no assurance the price of the Shares will not decrease in the future. Participant hereby acknowledges that no representations or statements have been made to Participant concerning the value or potential value of the Shares. Participant acknowledges that Participant has relied only on information contained in the Prospectus and has received no representations, written or oral, from the Company or its employees, attorneys or agents, other than those contained in the Prospectus or this Agreement. Participant acknowledges that the Company has made no representations or recommendations, and is not providing any tax, legal or financial advice,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3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50" w:name="page251"/>
    <w:bookmarkEnd w:id="250"/>
    <w:p>
      <w:pPr>
        <w:ind w:right="580" w:firstLine="8"/>
        <w:spacing w:after="0" w:line="268" w:lineRule="auto"/>
        <w:tabs>
          <w:tab w:leader="none" w:pos="67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Participant shall not transfer, assign, sell, encumber, pledge, grant a security interest in or otherwise dispose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Restricted Stock Units subject to this Agreement in any manner other than by the laws of descent or distribution. Any such transfer, assignment, sale, encumbrance, pledge, security interest or disposition shall be void.</w:t>
      </w:r>
    </w:p>
    <w:p>
      <w:pPr>
        <w:spacing w:after="0" w:line="170"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w:t>
      </w:r>
    </w:p>
    <w:p>
      <w:pPr>
        <w:spacing w:after="0" w:line="22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22"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Participant’s Continuous Service or at any time during the 12-month period following termination of Participant’s Continuous Service, Participant engages in conduct that constitutes Cause (as defined above), then at the election of the Committee, (i) this Agreement and all unvested Performance Restricted Stock Units granted hereunder shall terminate, and (ii) Participant shall return to the Company for cancellation all Shares held by Participant plus pay the Company the amount of any proceeds received from the sale of any Shares to the extent such Shares were issued pursuant to Performance Restricted Stock Units granted under this Agreement that vested (A) during the 12-month period immediately preceding the event that constituted Cause, or (B) on the date of or at any time after such Cause.</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1208"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required to prepare an Accounting Restatement, as defined in the Nu Skin Enterprises, Inc. Executive Officer Incentive Compensation Recovery Policy (the “Recovery Policy,” which is incorporated herein by reference), the Recovery Policy shall apply to the fullest extent required by applicable law, rule, regulation, or stock exchange rule or listing standard. In such case or in any other circumstances determined appropriate by the Committee, the Committee may (i) terminate any Performance Restricted Stock Units granted hereunder or (ii) require Participant to return any Shares received upon the vesting of, or reimburse the Company the amount of any payment or benefit received with respect to, any Performance Restricted Stock Units granted hereunder, to the extent that either (A) the Performance Restricted Stock Units would not have been earned or accrued after giving effect to the Accounting Restatement, as determined by the Committee or required by the Recovery Policy; or (B) the Company determines such actions are necessary to satisfy a recoupment requirement under the Recovery Policy.</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7"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forfeiture and recoupment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applied by the Committee, at its discretion, to the maximum extent permitted under applicable laws. Further, these provisions are in addition to, and not in lieu of, any recoupment requirements under the Sarbanes-Oxley Act or under other applicable laws, rules, regulations or stock exchange listing standards, and shall apply notwithstanding anything to the contrary in this Agreement or in the Plan.</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3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Participant expressly agrees that the Company may take such actions as are necessary or appropriate to effectuate the foregoing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(as applicable to Participant) or applicable law without further consent or action being required by Participant. For purposes of the foregoing and as a condition to the grant, Participant expressly and explicitly authorizes the Company to issue instructions, on Participant’s behalf, to Fidelity (or any other stock plan service provider engaged by the Company to administer awards granted under the Plan) to re-convey, transfer or otherwise return any Shares held by Participant and/or other amounts to the Company.</w:t>
      </w:r>
    </w:p>
    <w:p>
      <w:pPr>
        <w:spacing w:after="0" w:line="179" w:lineRule="exact"/>
        <w:rPr>
          <w:rFonts w:ascii="Times New Roman" w:cs="Times New Roman" w:eastAsia="Times New Roman" w:hAnsi="Times New Roman"/>
          <w:sz w:val="18"/>
          <w:szCs w:val="18"/>
          <w:color w:val="auto"/>
        </w:rPr>
      </w:pPr>
    </w:p>
    <w:p>
      <w:pPr>
        <w:ind w:right="260" w:firstLine="8"/>
        <w:spacing w:after="0" w:line="268" w:lineRule="auto"/>
        <w:tabs>
          <w:tab w:leader="none" w:pos="62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Plan Document. </w:t>
      </w:r>
      <w:r>
        <w:rPr>
          <w:rFonts w:ascii="Times New Roman" w:cs="Times New Roman" w:eastAsia="Times New Roman" w:hAnsi="Times New Roman"/>
          <w:sz w:val="18"/>
          <w:szCs w:val="18"/>
          <w:color w:val="auto"/>
        </w:rPr>
        <w:t>This Agreement incorporates by reference all of the terms and conditions of the Plan, as presently existing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hereafter amended. Participant expressly acknowledges and agrees that the terms and provisions of this Agreement are subject in all respects to the provisions of the Plan. Participant also expressly: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1" w:name="page252"/>
    <w:bookmarkEnd w:id="251"/>
    <w:p>
      <w:pPr>
        <w:ind w:right="20" w:firstLine="656"/>
        <w:spacing w:after="0" w:line="282" w:lineRule="auto"/>
        <w:tabs>
          <w:tab w:leader="none" w:pos="1186"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receipt of the Plan and represents that Participant is familiar with the provisions of the Plan, and that Participant enters into this Agreement subject to all of the provisions of the Plan;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1"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that the Committee has been granted complete authority to administer the Plan in its sole discretion, and agrees to accept all decisions related to the Plan and all interpretations of the Plan made by the Committee as final and conclusive upon Participant and upon all persons at any time claiming any interest through Participant in the Performance Restricted Stock Units or the Shares subject to this Agreement; and</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40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understands that the establishment of the Plan and the existence of this Agreement are not sufficient, in and of themselves, to exempt Participant from the requirements of Section 16(b) of the Exchange Act and any rules or regulations promulgated thereunder, and that Participant (to the extent Section 16(b) applies to Participant) shall not be exempt from such requirements pursuant to Rule 16b-3 unless and until Participant shall comply with all applicable requirements of Rule 16b-3, including without limitation, the possible requirement that Participant must not sell or otherwise dispose of any Shares acquired pursuant to Performance Restricted Stock Units unless and until a period of at least six months shall have elapsed between the Grant Date and the date upon which Participant desires to sell or otherwise dispose of such Shares.</w:t>
      </w:r>
    </w:p>
    <w:p>
      <w:pPr>
        <w:spacing w:after="0" w:line="183" w:lineRule="exact"/>
        <w:rPr>
          <w:rFonts w:ascii="Times New Roman" w:cs="Times New Roman" w:eastAsia="Times New Roman" w:hAnsi="Times New Roman"/>
          <w:sz w:val="18"/>
          <w:szCs w:val="18"/>
          <w:color w:val="auto"/>
        </w:rPr>
      </w:pPr>
    </w:p>
    <w:p>
      <w:pPr>
        <w:ind w:right="40" w:firstLine="8"/>
        <w:spacing w:after="0" w:line="262" w:lineRule="auto"/>
        <w:tabs>
          <w:tab w:leader="none" w:pos="62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As a condition to the receipt of any Shares upon vesting of the Performance Restricted Stock Units,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require Participant to make any representations and warranties to the Company that legal counsel to the Company may determine to be required or advisable under any applicable law or regulation, including without limitation, representations and warranties that the Shares are being acquired only for investment and without any present intention or view to sell or distribute any such Shares.</w:t>
      </w:r>
    </w:p>
    <w:p>
      <w:pPr>
        <w:spacing w:after="0" w:line="176" w:lineRule="exact"/>
        <w:rPr>
          <w:rFonts w:ascii="Times New Roman" w:cs="Times New Roman" w:eastAsia="Times New Roman" w:hAnsi="Times New Roman"/>
          <w:sz w:val="18"/>
          <w:szCs w:val="18"/>
          <w:color w:val="auto"/>
        </w:rPr>
      </w:pPr>
    </w:p>
    <w:p>
      <w:pPr>
        <w:ind w:right="100" w:firstLine="8"/>
        <w:spacing w:after="0" w:line="254" w:lineRule="auto"/>
        <w:tabs>
          <w:tab w:leader="none" w:pos="62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With Law and Regulations. </w:t>
      </w:r>
      <w:r>
        <w:rPr>
          <w:rFonts w:ascii="Times New Roman" w:cs="Times New Roman" w:eastAsia="Times New Roman" w:hAnsi="Times New Roman"/>
          <w:sz w:val="18"/>
          <w:szCs w:val="18"/>
          <w:color w:val="auto"/>
        </w:rPr>
        <w:t>Notwithstanding any other provision of the Plan or this Agreement, unless there is an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from any registration, qualification or other legal requirement applicable to the Shares, the Company shall not be required to deliver any Shares issuable upon settlement of the Performance Restricted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with the SEC or any state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2" w:name="page253"/>
    <w:bookmarkEnd w:id="252"/>
    <w:p>
      <w:pPr>
        <w:ind w:left="640" w:hanging="632"/>
        <w:spacing w:after="0"/>
        <w:tabs>
          <w:tab w:leader="none" w:pos="6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Responsibility for Taxes.</w:t>
      </w:r>
    </w:p>
    <w:p>
      <w:pPr>
        <w:spacing w:after="0" w:line="22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32"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Participant acknowledges that, regardless of any action taken by the Company or, if different, Participant’s employer (the “Employer”), the ultimate liability for all income tax, social insurance, payroll tax, fringe benefits tax, payment on account or other tax-related items related to Participant’s participation in the Plan and legally applicable to Participant or deemed by the Company or the Employer in its discretion to be an appropriate charge to Participant even if legally applicable to the Company or the Employer (“Tax-Related Items”), is and remains Participant’s responsibility and may exceed the amount, if any, actually withheld by the Company or the Employer pursuant to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Participant further acknowledges that the Company and the Employer (i) make no representations or undertakings regarding the treatment of any Tax-Related Items in connection with any aspect of the Performance Restricted Stock Units, including, but not limited to, the grant, vesting or settlement of the Performance Restricted Stock Units, the subsequent sale of any Shares acquired at settlement and the receipt of any dividends; and (ii) do not commit to and are under no obligation to structure the terms of the grant or any aspect of the Performance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468"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relevant taxable or tax withholding event, as applicable, Participant agrees to make adequate arrangements satisfactory to the Company and/or the Employer to satisfy all Tax-Related Items.</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32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payment of the Tax-Related Items shall be made by any of the following, or a combination thereof, at the election of the Participant, subject to the Committee’s or Company’s right to eliminate, prior to vesting, any of the following as permissible payment methods: (i) in cash or cash equivalents (including certified check, bank check or wire transfer of immediately available funds); (ii) by tendering previously acquired Shares (either actually or by attestation) valued at their then-Fair Market Value; (iii) by withholding Shares otherwise issuable in connection with the vesting of the Performance Restricted Stock Units; (iv) through same-day voluntary or involuntary (on Participant’s behalf pursuant to this authorization) sales through a broker if permitted by the Company’s Securities Trading Policy; (v) withholding from Participant’s wages or other cash compensation paid to Participant by the Company and/or the Employer; or (vi) any combination of any of the foregoing. In the absence of Participant’s timely election or in the event Section 16(b) applies to Participant, the Company will withhold in Shares upon the relevant taxable or tax withholding event, as applicable. In the event that such withholding in Shares is problematic under applicable tax or securities law or has materially adverse accounting consequences, Participant authorizes and directs the Company and/or the Employer, or their respective agents, at their discretion, to satisfy any applicable withholding obligation with regard to all Tax-Related Items by one or a combination of the methods above.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3" w:name="page254"/>
    <w:bookmarkEnd w:id="253"/>
    <w:p>
      <w:pPr>
        <w:jc w:val="both"/>
        <w:ind w:firstLine="656"/>
        <w:spacing w:after="0" w:line="254" w:lineRule="auto"/>
        <w:tabs>
          <w:tab w:leader="none" w:pos="1276"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withholding method, the Company and/or the Employer may withhold or account for Tax-Related Items by considering applicable withholding rates in Participant’s jurisdiction(s) (up to the rate that will not cause an adverse accounting consequence or cost, including pursuant to ASC Topic 718, as applicable). If the Company and/or the Employer withhold more than the amount necessary to satisfy the liability for Tax-Related Items, Participant may receive a refund of any over-withheld amount in cash and will have no entitlement to the equivalent Shares, or if not refunded, Participant may be able to seek a refund from the applicable tax authorities. If the Company and/or the Employer withhold less than the amount necessary to satisfy the liability for Tax-Related Items, Participant may be required to pay additional Tax-Related Items directly to the applicable tax authorities or to the Company and/or the Employer. If the obligation for Tax-Related Items is satisfied by withholding in Shares, for tax purposes, Participant is deemed to have been issued the full number of Shares subject to the vested Performance Restricted Stock Units, notwithstanding that a number of the Shares are held back solely for the purpose of paying the Tax-Related Items.</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319"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7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Nature of Grant. </w:t>
      </w:r>
      <w:r>
        <w:rPr>
          <w:rFonts w:ascii="Times New Roman" w:cs="Times New Roman" w:eastAsia="Times New Roman" w:hAnsi="Times New Roman"/>
          <w:sz w:val="18"/>
          <w:szCs w:val="18"/>
          <w:color w:val="auto"/>
        </w:rPr>
        <w:t>In accepting the Performance Restricted Stock Units, Participant acknowledges, understands and agrees that:</w:t>
      </w:r>
    </w:p>
    <w:p>
      <w:pPr>
        <w:spacing w:after="0" w:line="229" w:lineRule="exact"/>
        <w:rPr>
          <w:rFonts w:ascii="Times New Roman" w:cs="Times New Roman" w:eastAsia="Times New Roman" w:hAnsi="Times New Roman"/>
          <w:sz w:val="18"/>
          <w:szCs w:val="18"/>
          <w:color w:val="auto"/>
        </w:rPr>
      </w:pPr>
    </w:p>
    <w:p>
      <w:pPr>
        <w:ind w:firstLine="656"/>
        <w:spacing w:after="0" w:line="282" w:lineRule="auto"/>
        <w:tabs>
          <w:tab w:leader="none" w:pos="1261"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may be modified, amended, suspended or terminated by the Company at any time, to the extent permitted by the Plan;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63"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Performance Restricted Stock Units is exceptional, voluntary and occasional and does not create any contractual or other right to receive future awards of Performance Restricted Stock Units, or benefits in lieu of Performance Restricted Stock Units even if Performance Restricted Stock Units have been awarded in the past;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25"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in the Plan shall confer upon Participant any right to continue in the employment or service of the Employer, the Company or any Subsidiary or be interpreted as forming or amending an employment or services contract with the Employer, the Company or any Subsidiary and shall not interfere with or restrict any way the ability of the Employer, the Company or any Subsidiary, as applicable, to terminate Participant’s employment or service relationship, if any;</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27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Performance Restricted Stock Units or other grants, if any, will be at the sole discretion of the Committee and/or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participation in the Plan is voluntary;</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indeterminable and unpredictable;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4" w:name="page255"/>
    <w:bookmarkEnd w:id="254"/>
    <w:p>
      <w:pPr>
        <w:jc w:val="both"/>
        <w:ind w:firstLine="656"/>
        <w:spacing w:after="0" w:line="266" w:lineRule="auto"/>
        <w:tabs>
          <w:tab w:leader="none" w:pos="129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the Performance Restricted Stock Units and the Shares subject to the Performance Restricted Stock Units, and the income and value of same, are not granted as consideration for, or in connection with, the service Participant may provide as a director of any entity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1"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Participant’s Continuous Service (as defined above) (for any reason whatsoever, whether or not later found to be invalid or in breach of employment laws in the jurisdiction where Participant is employed or the terms of Participant’s employment agreement, if any), unless otherwise determined by the Company, Participant’s right to vest in the Performance Restricted Stock Units under the Plan, if any, will terminate as of the date Participant is no longer providing Continuous Service and will not be extended by any notice period (e.g., Participant’s period of service would not include any contractual notice period or any period of “garden leave” or similar period mandated under employment laws in the jurisdiction where Participant is employed or the terms of Participant’s employment agreement, if any); the Committee shall have the exclusive discretion to determine when Participant is no longer providing Continuous Service for purposes of this Agreement, including whether Participant may still be considered to be providing Continuous Service while on a leave of absence;</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Restricted Stock Units and the Shares subject to Performance Restricted Stock Units, and the income and value of same, are not part of normal or expected compensation or salary for any purpose, including, but not limited to, calculation of any severance, resignation, termination, redundancy, dismissal, end-of-service payments, holiday pay, bonuses, long-service awards, leave-related pay, pension or retirement or welfare benefits or similar mandatory payments;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29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Restricted Stock Units and the Shares subject to Performance Restricted Stock Units, and the income and value of same, are not intended to replace any pension rights or compensation;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Restricted Stock Units are an extraordinary item that does not constitute compensation of any kind for service of any kind rendered to the Company or to the Employer, and Performance Restricted Stock Units are outside of the scope of Participant’s employment agreement, if 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1"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Performance Restricted Stock Units resulting from termination of Participant’s Continuous Service (for any reason whatsoever, whether or not later found to be invalid or in breach of employment laws in the jurisdiction where Participant is employed or the terms of Participant’s employment agreement, if 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3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Employer nor any Subsidiary of the Company shall be liable for any foreign exchange rate fluctuation between Participant’s local currency and the United States Dollar that may affect the value of Performance Restricted Stock Units or of any amounts due to Participant pursuant to the settlement of the Performance Restricted Stock Units or the subsequent sale of any Shares acquired upon settlement;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5" w:name="page256"/>
    <w:bookmarkEnd w:id="255"/>
    <w:p>
      <w:pPr>
        <w:jc w:val="both"/>
        <w:ind w:firstLine="656"/>
        <w:spacing w:after="0" w:line="266" w:lineRule="auto"/>
        <w:tabs>
          <w:tab w:leader="none" w:pos="1263"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operated and the Award is granted solely by the Company and only the Company is a party to this Agreement; accordingly, any rights you may have under this Agreement may be raised only against the Company but not any affiliate of the Company (including, but not limited to, the Employer); and</w:t>
      </w:r>
    </w:p>
    <w:p>
      <w:pPr>
        <w:spacing w:after="0" w:line="17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affiliate of the Company (including, but not limited to, the Employer) has any obligation to make any payment of any kind under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2" w:lineRule="exact"/>
        <w:rPr>
          <w:rFonts w:ascii="Times New Roman" w:cs="Times New Roman" w:eastAsia="Times New Roman" w:hAnsi="Times New Roman"/>
          <w:sz w:val="18"/>
          <w:szCs w:val="18"/>
          <w:color w:val="auto"/>
        </w:rPr>
      </w:pPr>
    </w:p>
    <w:p>
      <w:pPr>
        <w:jc w:val="both"/>
        <w:ind w:firstLine="8"/>
        <w:spacing w:after="0" w:line="262" w:lineRule="auto"/>
        <w:tabs>
          <w:tab w:leader="none" w:pos="62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Privacy Notice and Consent.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or other form, of Participant’s personal data, as described in this Agreement and any other Performance Restricted Stock Unit grant materials by and among, as applicable, the Employer, the Company and Subsidiaries for the exclusive purpose of implementing, administering and managing Participant’s participation in the Plan.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Employer, the Company and Subsidiaries may hold certain personal information about Participant, including, but not limited to, Participant’s name, home address, email address, telephone number, date of birth, social security number, passport information, social insurance number or other identification number, salary, nationality, job title, any Shares or directorships held in the Company, details of all Performance Restricted Stock Units or any other entitlement to Shares or other equivalent benefits awarded, canceled, purchased, exercised, vested, unvested or outstanding in Participant’s favor (“Data”), for the exclusive purpose of implementing, administering and managing the Plan.</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Fidelity,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Fidelity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Performance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Employer will not be affected; the only consequence of refusing or withdrawing Participant’s consent is that the Company may not be able to grant Performance Restricted Stock Units or other equity awards to Participant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his or her local human resources representative.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6" w:name="page257"/>
    <w:bookmarkEnd w:id="256"/>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Upon request of the Company or the Employer, Participant agrees to provide an executed data privacy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he or she will not be able to participate in the Plan if Participant fails to provide any such consent or agreement as requested by the Company and/or the Employer.</w:t>
      </w:r>
    </w:p>
    <w:p>
      <w:pPr>
        <w:spacing w:after="0" w:line="179" w:lineRule="exact"/>
        <w:rPr>
          <w:sz w:val="20"/>
          <w:szCs w:val="20"/>
          <w:color w:val="auto"/>
        </w:rPr>
      </w:pPr>
    </w:p>
    <w:p>
      <w:pPr>
        <w:ind w:left="640" w:hanging="632"/>
        <w:spacing w:after="0"/>
        <w:tabs>
          <w:tab w:leader="none" w:pos="6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rFonts w:ascii="Times New Roman" w:cs="Times New Roman" w:eastAsia="Times New Roman" w:hAnsi="Times New Roman"/>
          <w:sz w:val="18"/>
          <w:szCs w:val="18"/>
          <w:color w:val="auto"/>
        </w:rPr>
      </w:pPr>
    </w:p>
    <w:p>
      <w:pPr>
        <w:jc w:val="both"/>
        <w:ind w:firstLine="656"/>
        <w:spacing w:after="0" w:line="259" w:lineRule="auto"/>
        <w:tabs>
          <w:tab w:leader="none" w:pos="141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 required to be given under this Agreement shall be in writing and shall be deemed effective upon (i)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delivery, (ii) when sent by confirmed electronic mail or facsimile if sent during normal business hours of the recipient, or if not, then on the next business day, or (iii) upon deposit in the sender’s local mail, registered or certified, postage prepaid and, with respect to notice sent pursuant to clauses (ii) or (iii), properly addressed to the party entitled to such notice at the latest email or physical address on file or at such other address as such party may designate by ten days advance written notice under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to all other parties to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9" w:lineRule="auto"/>
        <w:tabs>
          <w:tab w:leader="none" w:pos="1357"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The failure of the Company in any instance to exercise any rights under this Agreement, including the forfeiture rights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shall not constitute a waiver of any other rights that may subsequently arise under the provisions of this Agreement or any other agreement between the Company and Participant. Participant acknowledges that no waiver by the Company of any breach of any provision of this Agreement shall operate or be construed as a waiver of any other provision of this Agreement, or of any subsequent breach by Participant or any other Participant, whether of like or different nature.</w:t>
      </w:r>
    </w:p>
    <w:p>
      <w:pPr>
        <w:spacing w:after="0" w:line="179" w:lineRule="exact"/>
        <w:rPr>
          <w:rFonts w:ascii="Times New Roman" w:cs="Times New Roman" w:eastAsia="Times New Roman" w:hAnsi="Times New Roman"/>
          <w:sz w:val="18"/>
          <w:szCs w:val="18"/>
          <w:color w:val="auto"/>
        </w:rPr>
      </w:pPr>
    </w:p>
    <w:p>
      <w:pPr>
        <w:jc w:val="both"/>
        <w:ind w:firstLine="656"/>
        <w:spacing w:after="0" w:line="259" w:lineRule="auto"/>
        <w:tabs>
          <w:tab w:leader="none" w:pos="1342"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Imposition of Other Requirements &amp; Participant Undertaking. </w:t>
      </w:r>
      <w:r>
        <w:rPr>
          <w:rFonts w:ascii="Times New Roman" w:cs="Times New Roman" w:eastAsia="Times New Roman" w:hAnsi="Times New Roman"/>
          <w:sz w:val="18"/>
          <w:szCs w:val="18"/>
          <w:color w:val="auto"/>
        </w:rPr>
        <w:t>The Company reserves the right to impose other requirements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participation in the Plan, on the Performance Restricted Stock Units and on any Shares acquired under the Plan, to the extent the Company determines it is necessary or advisable for legal or administrative reasons. Participant hereby agrees to take whatever additional action and execute whatever additional documents the Company may deem necessary or advisable in order to carry out the foregoing or one or more of the obligations or restrictions imposed on either Participant or the Shares pursuant to the provisions of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1218"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Contract. </w:t>
      </w:r>
      <w:r>
        <w:rPr>
          <w:rFonts w:ascii="Times New Roman" w:cs="Times New Roman" w:eastAsia="Times New Roman" w:hAnsi="Times New Roman"/>
          <w:sz w:val="18"/>
          <w:szCs w:val="18"/>
          <w:color w:val="auto"/>
        </w:rPr>
        <w:t>This Agreement and the Plan constitute the entire understanding and agreement of the parties with respect to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contained herein. This Agreement is made pursuant to, and incorporates by reference, the provisions of the Plan and shall in all respects be construed in conformity with the terms of the Plan.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7" w:name="page258"/>
    <w:bookmarkEnd w:id="257"/>
    <w:p>
      <w:pPr>
        <w:jc w:val="both"/>
        <w:ind w:firstLine="656"/>
        <w:spacing w:after="0" w:line="262" w:lineRule="auto"/>
        <w:tabs>
          <w:tab w:leader="none" w:pos="125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Language. </w:t>
      </w:r>
      <w:r>
        <w:rPr>
          <w:rFonts w:ascii="Times New Roman" w:cs="Times New Roman" w:eastAsia="Times New Roman" w:hAnsi="Times New Roman"/>
          <w:sz w:val="18"/>
          <w:szCs w:val="18"/>
          <w:color w:val="auto"/>
        </w:rPr>
        <w:t>Participant acknowledges that he or she is sufficiently proficient in English, or, alternatively, Participant acknowledges that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she will seek appropriate assistance to understand the terms and conditions in this Agreement. Furthermore,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327"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Electronic Delivery and Acceptance. </w:t>
      </w:r>
      <w:r>
        <w:rPr>
          <w:rFonts w:ascii="Times New Roman" w:cs="Times New Roman" w:eastAsia="Times New Roman" w:hAnsi="Times New Roman"/>
          <w:sz w:val="18"/>
          <w:szCs w:val="18"/>
          <w:color w:val="auto"/>
        </w:rPr>
        <w:t>The Company may, in its sole discretion, decide to deliver any documents related to current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353"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Successors and Assigns. </w:t>
      </w:r>
      <w:r>
        <w:rPr>
          <w:rFonts w:ascii="Times New Roman" w:cs="Times New Roman" w:eastAsia="Times New Roman" w:hAnsi="Times New Roman"/>
          <w:sz w:val="18"/>
          <w:szCs w:val="18"/>
          <w:color w:val="auto"/>
        </w:rPr>
        <w:t>The provisions of this Agreement shall inure to the benefit of, and be binding upon,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 and upon Participant, Participant’s permitted assigns and the legal representatives, heirs and legatees of Participant’s estate, whether or not any such person shall have become a party to this Agreement and have agreed in writing to join herein and be bound by the terms hereof. Participant may not assign this Agreement other than by the laws of descent and distribution.</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1343"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In the event that any provision in this Agreement will be held invalid or unenforceable, such provision will be severable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and such invalidity or unenforceability will not be construed to have any effect on, the remaining provisions of this Agreement.</w:t>
      </w:r>
    </w:p>
    <w:p>
      <w:pPr>
        <w:spacing w:after="0" w:line="154" w:lineRule="exact"/>
        <w:rPr>
          <w:rFonts w:ascii="Times New Roman" w:cs="Times New Roman" w:eastAsia="Times New Roman" w:hAnsi="Times New Roman"/>
          <w:sz w:val="18"/>
          <w:szCs w:val="18"/>
          <w:color w:val="auto"/>
        </w:rPr>
      </w:pPr>
    </w:p>
    <w:p>
      <w:pPr>
        <w:jc w:val="both"/>
        <w:ind w:firstLine="656"/>
        <w:spacing w:after="0" w:line="259" w:lineRule="auto"/>
        <w:tabs>
          <w:tab w:leader="none" w:pos="121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and Choice of Venue. </w:t>
      </w:r>
      <w:r>
        <w:rPr>
          <w:rFonts w:ascii="Times New Roman" w:cs="Times New Roman" w:eastAsia="Times New Roman" w:hAnsi="Times New Roman"/>
          <w:sz w:val="18"/>
          <w:szCs w:val="18"/>
          <w:color w:val="auto"/>
        </w:rPr>
        <w:t>The Performance Restricted Stock Units and the provisions of this Agreement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subject to, the laws of the State of Utah, United States, without regard to the conflict of law provisions, as provided in the Plan. For purposes of litigating any dispute that arises under this Agreement or this grant of Performance Restricted Stock Units, the parties hereby submit to and consent to the jurisdiction of the State of Utah, agree that such litigation shall be conducted in the courts of Utah County, Utah, or the federal courts of the United States for the District of Utah, where this grant is made and/or to be performed.</w:t>
      </w:r>
    </w:p>
    <w:p>
      <w:pPr>
        <w:spacing w:after="0" w:line="179" w:lineRule="exact"/>
        <w:rPr>
          <w:rFonts w:ascii="Times New Roman" w:cs="Times New Roman" w:eastAsia="Times New Roman" w:hAnsi="Times New Roman"/>
          <w:sz w:val="18"/>
          <w:szCs w:val="18"/>
          <w:color w:val="auto"/>
        </w:rPr>
      </w:pPr>
    </w:p>
    <w:p>
      <w:pPr>
        <w:jc w:val="both"/>
        <w:ind w:firstLine="656"/>
        <w:spacing w:after="0" w:line="262" w:lineRule="auto"/>
        <w:tabs>
          <w:tab w:leader="none" w:pos="117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Appendix. </w:t>
      </w:r>
      <w:r>
        <w:rPr>
          <w:rFonts w:ascii="Times New Roman" w:cs="Times New Roman" w:eastAsia="Times New Roman" w:hAnsi="Times New Roman"/>
          <w:sz w:val="18"/>
          <w:szCs w:val="18"/>
          <w:color w:val="auto"/>
        </w:rPr>
        <w:t>Notwithstanding any provisions in this Agreement, the Performance Restricted Stock Units shall be subject to any special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set forth in any Appendix to this Agreement for Participant’s country. Moreover, if Participant relocates to one of the countries included in the Appendix, the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8" w:name="page259"/>
    <w:bookmarkEnd w:id="258"/>
    <w:p>
      <w:pPr>
        <w:jc w:val="both"/>
        <w:ind w:firstLine="656"/>
        <w:spacing w:after="0" w:line="254" w:lineRule="auto"/>
        <w:tabs>
          <w:tab w:leader="none" w:pos="121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Insider Trading Restrictions/Market Abuse Laws. </w:t>
      </w:r>
      <w:r>
        <w:rPr>
          <w:rFonts w:ascii="Times New Roman" w:cs="Times New Roman" w:eastAsia="Times New Roman" w:hAnsi="Times New Roman"/>
          <w:sz w:val="18"/>
          <w:szCs w:val="18"/>
          <w:color w:val="auto"/>
        </w:rPr>
        <w:t>Participant acknowledges that, depending on Participant’s country, broker’s country,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where Shares are listed, Participant may be subject to insider trading and/or market abuse laws which may affect Participant’s ability to accept, acquire, sell or otherwise dispose of Shares, rights to such shares (e.g., Performance Restricted Stock Units) or rights linked to the value of Shares under the Plan during such times as Participant is considered to have “material nonpublic information” or “inside information” regarding the Company (as defined by the laws or regulations in the relevant jurisdiction). Local insider trading laws and regulations may prohibit the cancellation or amendment of orders Participant places before Participant possessed inside information. Furthermore, Participant could be prohibited from (i) disclosing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Participant acknowledges that it is his or her responsibility to comply with any applicable restrictions, and that Participant should speak to his or her personal advisor on this matter.</w:t>
      </w:r>
    </w:p>
    <w:p>
      <w:pPr>
        <w:spacing w:after="0" w:line="182" w:lineRule="exact"/>
        <w:rPr>
          <w:rFonts w:ascii="Times New Roman" w:cs="Times New Roman" w:eastAsia="Times New Roman" w:hAnsi="Times New Roman"/>
          <w:sz w:val="18"/>
          <w:szCs w:val="18"/>
          <w:color w:val="auto"/>
        </w:rPr>
      </w:pPr>
    </w:p>
    <w:p>
      <w:pPr>
        <w:jc w:val="both"/>
        <w:ind w:firstLine="656"/>
        <w:spacing w:after="0" w:line="254" w:lineRule="auto"/>
        <w:tabs>
          <w:tab w:leader="none" w:pos="130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Control Tax and Foreign Asset/Account Reporting Requirements</w:t>
      </w:r>
      <w:r>
        <w:rPr>
          <w:rFonts w:ascii="Times New Roman" w:cs="Times New Roman" w:eastAsia="Times New Roman" w:hAnsi="Times New Roman"/>
          <w:sz w:val="18"/>
          <w:szCs w:val="18"/>
          <w:color w:val="auto"/>
        </w:rPr>
        <w:t>. Participant acknowledges that there may be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tax, foreign asset and/or account reporting requirements which may affect Participant’s ability to acquire or hold Shares acquired under the Plan or cash received from participating in the Plan (including from any dividends paid on Shares acquired under the Plan) in a brokerage, bank account or legal entity outside Participant’s country. Participant may be required to report such accounts, balances, assets and/or the related transactions to the tax or other authorities in his or her country. Participant also may be required to repatriate sale proceeds or other funds received as a result of Participant’s participation in the Plan to his or her country through a designated bank or broker within a certain time after receipt. Participant acknowledges that it is Participant’s responsibility to be compliant with such regulations and Participant should consult his or her personal legal advisor for any details. Participant agrees to take any and all actions, and consents to any and all actions taken by the Company or the Employer as may be required to allow the Company or the Employer to comply with local laws, rules and regulations in Participant’s country of residence (and country of employment, if different). Finally, Participant agrees to take any and all actions as may be required to comply with Participant’s personal legal and tax obligations under local laws, rules and regulations in Participant’s country of residence (and country of employment, if different).</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1362"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The Performance Restricted Stock Units and issuance of Shares thereunder are intended to comply with Code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409A and the U.S. Treasury Regulations relating thereto so as not to subject the Participant to the payment of additional taxes and interest under Code Section 409A or other adverse tax consequences. In furtherance of this intent, the provisions of this Agreement will be interpreted, operated, and administered in a manner consistent with these intentions. The Committee may modify the terms of this Agreement, the Plan or both, without the consent of the Participant, in the manner that the Committee may determine to be necessary or advisable in order to comply with Code Section 409A or to mitigate any additional tax, interest and/or penalties or other adverse tax consequences that may apply under Code Section 409A if compliance is not practical. This </w:t>
      </w:r>
      <w:r>
        <w:rPr>
          <w:rFonts w:ascii="Times New Roman" w:cs="Times New Roman" w:eastAsia="Times New Roman" w:hAnsi="Times New Roman"/>
          <w:sz w:val="18"/>
          <w:szCs w:val="18"/>
          <w:u w:val="single" w:color="auto"/>
          <w:color w:val="auto"/>
        </w:rPr>
        <w:t>Section 11(m)</w:t>
      </w:r>
      <w:r>
        <w:rPr>
          <w:rFonts w:ascii="Times New Roman" w:cs="Times New Roman" w:eastAsia="Times New Roman" w:hAnsi="Times New Roman"/>
          <w:sz w:val="18"/>
          <w:szCs w:val="18"/>
          <w:color w:val="auto"/>
        </w:rPr>
        <w:t xml:space="preserve"> does not create an obligation on the part of the Company to modify the terms of this Agreement or the Plan and does not guarantee that the Performance Restricted Stock Units or the delivery of Shares upon vesting/settlement of the Performance Restricted Stock Units will not be subject to taxes, interest and penalties or any other adverse tax consequences under Code Section 409A. Nothing in this Agreement shall provide a basis for any person to take any action against the Company or any of its Subsidiaries based on matters covered by Code Section 409A, including the tax treatment of any amounts paid under this Agreement, and neither the Company nor any of its Subsidiaries will have any liability under any circumstances to the Participant or any other party if the Performance Restricted Stock Units, the delivery of Shares upon vesting/settlement of the Performance Restricted Stock Units or other payment or tax event hereunder that is intended to be exempt from, or compliant with, Code Section 409A, is not so exempt or compliant or for any action taken by the Committee with respect thereto. Further, settlement of any portion of the Performance Restricted Stock Units that is Deferred Compensation may not be accelerated or postponed except to the extent permitted by Code Section 409A.</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By electronically accepting this Agreement and participating in the Plan, Participant agrees to be bound by the terms and conditions in the Plan and this Agreement, including the Appendix. Within six months of the Grant Date, if Participant has not electronically accepted this Agreement on Fidelity’s website, or the website of any other stock plan service provider appointed by the Company, and has not otherwise rejected the grant, then this award shall automatically be deemed accepted, and Participant shall be bound by the terms and conditions in the Plan and this Agreement, including the Appendix.</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PARTICIPANTS OUTSIDE THE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OMNIBUS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RESTRICTED STOCK UNIT AGREEMENT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capitalized terms in this Appendix shall have the same defined meaning assigned to them in the Plan and the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Appendix includes special country-specific terms and conditions that apply to Participants in the countries listed below. This Appendix is part of the Agreement. This Appendix also includes information of which Participant should be aware with respect to his or her participation in the Plan. For example, certain individual exchange control reporting requirements may apply upon vesting of the Performance Restricted Stock Units and/or sale of Shares. The information is based on the securities, exchange control and other laws in effect in the respective countries as of October 2025 and is provided for informational purposes. Such laws are often complex and change frequently, and results may be different based on the particular facts and circumstances. As a result, the Company recommends that Participant does not rely on the information noted herein as the only source of information relating to the consequences of Participant’s participation in the Plan because the information may be out of date at the time the Performance Restricted Stock Units vest or are settled, or Participant sells Shares acquired under the Plan.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his or her situation.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if Participant is a citizen or resident of a country other than the one in which he or she currently is residing and/or working, transfers employment after the Performance Restricted Stock Units are granted to him or her, or is considered a resident of another country for local law purposes, the terms and conditions and/or notifications contained herein may not be applicable to him or her, and the Company shall, in its discretion, determine to what extent such terms and conditions contained herein shall apply to him or 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DATA PRIVACY PROVISIONS APPLICABLE TO GRANTEES IN THE EUROPEAN UNION/EUROPEAN ECONOMIC AREA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provision replaces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0" w:name="page261"/>
    <w:bookmarkEnd w:id="260"/>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Data Collection and Usage</w:t>
      </w:r>
      <w:r>
        <w:rPr>
          <w:rFonts w:ascii="Times New Roman" w:cs="Times New Roman" w:eastAsia="Times New Roman" w:hAnsi="Times New Roman"/>
          <w:sz w:val="18"/>
          <w:szCs w:val="18"/>
          <w:color w:val="auto"/>
        </w:rPr>
        <w:t>. Pursuant to applicable data protection laws, Participant is hereby notified that the Company collects, processes, uses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certain personally-identifiable information about Participant for the exclusive legitimate purpose of granting Performance Restricted Stock Units and implementing, administering and managing Participant’s participation in the Plan. Specifics of the data processing are described below. For California residents, the categories of personal information,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personal information is not sold or shared for cross-context behavioral advertising. The Company’s Global Privacy Notice is available at https://www.nuskin.com/content/global-privacy.html.</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Controller, EU Representative and DPO</w:t>
      </w:r>
      <w:r>
        <w:rPr>
          <w:rFonts w:ascii="Times New Roman" w:cs="Times New Roman" w:eastAsia="Times New Roman" w:hAnsi="Times New Roman"/>
          <w:sz w:val="18"/>
          <w:szCs w:val="18"/>
          <w:color w:val="auto"/>
        </w:rPr>
        <w:t>. The Company is the controller responsible for the processing of Participant’s personal data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Company’s representative in the European Union is NSE Products Europe BV, Da Vincilaan 9, 1930 Zaventem, Belgium, telephone number +32 2 722 70 00. Participant can reach the data protection officer (“DPO”) of the Company at +1 (801) 345-1000, 75 West Center Street, Provo, Utah 84601.</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Personal Data Subject to Processing</w:t>
      </w:r>
      <w:r>
        <w:rPr>
          <w:rFonts w:ascii="Times New Roman" w:cs="Times New Roman" w:eastAsia="Times New Roman" w:hAnsi="Times New Roman"/>
          <w:sz w:val="18"/>
          <w:szCs w:val="18"/>
          <w:color w:val="auto"/>
        </w:rPr>
        <w:t>. The Company collects, processes and uses the following types of personal data about Participant: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home address and telephone number, email address, date of birth, social insurance, passport number or other identification number, salary, nationality, job title, any Shares or directorships held in the Company, details of all Performance Restricted Stock Units or any other entitlement to Shares awarded, canceled, settled, vested, unvested or outstanding in Participant’s favor, which the Company receives from Participant or the Employer, as well as Participant’s hire date, term date, term reason code, status, and Company’s Division (“Personal Data”).</w:t>
      </w:r>
    </w:p>
    <w:p>
      <w:pPr>
        <w:spacing w:after="0" w:line="179"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b w:val="1"/>
          <w:bCs w:val="1"/>
          <w:color w:val="auto"/>
        </w:rPr>
        <w:t>Purposes and Legal Bases of Processing</w:t>
      </w:r>
      <w:r>
        <w:rPr>
          <w:rFonts w:ascii="Times New Roman" w:cs="Times New Roman" w:eastAsia="Times New Roman" w:hAnsi="Times New Roman"/>
          <w:sz w:val="18"/>
          <w:szCs w:val="18"/>
          <w:color w:val="auto"/>
        </w:rPr>
        <w:t>. The Company processes the Personal Data for the purpose of granting Performance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implementing, administering and managing Participant’s participation in the Plan. The legal basis for the processing of the Personal Data by the Company and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described below is the necessity of the data processing for the Company to perform its contractual obligations under the Agreement and generally administering employee equity awards.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Stock Plan Administration Service Providers</w:t>
      </w:r>
      <w:r>
        <w:rPr>
          <w:rFonts w:ascii="Times New Roman" w:cs="Times New Roman" w:eastAsia="Times New Roman" w:hAnsi="Times New Roman"/>
          <w:sz w:val="18"/>
          <w:szCs w:val="18"/>
          <w:color w:val="auto"/>
        </w:rPr>
        <w:t>. The Company transfers Personal Data to Fidelity Stock Plan Services, LLC and its affiliated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“Fidelity”), an independent stock plan administrator with operations, relevant to the Company, in the United States, which assists the Company with the implementation, administration and management of the Plan. In the future, the Company may select different service providers and may share Personal Data with such service providers. As a data controller, the Company’s stock plan administrator will open an account for Participant to receive and trade Shares. Participant will be asked to agree on separate terms and data processing practices with the service provider, which is a condition of Participant’s ability to participate in the Plan. Participant’s Personal Data will only be accessible by those individuals requiring access to it for purposes of implementing, administering and operating Participant’s participation in the Plan. Participant understands that Participant may request a list with the names and addresses of any potential recipients of Personal Data by contacting Participant’s local human resources representative.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International Data Transfers</w:t>
      </w:r>
      <w:r>
        <w:rPr>
          <w:rFonts w:ascii="Times New Roman" w:cs="Times New Roman" w:eastAsia="Times New Roman" w:hAnsi="Times New Roman"/>
          <w:sz w:val="18"/>
          <w:szCs w:val="18"/>
          <w:color w:val="auto"/>
        </w:rPr>
        <w:t>. The Company and its service providers, including, without limitation, Fidelity, operate, relevant to the Company,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which means that it will be necessary for Personal Data to be transferred to, and processed in, the United States. Participant understands and acknowledges that the United States is not subject to an unlimited adequacy finding by the European Commission and that Participant’s Personal Data may not have an equivalent level of protection as compared to Participant’s country of residence.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1" w:name="page262"/>
    <w:bookmarkEnd w:id="261"/>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The legal basis for the processing of the Personal Data by the Company and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is the necessity of the data processing for the Company to perform its contractual obligations under the Agreement and generally administering employee equity awards.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Data Retention</w:t>
      </w:r>
      <w:r>
        <w:rPr>
          <w:rFonts w:ascii="Times New Roman" w:cs="Times New Roman" w:eastAsia="Times New Roman" w:hAnsi="Times New Roman"/>
          <w:sz w:val="18"/>
          <w:szCs w:val="18"/>
          <w:color w:val="auto"/>
        </w:rPr>
        <w:t>. The Company will use the Personal Data only as long as necessary to implement, administer and manage Participant’s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or as required to comply with legal or regulatory obligations, including tax and securities laws. When the Company no longer needs the Personal Data, the Company will remove it from its systems. If the Company keeps data longer, it would be to satisfy tax, legal or regulatory obligations and the Company’s legal basis would be relevant laws or regulations.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Data Subject Rights</w:t>
      </w:r>
      <w:r>
        <w:rPr>
          <w:rFonts w:ascii="Times New Roman" w:cs="Times New Roman" w:eastAsia="Times New Roman" w:hAnsi="Times New Roman"/>
          <w:sz w:val="18"/>
          <w:szCs w:val="18"/>
          <w:color w:val="auto"/>
        </w:rPr>
        <w:t>. To the extent provided by law, Participant has the right to (i) inquire whether and what kind of Personal Data the Company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Participant and how it is processed, and to access or request copies of such Personal Data, (ii) request the correction or supplementation of Personal Data that is inaccurate, incomplete or out-of-date in light of the purposes underlying the processing, or (iii) obtain the erasure of Personal Data no longer necessary for the purposes underlying the processing or processed in non-compliance with applicable legal requirements. In addition, Participant has, to the extent provided by law, the right to (iv) request the Company to restrict the processing of Personal Data in certain situations where Participant feels its processing is inappropriate, (v) object, in certain circumstances, to the processing of Personal Data for legitimate interests, and to (vi) request portability of Personal Data that Participant has actively or passively provided to the Company, where the processing of such Personal Data is based on consent or a contractual agreement with Participant and is carried out by automated means. In case of concerns, Participant also has the right to (vii) lodge a complaint with the competent local data protection authority. To receive additional information regarding Participant’s rights, raise any other questions regarding the practices described in this Agreement or to exercise his or her rights, Participant should contact his or her local human resources representative.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Contractual Requirement</w:t>
      </w:r>
      <w:r>
        <w:rPr>
          <w:rFonts w:ascii="Times New Roman" w:cs="Times New Roman" w:eastAsia="Times New Roman" w:hAnsi="Times New Roman"/>
          <w:sz w:val="18"/>
          <w:szCs w:val="18"/>
          <w:color w:val="auto"/>
        </w:rPr>
        <w:t>. Participant’s provision of Personal Data and its processing as described above is required for the performance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obligations pursuant to the Plan and a condition to Participant’s ability to participate in the Plan. Participant understands that, as a consequence of Participant’s refusing to provide Personal Data, the Company may not be able to allow Participant to participate in the Plan, grant Performance Restricted Stock Units to Participant or administer or maintain such Performance Restricted Stock Units. However, Participant’s participation in the Plan and his or her acceptance of this Agreement are purely voluntary. While Participant will not receive Performance Restricted Stock Units if he or she decides against participating in the Plan or providing Personal Data as described above, Participant’s career and salary will not be affected in any way. For more information on the consequences of the refusal to provide Personal Data, Participant may contact his or her local human resources representative.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auto"/>
        </w:rPr>
        <w:t>AUSTRALIA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Nature of Plan</w:t>
      </w:r>
      <w:r>
        <w:rPr>
          <w:rFonts w:ascii="Times New Roman" w:cs="Times New Roman" w:eastAsia="Times New Roman" w:hAnsi="Times New Roman"/>
          <w:sz w:val="18"/>
          <w:szCs w:val="18"/>
          <w:color w:val="auto"/>
        </w:rPr>
        <w:t>. The Plan and the Agreement is a plan to which Subdivision 83A-C of the Income Tax Assessment Act 1997 (Cth) (the “Act”) applies (subject to the conditions in the Act).</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offer of the Performance Restricted Stock Units is being made under Division 1A Part 7.12 of the Australian Corporations Act 2001 (Cth). If Participant offers Shares acquired under the Plan for sale to a person or entity resident in Australia, the offer may be subject to disclosure requirements under Australian law. Participant should obtain legal advice on any disclosure obligations prior to making any such offer.</w:t>
      </w:r>
    </w:p>
    <w:p>
      <w:pPr>
        <w:spacing w:after="0" w:line="3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Participant is an Australian resident, exchange control reporting is required for cash transactions exceeding AUD10,000 and for international fund transfers. If an Australian bank is assisting with the transaction, the bank will file the report on Participant’s behalf.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BELGIUM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is required to report any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Shares acquired under the Plan) or bank accounts established outside of Belgium on his or her annual tax return. In a separate report, Belgian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Participant should consult a personal tax advisor with respect to the applicable reporting obligations.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Annual Securities Accounts Tax</w:t>
      </w:r>
      <w:r>
        <w:rPr>
          <w:rFonts w:ascii="Times New Roman" w:cs="Times New Roman" w:eastAsia="Times New Roman" w:hAnsi="Times New Roman"/>
          <w:sz w:val="18"/>
          <w:szCs w:val="18"/>
          <w:color w:val="auto"/>
        </w:rPr>
        <w:t>. An annual securities accounts tax may be payable if the total average value of securities held in a Belgian or foreign securities account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Shares acquired under the Plan) exceeds a certain threshold on four reference dates within the relevant reporting period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December 31, March 31, June 30 and September 30). In such case, the tax will be due on the value of the qualifying securities held in such account. Participant should consult with a personal tax or financial advisor for additional details on Participant’s obligations with respect to the annual securities account tax.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CHINA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provisions apply only to Participants who are subject to exchange control restrictions imposed by the State Administration of Foreign Exchange ("SAFE"), as determined by the Company in its sole discretion: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Settlement of Performance Restricted Stock Units</w:t>
      </w:r>
      <w:r>
        <w:rPr>
          <w:rFonts w:ascii="Times New Roman" w:cs="Times New Roman" w:eastAsia="Times New Roman" w:hAnsi="Times New Roman"/>
          <w:sz w:val="18"/>
          <w:szCs w:val="18"/>
          <w:color w:val="auto"/>
        </w:rPr>
        <w:t xml:space="preserve">. This provision supplements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of the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3" w:name="page264"/>
    <w:bookmarkEnd w:id="263"/>
    <w:p>
      <w:pPr>
        <w:jc w:val="both"/>
        <w:spacing w:after="0" w:line="256" w:lineRule="auto"/>
        <w:rPr>
          <w:sz w:val="20"/>
          <w:szCs w:val="20"/>
          <w:color w:val="auto"/>
        </w:rPr>
      </w:pPr>
      <w:r>
        <w:rPr>
          <w:rFonts w:ascii="Times New Roman" w:cs="Times New Roman" w:eastAsia="Times New Roman" w:hAnsi="Times New Roman"/>
          <w:sz w:val="18"/>
          <w:szCs w:val="18"/>
          <w:color w:val="auto"/>
        </w:rPr>
        <w:t>The Performance Restricted Stock Units will only vest if and when the Company has completed the registration of the Plan with SAFE and provided such registration remains effective. If the Company is unable to complete the registration or maintain the registration, the settlement of the Performance Restricted Stock Units may be delayed. Shares issued to Participant under the Plan must be maintained in an account with Fidelity or such other broker as may be designated by the Company until the Shares are sold through that broker. Due to local regulatory requirements, Participant agrees that the Company may force the sale of any Shares obtained at vesting. The sale may occur immediately upon vesting or within any other time frame as the Company determines to be necessary or advisable for legal or administrative reasons.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due to regulatory requirements, Participant acknowledges and agrees that Participant must sell any Shares issued to Participant upon vesting of the Performance Restricted Stock Units as soon as practicable following the termination of Participant’s Continuous Service and in no event later than six months following the termination of Participant’s Continuous Service, or within any other such time frame as may be required by SAFE. Participant agrees that if Participant continues to hold any of such Shares after this time, the Shares will be sold by the Company’s designated broker on Participant’s behalf at the instruction of the Company. Therefore, by accepting the Performance Restricted Stock Units, Participant understands and agrees that the Company is authorized to, and may in its sole discretion, instruct its designated broker to assist with the mandatory sale of Shares (on Participant’s behalf pursuant to this authorization) and that Participant expressly authorizes the Company’s designated broker to complete the sale of such Shares. Participant acknowledges that the Company’s designated broker is under no obligation to arrange for the sale of the Shares at any particular price. Upon the sale of the Shares, the proceeds, less any Tax-Related Items and brokerage fees or commissions will be remitted to Participant pursuant to the procedures described in the “Exchange Control Information” section below.</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understands and agrees that, to facilitate compliance with exchange control requirements, Participant will be required to immediately repatriate to China the cash proceeds from the sale of the Shares issued upon the vesting of the Performance Restricted Stock Units. Participant further understands that, under local law, such repatriation of the cash proceeds will be effectuated through a special exchange control account established by the Company or its Subsidiary in China, and Participant hereby consents and agrees that the proceeds from the sale of Shares acquired under the Plan may be transferred to such special account prior to being delivered to Participant. The Company may deliver the proceeds to Participant in U.S. dollars or local currency at the Company’s discretion. If the proceeds are paid in U.S. dollars, Participant understands that he or she will be required to set up a U.S. dollar bank account in China so that the proceeds may be deposited into this account. If the proceeds are converted to local currency, there may be delays in delivering the proceeds to Participant. Participant agrees to bear the risk of any currency fluctuation between the time the Shares are sold, either through voluntary sale or through a mandatory sale arranged by the Company, or proceeds are otherwise realized under the Plan and the time such proceeds are distributed to Participant through the special exchange control account.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further agrees to comply with any other requirements that may be imposed by the Company in the future to facilitate compliance with exchange control requirements in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DENMARK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Danish Stock Option Act.</w:t>
      </w:r>
      <w:r>
        <w:rPr>
          <w:rFonts w:ascii="Times New Roman" w:cs="Times New Roman" w:eastAsia="Times New Roman" w:hAnsi="Times New Roman"/>
          <w:sz w:val="18"/>
          <w:szCs w:val="18"/>
          <w:color w:val="auto"/>
        </w:rPr>
        <w:t xml:space="preserve"> Participant acknowledges that they have received an Employer Statement in Danish attached hereto as Schedule B , which sets forth additional terms of the Performance Restricted Stock Units, to the extent that the Danish Stock Option Act applies to the Performance Restricted Stock Units.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4" w:name="page265"/>
    <w:bookmarkEnd w:id="264"/>
    <w:p>
      <w:pPr>
        <w:jc w:val="both"/>
        <w:spacing w:after="0" w:line="266" w:lineRule="auto"/>
        <w:rPr>
          <w:sz w:val="20"/>
          <w:szCs w:val="20"/>
          <w:color w:val="auto"/>
        </w:rPr>
      </w:pPr>
      <w:r>
        <w:rPr>
          <w:rFonts w:ascii="Times New Roman" w:cs="Times New Roman" w:eastAsia="Times New Roman" w:hAnsi="Times New Roman"/>
          <w:sz w:val="18"/>
          <w:szCs w:val="18"/>
          <w:color w:val="auto"/>
        </w:rPr>
        <w:t>Please be aware that as set forth in Section 1 of the Act, the Act only applies to “employees” as that term is defined in Section 2 of the Act. If Participant is a member of the registered management of a Subsidiary in Denmark or otherwise does not satisfy the definition of employee, Participant will not be subject to the Act and the Employer Statement will not apply to Participant.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Danish residents who establish an account holding Shares or an account holding cash outside Denmark must report the account to the Danish Tax Administration as part of their annual tax return under the section related to foreign affairs and income. The form which should be used in this respect can be obtained from a local bank. Participant should consult with Participant’s personal advisor(s) regarding any personal foreign asset/foreign account tax obligations Participant may have in connection with Participant’s participation in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GERMANY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Cross-border payments in excess of €50,000 must be reported monthly to the German Federal Bank (Bundesbank). If Participant makes or receives a payment that exceeds €50,000 (including if Participant acquires Shares with a value in excess of this amount under the Plan or sell Shares via a foreign broker, bank or service provider and receive proceeds in excess of this amount) and/or if the Company withholds or sells Shares with a value in excess of this amount to cover Tax-Related Items, Participant must report the payment and/or the value of the Shares withheld or sold to Bundesbank. Such reports must be filed either electronically using the “General Statistics Reporting Portal” (</w:t>
      </w:r>
      <w:r>
        <w:rPr>
          <w:rFonts w:ascii="Times New Roman" w:cs="Times New Roman" w:eastAsia="Times New Roman" w:hAnsi="Times New Roman"/>
          <w:sz w:val="18"/>
          <w:szCs w:val="18"/>
          <w:i w:val="1"/>
          <w:iCs w:val="1"/>
          <w:color w:val="auto"/>
        </w:rPr>
        <w:t>Allgemeine Meldeportal Statistik</w:t>
      </w:r>
      <w:r>
        <w:rPr>
          <w:rFonts w:ascii="Times New Roman" w:cs="Times New Roman" w:eastAsia="Times New Roman" w:hAnsi="Times New Roman"/>
          <w:sz w:val="18"/>
          <w:szCs w:val="18"/>
          <w:color w:val="auto"/>
        </w:rPr>
        <w:t>) available via the Bundesbank’s website (www.bundesbank.de) or by such other method as is permitted or required by Bundesbank. The report must be submitted monthly or within such timing as is permitted or required by Bundesbank. Participant is responsible for obtaining the appropriate form from the bank and complying with the applying the applicable reporting obligations.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German residents holding Shares must notify their local tax office if the acquisition of Shares under the Plan leads to a so-called qualified participation at any point during the calendar year. A qualified participation is attained only in the unlikely event (i) Participant owns at least 1% of the Company and the value of the Shares acquired exceeds €150,000, or (ii) Participant holds Shares exceeding 10% of the total capital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HONG KONG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Performance Restricted Stock Units Only Payable in Shares</w:t>
      </w:r>
      <w:r>
        <w:rPr>
          <w:rFonts w:ascii="Times New Roman" w:cs="Times New Roman" w:eastAsia="Times New Roman" w:hAnsi="Times New Roman"/>
          <w:sz w:val="18"/>
          <w:szCs w:val="18"/>
          <w:color w:val="auto"/>
        </w:rPr>
        <w:t>. Notwithstanding any discretion in the Plan, the Performance Restricted Stock Units will be settled in Shares only. The grant of Performance Restricted Stock Units does not provide any right for Participant to receive a cash payment.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Restriction on Sale of Shares</w:t>
      </w:r>
      <w:r>
        <w:rPr>
          <w:rFonts w:ascii="Times New Roman" w:cs="Times New Roman" w:eastAsia="Times New Roman" w:hAnsi="Times New Roman"/>
          <w:sz w:val="18"/>
          <w:szCs w:val="18"/>
          <w:color w:val="auto"/>
        </w:rPr>
        <w:t>. Shares received under the Plan are accepted as a personal investment. Should any portion of the Performance Restricted Stock Units vest within six months of the Grant Date, Participant agrees that Participant will not dispose of the Shares acquired at vesting prior to the six-month anniversary of the Grant Date.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5" w:name="page266"/>
    <w:bookmarkEnd w:id="265"/>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Securities Law Information</w:t>
      </w:r>
      <w:r>
        <w:rPr>
          <w:rFonts w:ascii="Times New Roman" w:cs="Times New Roman" w:eastAsia="Times New Roman" w:hAnsi="Times New Roman"/>
          <w:sz w:val="18"/>
          <w:szCs w:val="18"/>
          <w:b w:val="1"/>
          <w:bCs w:val="1"/>
          <w:i w:val="1"/>
          <w:iCs w:val="1"/>
          <w:color w:val="auto"/>
        </w:rPr>
        <w:t>. Warning: The contents of this document have not been reviewed by any regulatory authority in Hong Kong. Participant is advised to exercise caution in relation to the offer. If Participant is in any doubt about any of the contents of the Agreement, including this Appendix, or the Plan, Participant should obtain independent professional advice. The Performance Restricted Stock Units and any Shares issued pursuant to the grant do not constitute a public offering of securities under Hong Kong law and are available only to employees of the Company.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Performance Restricted Stock Units and any related documentation are intended only for the personal use of each eligible employee of the Company or its Subsidiaries and may not be distributed to any other person.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HUNGARY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INDIA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must repatriate the cash proceeds received upon the sale of Shares and receipt of any dividends, and convert such proceeds into local currency to India within specified timeframes as required under applicable regulations. Participant must obtain a foreign inward remittance certificate (“FIRC”) from the bank where Participant deposits the foreign currency and must maintain the FIRC as evidence of the repatriation of funds in the event the Reserve Bank of India, the Company or the Employer requests proof of repatriation. Participant may be required to provide information to the Company and/or the Employer to make any applicable filings under exchange control laws in India. Because exchange control restrictions in India change frequently, Participant should consult with a personal advisor before taking any action under the Plan.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Indian residents are required to declare any foreign bank accounts and any foreign financial assets (including Shares acquired under the Plan) in their annual tax returns. It is Participant’s responsibility to comply with this reporting obligation and Participant should consult his or her personal advisor in this regard.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INDONESIA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Language Consent and Notification</w:t>
      </w:r>
      <w:r>
        <w:rPr>
          <w:rFonts w:ascii="Times New Roman" w:cs="Times New Roman" w:eastAsia="Times New Roman" w:hAnsi="Times New Roman"/>
          <w:sz w:val="18"/>
          <w:szCs w:val="18"/>
          <w:color w:val="auto"/>
        </w:rPr>
        <w:t>. A translation of the documents related to this grant into Bahasa Indonesia can be provided to Participant upon request to hroperations@nuskin.com. By accepting the grant, Participant (i) confirms having read and understood the documents relating to this grant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6" w:name="page267"/>
    <w:bookmarkEnd w:id="266"/>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Language Consent and Notification</w:t>
      </w:r>
      <w:r>
        <w:rPr>
          <w:rFonts w:ascii="Times New Roman" w:cs="Times New Roman" w:eastAsia="Times New Roman" w:hAnsi="Times New Roman"/>
          <w:sz w:val="18"/>
          <w:szCs w:val="18"/>
          <w:color w:val="auto"/>
        </w:rPr>
        <w:t>. Terjemahan dari dokumen-dokumen terkait dengan pemberian ini ke Bahasa Indonesia dapat disediakan untuk anda berdasarkan permintaan kepada hroperations@nuskin.com.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remits proceeds from the sale of Shares or the receipt of any dividends paid on such Shares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should be provided to Participant by the bank through which the transaction is made.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Participant must provide the Bank of Indonesia with information on foreign exchange activities via a monthly report submitted online through the Bank of Indonesia’s website. The report is due no later than the 15th day of the month following the month in which the activity occurred.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should consult with Participant’s personal advisor(s) regarding any personal legal, regulatory or foreign exchange obligations Participant may have in connection with Participant’s participation in the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Indonesian residents have the obligation to report worldwide assets (including foreign accounts and Shares acquired under the Plan) in their annual individual income tax return.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JAPAN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xml:space="preserve"> If Participant acquires Shares valued at more than ¥100,000,000 in a single transaction, Participant must file a Securities Acquisition Report with the Ministry of Finance through the Bank of Japan within 20 days of the purchase of the Shares. Participant should consult with Participant’s personal advisor(s) regarding any personal legal, regulatory or foreign exchange obligations Participant may have in connection with Participant’s participation in the Plan.</w:t>
      </w:r>
    </w:p>
    <w:p>
      <w:pPr>
        <w:spacing w:after="0" w:line="18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will be required to report details of any assets (including any Shares acquired under the Plan) held outside of Japan as of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year, to the extent such assets have a total net fair market value exceeding ¥50,000,000. Such report will be due by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following year. Participant should consult with his or her personal tax advisor as to whether the reporting obligation applies to Participant and whether Participant will be required to report details of any outstanding Performance Restricted Stock Units or Shares held by Participant in the report.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auto"/>
        </w:rPr>
        <w:t>KOREA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xml:space="preserve"> Korean residents may need to file a report with a Korean foreign exchange bank if the Korean resident sells Shares acquired under the Plan and/or receives cash dividends in excess of a certain threshold (currently US$5,000) (per transaction) and deposits the proceeds into a non-Korean bank account. The reporting is not required if proceeds are deposited into a non-Korean brokerage account. Participant is responsible for complying with any applicable exchange control reporting obligations in Korea and should consult with a personal legal advisor to determine their personal reporting obligations.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xml:space="preserve"> Korean residents must declare all foreign financial accounts (e.g., non-Korean bank accounts, brokerage accounts) to the Korean tax authority and file a report with respect to such accounts in June of the following year if the monthly balance of such accounts exceeds KRW 500 million (or an equivalent amount in foreign currency) on any month-end date during a calendar year. Participant should consult with Participant’s personal advisor(s) regarding any personal foreign asset/foreign account tax obligations Participant may have in connection with Participant’s participation in the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MALAYSIA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agrees that, if so requested by the Company, the Employer or any third party designated by the Company or the Employer, Participant must execute and return a compliance declaration related to Participant’s foreign investments to such person, as provided by the Company or the Employer in order to participate in the Plan. Participant understands that failure to do so may prevent Participant from being able to participate in the Plan.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Director Notification Information</w:t>
      </w:r>
      <w:r>
        <w:rPr>
          <w:rFonts w:ascii="Times New Roman" w:cs="Times New Roman" w:eastAsia="Times New Roman" w:hAnsi="Times New Roman"/>
          <w:sz w:val="18"/>
          <w:szCs w:val="18"/>
          <w:color w:val="auto"/>
        </w:rPr>
        <w:t>. If Participant is a director of a Malaysian Subsidiary, Participant is subject to certain notification requirements under the Malaysian Companies Act, 1965. Among these requirements is an obligation to notify the Malaysian Subsidiary in writing when Participant receives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Performance Restricted Stock Units) in the Company or any related companies. In addition, Participant must notify the Malaysian Subsidiary when Participant sells Shares of the Company or any related company (including when Participant sells Shares acquired under the Plan). These notifications must be made within fourteen days of acquiring or disposing of any interest in the Company or any related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Privacy Notice and Consent</w:t>
      </w:r>
      <w:r>
        <w:rPr>
          <w:rFonts w:ascii="Times New Roman" w:cs="Times New Roman" w:eastAsia="Times New Roman" w:hAnsi="Times New Roman"/>
          <w:sz w:val="18"/>
          <w:szCs w:val="18"/>
          <w:color w:val="auto"/>
        </w:rPr>
        <w:t xml:space="preserve">. This provision replaces in its entirety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Agreement:</w:t>
      </w:r>
    </w:p>
    <w:p>
      <w:pPr>
        <w:sectPr>
          <w:pgSz w:w="11900" w:h="16838" w:orient="portrait"/>
          <w:cols w:equalWidth="0" w:num="1">
            <w:col w:w="11240"/>
          </w:cols>
          <w:pgMar w:left="320" w:top="117" w:right="339" w:bottom="1440" w:gutter="0" w:footer="0" w:header="0"/>
        </w:sect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 or other form, of Participant’s personal data, as described in this Agreement and any other Performance Restricted Stock Unit grant materials by and among, as applicable, the Employer, the Company and Subsidiaries for the exclusive purpose of implementing, administering and managing Participant’s participation in the Plan.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Peserta dengan ini secara eksplisit dan tanpa sebarang keraguan mengizinkan pengumpulan, penggunaan dan pemindahan, dalam bentuk elektronik atau lain-lain, data peribadi Peserta seperti yang diterangkan dalam Perjanjian dan bahan-bahan geran Unit Saham Terbatas Prestasi yang lain oleh dan di antara, seperti yang berkenaan, Majikan, Syarikat dan Anak-anak Syarikat untuk tujuan yang eksklusif bagi melaksanakan, mentadbir dan menguruskan penyertaan Peserta di dalam Pelan.</w:t>
      </w:r>
    </w:p>
    <w:p>
      <w:pPr>
        <w:spacing w:after="0" w:line="200" w:lineRule="exact"/>
        <w:rPr>
          <w:sz w:val="20"/>
          <w:szCs w:val="20"/>
          <w:color w:val="auto"/>
        </w:rPr>
      </w:pPr>
    </w:p>
    <w:p>
      <w:pPr>
        <w:sectPr>
          <w:pgSz w:w="11900" w:h="16838" w:orient="portrait"/>
          <w:cols w:equalWidth="0" w:num="2">
            <w:col w:w="5520" w:space="220"/>
            <w:col w:w="5500"/>
          </w:cols>
          <w:pgMar w:left="320" w:top="117" w:right="339" w:bottom="1440" w:gutter="0" w:footer="0" w:header="0"/>
          <w:type w:val="continuous"/>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8" w:name="page269"/>
    <w:bookmarkEnd w:id="268"/>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Employer, the Company and Subsidiaries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Performance Restricted Stock Units or any other entitlement to Shares awarded, canceled, exercised, vested, unvested or outstanding in Participant’s favor, for the exclusive purpose of implementing, administering and managing the Plan (“Data”). The Data is supplied by the Employer and also by me through information collected in connection with the Agreement and the Plan.</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Peserta memahami bahawa Majikan, Syarikat and Anak-anak Syarikat mungkin memegang maklumat peribadi tertentu tentang Peserta, termasuk, tetapi tidak terhad kepada, nama Peserta, alamat rumah dan nombor telefon, tarikh lahir, nombor insurans sosial atau nombor pengenalan lain, gaji, kewarganegaraan, jawatan, apa-apa Syer atau jawatan pengarah yang dipegang dalam Syarikat, butir-butir semua Unit Saham Terbatas Prestasi, atau apa-apa hak lain atas Syer yang dianugerahkan, dibatalkan, dilaksanakan, terletak hak, tidak diletak hak ataupun yang belum dijelaskan bagi faedah Peserta, untuk tujuan eksklusif bagi melaksanakan, mentadbir dan menguruskan Pelan tersebut ("Data"). Data tersebut dibekalkan oleh Majikan dan juga oleh saya berkenaan dengan Perjanjian dan Pelan.</w:t>
      </w:r>
    </w:p>
    <w:p>
      <w:pPr>
        <w:spacing w:after="0" w:line="200" w:lineRule="exact"/>
        <w:rPr>
          <w:sz w:val="20"/>
          <w:szCs w:val="20"/>
          <w:color w:val="auto"/>
        </w:rPr>
      </w:pPr>
    </w:p>
    <w:p>
      <w:pPr>
        <w:sectPr>
          <w:pgSz w:w="11900" w:h="16838" w:orient="portrait"/>
          <w:cols w:equalWidth="0" w:num="2">
            <w:col w:w="5520" w:space="220"/>
            <w:col w:w="5500"/>
          </w:cols>
          <w:pgMar w:left="320" w:top="117"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9" w:name="page270"/>
    <w:bookmarkEnd w:id="269"/>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Fidelity,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at +60-03-2170-7700. Participant authorizes the Company, Fidelity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Performance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adverse consequence of refusing or withdrawing Participant’s consent is that the Company may not be able to grant Participant Performance Restricted Stock Units or other equity awards or administer or maintain such awards.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his or her local human resources representative.</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Peserta memahami bahawa Data ini akan dipindahkan kepada Fidelity, atau mana-mana pembekal perkhidmatan pelan saham lain sebagaimana yang dipilih oleh Syarikat pada masa depan, yang membantu Syarikat dengan pelaksanaan, pentadbiran dan pengurusan Pelan. Peserta memahami bahawa penerima-penerima Data mungkin berada di Amerika Syarikat atau mana-mana tempat lain, dan bahawa negara penerima-penerima (contohnya, Amerika Syarikat) mungkin mempunyai undang-undang privasi data dan perlindungan yang berbeza daripada negara Peserta. Peserta memahami bahawa sekiranya Peserta menetap di luar Amerika Syarikat, Peserta boleh meminta satu senarai yang mengandungi nama-nama dan alamat-alamat penerima-penerima Data yang berpotensi dengan menghubungi wakil sumber manusia tempatan peserta di +60-03-2170-7700. Peserta memberi kuasa kepada Syarikat, Fidelity dan mana-mana penerima-penerima kemungkinan lain yang mungkin akan membantu Syarikat (pada masa sekarang atau pada masa depan) dengan melaksanakan, mentadbir dan menguruskan Pelan untuk menerima, memiliki, menggunakan, mengekalkan dan memindahkan Data, dalam bentuk elektronik atau lain-lain, bagi tujuan-tujuan untuk melaksanakan, mentadbir dan menguruskan penyertaan Peserta di dalam Pelan, termasuk segala pemindahan Data tersebut sebagaimana yang dikehendaki kepada broker, egen eskrow atau pihak ketiga dengan siapa Saham diterima semasa peletakhakan Unit Saham Terbatas Prestasi mungkin didepositkan. Peserta memahami bahawa Data hanya akan disimpan selagi ia adalah diperlukan untuk melaksanakan, mentadbir, dan menguruskan penyertaan peserta dalam Pelan. Peserta memahami bahawa sekiranya peserta menetap di luar Amerika Syarikat, peserta boleh, pada bila-bila masa, 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 Selanjutnya, Peserta memahami bahawa peserta memberikan persetujuan di sini secara sukarela semata-mata. Sekiranya Peserta tidak bersetuju, atau sekiranya Peserta kemudian membatalkan persetujuannya, status pekerjaan atau perkhidmatan dan kerjaya Peserta dengan Majikan tidak akan terjejas; satu-satunya akibat buruk sekiranya Peserta tidak bersetuju atau menarik balik persetujuan Peserta adalah bahawa Syarikat tidak akan dapat memberikan Unit Saham Terbatas Prestasi atau anugerah ekuiti lain atau mentadbir atau mengekalkan anugerah-anugerah tersebut kepada Peserta. Oleh itu, Peserta memahami bahawa keengganan atau penarikan balik persetujuan peserta boleh menjejaskan keupayaan Peserta untuk mengambil bahagian dalam Pelan. Untuk maklumat lebih lanjut mengenai akibat-akibat keengganan Peserta untuk memberikan keizinan atau penarikan balik keizinan, Peserta memahami bahawa Peserta boleh menghubungi wakil sumber manusia tempatan.</w:t>
      </w:r>
    </w:p>
    <w:p>
      <w:pPr>
        <w:spacing w:after="0" w:line="200" w:lineRule="exact"/>
        <w:rPr>
          <w:sz w:val="20"/>
          <w:szCs w:val="20"/>
          <w:color w:val="auto"/>
        </w:rPr>
      </w:pPr>
    </w:p>
    <w:p>
      <w:pPr>
        <w:sectPr>
          <w:pgSz w:w="11900" w:h="16838" w:orient="portrait"/>
          <w:cols w:equalWidth="0" w:num="2">
            <w:col w:w="5520" w:space="220"/>
            <w:col w:w="5500"/>
          </w:cols>
          <w:pgMar w:left="320" w:top="117" w:right="33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NETHERLANDS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PHILIPPINES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This offering is subject to exemption from the requirements of securities registration with the Philippines Securities and Exchange Commission, under Section 10.1(k) of the Philippine Securities Regulation Code.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further information on risk factors impacting the Company’s business that may affect the value of the Shares, Participant may refer to the risk factors discussion in the Company's Annual Report on Form 10-K and Quarterly Reports on Form 10-Q, which are filed with the U.S. Securities and Exchange Commission and are available online at www.sec.gov, as well as on the Company's website at http://ir.nuskin.com. In addition, Participant may receive, free of charge, a copy of the Company's Annual Report, Quarterly Reports or any other reports, proxy statements or communications distributed to the Company's stockholders by contacting Investor Relations Department at 75 West Center Street, Provo, Utah 84601.</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 acknowledges he or she is permitted to dispose or sell Shares acquired under the Plan provided the offer and resale of such shares takes place outside the Philippines through the facilities of a stock exchange on which the Shares are listed. The Shares are currently listed on the New York Stock Exchange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Sale Restriction</w:t>
      </w:r>
      <w:r>
        <w:rPr>
          <w:rFonts w:ascii="Times New Roman" w:cs="Times New Roman" w:eastAsia="Times New Roman" w:hAnsi="Times New Roman"/>
          <w:sz w:val="18"/>
          <w:szCs w:val="18"/>
          <w:color w:val="auto"/>
        </w:rPr>
        <w:t>. Participant agrees that any Shares acquired pursuant to the Performance Restricted Stock Units will not be offered for sale in Singapore prior to the six-month anniversary of the Grant Date, unless such offer or sale is made pursuant to the exemptions under Part XIII Division (1) Subdivision</w:t>
      </w:r>
    </w:p>
    <w:p>
      <w:pPr>
        <w:ind w:right="20" w:firstLine="8"/>
        <w:spacing w:after="0" w:line="260" w:lineRule="auto"/>
        <w:tabs>
          <w:tab w:leader="none" w:pos="26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section 280) of the Securities and Futures Act (Chapter 289, 2006 Ed.) (“SFA”), or pursuant to, and in accordance with the conditions of, any other applicable provisions of the SFA.</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1" w:name="page272"/>
    <w:bookmarkEnd w:id="271"/>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grant of the Performance Restricted Stock Units is made pursuant to the “Qualifying Person” exemption under section 273(1)(f) of the SFA and is not made to Participant with a view of the Performance Restricted Stock Units being subsequently offered for sale to any other party. The Plan has not been lodged or registered as a prospectus with the Monetary Authority of Singapore and hence, statutory liability under the SFA in relation to the content of prospectuses will not apply. Participant should note that the Award is subject to section 257 of the SFA and Participant will not be able to make (i) any subsequent sale of the Shares in Singapore or (ii) any offer of such subsequent sale of the Shares subject to the Award in Singapore, unless such sale or offer is made (a) more than six months after the Grant Date or (b) pursuant to the exemptions under Part XIII Division (1) Subdivision</w:t>
      </w:r>
    </w:p>
    <w:p>
      <w:pPr>
        <w:spacing w:after="0" w:line="5" w:lineRule="exact"/>
        <w:rPr>
          <w:sz w:val="20"/>
          <w:szCs w:val="20"/>
          <w:color w:val="auto"/>
        </w:rPr>
      </w:pPr>
    </w:p>
    <w:p>
      <w:pPr>
        <w:ind w:firstLine="8"/>
        <w:spacing w:after="0" w:line="260" w:lineRule="auto"/>
        <w:tabs>
          <w:tab w:leader="none" w:pos="257"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section 280) of the SFA (Chapter 289, 2006 Ed.) or pursuant to, and in accordance with the conditions of, any other applicable provisions of the SFA.</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Director Notification Requirement</w:t>
      </w:r>
      <w:r>
        <w:rPr>
          <w:rFonts w:ascii="Times New Roman" w:cs="Times New Roman" w:eastAsia="Times New Roman" w:hAnsi="Times New Roman"/>
          <w:sz w:val="18"/>
          <w:szCs w:val="18"/>
          <w:color w:val="auto"/>
        </w:rPr>
        <w:t>. Directors, associate directors and shadow directors of a Singapore Subsidiary are subject to certain notification requirements under the Singapore Companies Act. The directors, associate directors and shadow directors must notify the Singapore Subsidiary in writing of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Restricted Stock Units, Shares, etc.) in the Company or any related companies within two business days of (i) its acquisition or disposal, (ii) any change in a previously disclosed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when the Shares are sold), or (iii) becoming a director, associate director or shadow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TAIWAN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xml:space="preserve">. Participant hereby acknowledges that he or she has read and understood the terms regarding collection, processing and transfer of Data contained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Agreement and by participating in the Plan, Participant agrees to such terms. In this regard, upon request of the Company or the Employer,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Participant understands he or she will not be able to participate in the Plan if Participant fails to execute any such consent or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xml:space="preserve"> The Performance Restricted Stock Units and the Shares to be issued pursuant to the Plan are available only to employees of the Company and its Subsidiaries. The grant of the Performance Restricted Stock Units does not constitute a public offer of securities by a Taiwanese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may remit foreign currency (including proceeds from the sale of Shares or the receipt of any dividends paid on such Shares) into or out of Taiwan up to US$10,000,000 per year without special permission. If the transaction amount is TWD500,000 or more in a single transaction, Participant must submit a Foreign Exchange Transaction Form to the remitting bank and provide supporting documentation to the satisfaction of the remitting bank. If the transaction amount is US$500,000 or more, Participant may be required to provide supporting documentation to the satisfaction of the remitting bank.</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auto"/>
        </w:rPr>
        <w:t>THAILAND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receives proceeds from the sale of Shares or cash dividends in relation to the Shares in excess of US$1,000,000 in a single transaction, Participant must immediately repatriate the funds to Thailand (or utilize such funds offshore for permissible purposes) and convert the funds to Thai Baht within 360 days of repatriation or deposit the funds in an authorized foreign exchange account in Thailand. Participant is also required to provide details of the transaction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identification information and purpose of the transaction) to the receiving bank.</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If Participant does not repatriate such funds and utilizes them offshore for permissible purposes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purposes not listed in the negative list prescribed by the Bank of Thailand), Participant must obtain a waiver of the repatriation requirement from a commercial bank in Thailand by submitting an application and supporting documents evidencing that such funds will be utilized offshore for permissible purposes.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should consult with Participant’s personal advisor(s) regarding any personal legal, regulatory or foreign exchange obligations Participant may have in connection with Participant’s participation in the Plan.</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3" w:name="page274"/>
    <w:bookmarkEnd w:id="273"/>
    <w:p>
      <w:pPr>
        <w:jc w:val="center"/>
        <w:ind w:right="-19"/>
        <w:spacing w:after="0"/>
        <w:rPr>
          <w:sz w:val="20"/>
          <w:szCs w:val="20"/>
          <w:color w:val="auto"/>
        </w:rPr>
      </w:pPr>
      <w:r>
        <w:rPr>
          <w:rFonts w:ascii="Times New Roman" w:cs="Times New Roman" w:eastAsia="Times New Roman" w:hAnsi="Times New Roman"/>
          <w:sz w:val="18"/>
          <w:szCs w:val="18"/>
          <w:color w:val="auto"/>
        </w:rPr>
        <w:t>SCHEDULE A</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Performance Restricted Stock Units shall be divided into [*] tranches. The percentage of each respective tranche that shall vest shall be determined as described below. Such percentage of each tranche shall vest on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Vesting Provisions]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18"/>
          <w:szCs w:val="18"/>
          <w:color w:val="auto"/>
        </w:rPr>
        <w:t>SCHEDULE 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DENMARK EMPLOYER STATEMENT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SÆRLIG MEDDELELSE TIL MEDARBEJDERE I DANMARK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ARBEJDSGIVERERKLÆRING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henhold til § 3, stk. 1, i lov om brug af køberet eller tegningsret mv. i ansættelsesforhold ("Aktieoptionsloven") er medarbejderen ("Medarbejderen") berettiget til i en særskilt skriftlig erklæring at modtage følgende oplysninger vedrørende incitamentsordningen 2024 Omnibus Incentive Plan ("Planen") hos Nu Skin Enterprises, Inc. ("Selskabet").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Denne erklæring indeholder kun de oplysninger, der er nævnt i Aktieoptionsloven, mens de øvrige vilkår og betingelser for Medarbejderens tildeling af " Performance Restricted Stock Units" er nærmere beskrevet i Planen, "Performance Restricted Stock Unit Agreement" ("Aftalen") og det øvrige tildelingsmateriale, som er blevet udleveret. Begreber, der står med stort begyndelsesbogstav i denne Arbejdsgivererklæring, men som ikke er defineret heri, har samme betydning som de begreber, der er defineret i Planen eller Aftalen.</w:t>
      </w:r>
    </w:p>
    <w:p>
      <w:pPr>
        <w:spacing w:after="0" w:line="180" w:lineRule="exact"/>
        <w:rPr>
          <w:sz w:val="20"/>
          <w:szCs w:val="20"/>
          <w:color w:val="auto"/>
        </w:rPr>
      </w:pPr>
    </w:p>
    <w:p>
      <w:pPr>
        <w:ind w:left="640" w:hanging="632"/>
        <w:spacing w:after="0"/>
        <w:tabs>
          <w:tab w:leader="none" w:pos="6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Tidspunkt for tildeling af den vederlagsfri ret til at modtage aktier mod opfyldelse af visse betingelser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Tidspunktet for tildelingen af "Performance Restricted Stock Units" er den dato, hvor Bestyrelsens Vederlagsudvalg ("Udvalget") godkendte tildelingen.</w:t>
      </w:r>
    </w:p>
    <w:p>
      <w:pPr>
        <w:spacing w:after="0" w:line="225" w:lineRule="exact"/>
        <w:rPr>
          <w:sz w:val="20"/>
          <w:szCs w:val="20"/>
          <w:color w:val="auto"/>
        </w:rPr>
      </w:pPr>
    </w:p>
    <w:p>
      <w:pPr>
        <w:ind w:left="640" w:hanging="632"/>
        <w:spacing w:after="0"/>
        <w:tabs>
          <w:tab w:leader="none" w:pos="6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Kriterier og betingelser for tildeling af retten til senere at modtage aktier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Kun Selskabets Medarbejdere, bestyrelsesmedlemmer og konsulenter kan deltage i Planen. Tildeling af " Performance Restricted Stock Units" i henhold til Planen sker efter Selskabets eget skøn og har til formål at give Selskabet og dets datterselskaber mulighed for at tiltrække og fastholde udvalgte medarbejdere, som forventes at bidrage til Selskabets success og opnå langsigtede mål til gavn for Selskabets aktionærer. Medarbejderen har ikke nogen ret til eller noget krav på fremover at få tildelt "Performance Restricted Stock Units".</w:t>
      </w:r>
    </w:p>
    <w:p>
      <w:pPr>
        <w:spacing w:after="0" w:line="180" w:lineRule="exact"/>
        <w:rPr>
          <w:sz w:val="20"/>
          <w:szCs w:val="20"/>
          <w:color w:val="auto"/>
        </w:rPr>
      </w:pPr>
    </w:p>
    <w:p>
      <w:pPr>
        <w:ind w:left="640" w:hanging="632"/>
        <w:spacing w:after="0"/>
        <w:tabs>
          <w:tab w:leader="none" w:pos="6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Modningstidspunkt eller -periode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Dine "Performance Restricted Stock Units" optjenes over et antal år som fastsat i Aftalen. Dine "Performance Restricted Stock Units"r vil ved optjeningen blive konverteret til et tilsvarende antal ordinære aktier i Selskabet. Optjeningen kan accelerere under visse andre omstændigheder som beskrevet i Aftalen.</w:t>
      </w:r>
    </w:p>
    <w:p>
      <w:pPr>
        <w:spacing w:after="0" w:line="162" w:lineRule="exact"/>
        <w:rPr>
          <w:sz w:val="20"/>
          <w:szCs w:val="20"/>
          <w:color w:val="auto"/>
        </w:rPr>
      </w:pPr>
    </w:p>
    <w:p>
      <w:pPr>
        <w:ind w:left="640" w:hanging="632"/>
        <w:spacing w:after="0"/>
        <w:tabs>
          <w:tab w:leader="none" w:pos="6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Udnyttelseskurs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betales ingen udnyttelseskurs ved modning af "Performance Restricted Stock Units" eller udstedelse af aktier til Medarbejderen.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5" w:name="page276"/>
    <w:bookmarkEnd w:id="275"/>
    <w:p>
      <w:pPr>
        <w:ind w:left="640" w:hanging="632"/>
        <w:spacing w:after="0"/>
        <w:tabs>
          <w:tab w:leader="none" w:pos="6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Medarbejderens retsstilling i forbindelse med fratræden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Såfremt du fratræder din stilling, vil dine "Performance Restricted Stock Units" blive behandlet i overensstemmelse med ophørsbestemmelserne i Aftalen, der kan opsummeres til følgende: Undtagen i tilfælde af en "Change in Control" (som beskrevet i Aftalen) hvis dit ansættelsesforhold bringes til ophør, bortfalder dine ikke-optjente "Performance Restricted Stock Units".</w:t>
      </w:r>
    </w:p>
    <w:p>
      <w:pPr>
        <w:spacing w:after="0" w:line="176" w:lineRule="exact"/>
        <w:rPr>
          <w:sz w:val="20"/>
          <w:szCs w:val="20"/>
          <w:color w:val="auto"/>
        </w:rPr>
      </w:pPr>
    </w:p>
    <w:p>
      <w:pPr>
        <w:ind w:left="640" w:hanging="632"/>
        <w:spacing w:after="0"/>
        <w:tabs>
          <w:tab w:leader="none" w:pos="6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Økonomiske aspekter ved at deltage i Planen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Tildelingen af "Performance Restricted Stock Units" har ingen umiddelbare økonomiske konsekvenser for Medarbejderen. Værdien af "Performance Restricted Stock Units" indgår ikke i beregningen af feriepenge, pensionsbidrag eller andre lovpligtige, vederlagsafhængige ydelser.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Ordinære aktier er finansielle instrumenter. Den fremtidige værdi af de underliggende aktier i forbindelse med "Performance Restricted Stock Units" kendes ikke og kan ikke forudsiges med sikkerhed.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S. Napierski, certify that:</w:t>
      </w:r>
    </w:p>
    <w:p>
      <w:pPr>
        <w:spacing w:after="0" w:line="225" w:lineRule="exact"/>
        <w:rPr>
          <w:sz w:val="20"/>
          <w:szCs w:val="20"/>
          <w:color w:val="auto"/>
        </w:rPr>
      </w:pPr>
    </w:p>
    <w:p>
      <w:pPr>
        <w:ind w:left="340" w:hanging="332"/>
        <w:spacing w:after="0"/>
        <w:tabs>
          <w:tab w:leader="none" w:pos="3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 Skin Enterprises,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213423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Chelsea K. Lantz, certify that:</w:t>
      </w:r>
    </w:p>
    <w:p>
      <w:pPr>
        <w:spacing w:after="0" w:line="225" w:lineRule="exact"/>
        <w:rPr>
          <w:sz w:val="20"/>
          <w:szCs w:val="20"/>
          <w:color w:val="auto"/>
        </w:rPr>
      </w:pPr>
    </w:p>
    <w:p>
      <w:pPr>
        <w:ind w:left="340" w:hanging="332"/>
        <w:spacing w:after="0"/>
        <w:tabs>
          <w:tab w:leader="none" w:pos="3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 Skin Enterprises,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/s/ Chelsea K. Lantz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213423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Chelsea K. Lantz</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OF CHIEF EXECUTIVE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Nu Skin Enterprises, Inc. (the “Company”) on Form 10-Q for the period ended March 31, 2026 (the “Report”), I, Ryan S. Napierski, Chief Executive Officer of the Company, certify, pursuant to 18 U.S.C.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213423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OF CHIEF FINANCIAL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Nu Skin Enterprises, Inc. (the “Company”) on Form 10-Q for the period ended March 31, 2026 (the “Report”), I, Chelsea K. Lantz, Chief Financial Officer of the Company, certify, pursuant to 18 U.S.C. §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/s/ Chelsea K. Lantz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213423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Chelsea K. Lantz</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4E1DD5"/>
    <w:multiLevelType w:val="hybridMultilevel"/>
    <w:lvl w:ilvl="0">
      <w:lvlJc w:val="left"/>
      <w:lvlText w:val="☑"/>
      <w:numFmt w:val="bullet"/>
      <w:start w:val="1"/>
    </w:lvl>
  </w:abstractNum>
  <w:abstractNum w:abstractNumId="1">
    <w:nsid w:val="57D2F10E"/>
    <w:multiLevelType w:val="hybridMultilevel"/>
    <w:lvl w:ilvl="0">
      <w:lvlJc w:val="left"/>
      <w:lvlText w:val="☐"/>
      <w:numFmt w:val="bullet"/>
      <w:start w:val="1"/>
    </w:lvl>
  </w:abstractNum>
  <w:abstractNum w:abstractNumId="2">
    <w:nsid w:val="BFFAE18"/>
    <w:multiLevelType w:val="hybridMultilevel"/>
    <w:lvl w:ilvl="0">
      <w:lvlJc w:val="left"/>
      <w:lvlText w:val="(%1)"/>
      <w:numFmt w:val="decimal"/>
      <w:start w:val="1"/>
    </w:lvl>
  </w:abstractNum>
  <w:abstractNum w:abstractNumId="3">
    <w:nsid w:val="E3E47A8"/>
    <w:multiLevelType w:val="hybridMultilevel"/>
    <w:lvl w:ilvl="0">
      <w:lvlJc w:val="left"/>
      <w:lvlText w:val=" "/>
      <w:numFmt w:val="bullet"/>
      <w:start w:val="1"/>
    </w:lvl>
  </w:abstractNum>
  <w:abstractNum w:abstractNumId="4">
    <w:nsid w:val="2E48F044"/>
    <w:multiLevelType w:val="hybridMultilevel"/>
    <w:lvl w:ilvl="0">
      <w:lvlJc w:val="left"/>
      <w:lvlText w:val="(%1)"/>
      <w:numFmt w:val="decimal"/>
      <w:start w:val="1"/>
    </w:lvl>
  </w:abstractNum>
  <w:abstractNum w:abstractNumId="5">
    <w:nsid w:val="49D0FEAC"/>
    <w:multiLevelType w:val="hybridMultilevel"/>
    <w:lvl w:ilvl="0">
      <w:lvlJc w:val="left"/>
      <w:lvlText w:val="(%1)"/>
      <w:numFmt w:val="lowerRoman"/>
      <w:start w:val="1"/>
    </w:lvl>
  </w:abstractNum>
  <w:abstractNum w:abstractNumId="6">
    <w:nsid w:val="4BEE5A5B"/>
    <w:multiLevelType w:val="hybridMultilevel"/>
    <w:lvl w:ilvl="0">
      <w:lvlJc w:val="left"/>
      <w:lvlText w:val="●"/>
      <w:numFmt w:val="bullet"/>
      <w:start w:val="1"/>
    </w:lvl>
  </w:abstractNum>
  <w:abstractNum w:abstractNumId="7">
    <w:nsid w:val="5551B9F3"/>
    <w:multiLevelType w:val="hybridMultilevel"/>
    <w:lvl w:ilvl="0">
      <w:lvlJc w:val="left"/>
      <w:lvlText w:val="●"/>
      <w:numFmt w:val="bullet"/>
      <w:start w:val="1"/>
    </w:lvl>
  </w:abstractNum>
  <w:abstractNum w:abstractNumId="8">
    <w:nsid w:val="24F6AB8E"/>
    <w:multiLevelType w:val="hybridMultilevel"/>
    <w:lvl w:ilvl="0">
      <w:lvlJc w:val="left"/>
      <w:lvlText w:val="(%1)"/>
      <w:numFmt w:val="decimal"/>
      <w:start w:val="1"/>
    </w:lvl>
  </w:abstractNum>
  <w:abstractNum w:abstractNumId="9">
    <w:nsid w:val="634C574C"/>
    <w:multiLevelType w:val="hybridMultilevel"/>
    <w:lvl w:ilvl="0">
      <w:lvlJc w:val="left"/>
      <w:lvlText w:val="A"/>
      <w:numFmt w:val="bullet"/>
      <w:start w:val="1"/>
    </w:lvl>
  </w:abstractNum>
  <w:abstractNum w:abstractNumId="10">
    <w:nsid w:val="24E99DD7"/>
    <w:multiLevelType w:val="hybridMultilevel"/>
    <w:lvl w:ilvl="0">
      <w:lvlJc w:val="left"/>
      <w:lvlText w:val="B"/>
      <w:numFmt w:val="bullet"/>
      <w:start w:val="1"/>
    </w:lvl>
  </w:abstractNum>
  <w:abstractNum w:abstractNumId="11">
    <w:nsid w:val="2A31B62D"/>
    <w:multiLevelType w:val="hybridMultilevel"/>
    <w:lvl w:ilvl="0">
      <w:lvlJc w:val="left"/>
      <w:lvlText w:val="D"/>
      <w:numFmt w:val="bullet"/>
      <w:start w:val="1"/>
    </w:lvl>
  </w:abstractNum>
  <w:abstractNum w:abstractNumId="12">
    <w:nsid w:val="1849C29B"/>
    <w:multiLevelType w:val="hybridMultilevel"/>
    <w:lvl w:ilvl="0">
      <w:lvlJc w:val="left"/>
      <w:lvlText w:val="F"/>
      <w:numFmt w:val="bullet"/>
      <w:start w:val="1"/>
    </w:lvl>
  </w:abstractNum>
  <w:abstractNum w:abstractNumId="13">
    <w:nsid w:val="7DFF9D09"/>
    <w:multiLevelType w:val="hybridMultilevel"/>
    <w:lvl w:ilvl="0">
      <w:lvlJc w:val="left"/>
      <w:lvlText w:val="G"/>
      <w:numFmt w:val="bullet"/>
      <w:start w:val="1"/>
    </w:lvl>
  </w:abstractNum>
  <w:abstractNum w:abstractNumId="14">
    <w:nsid w:val="754342"/>
    <w:multiLevelType w:val="hybridMultilevel"/>
    <w:lvl w:ilvl="0">
      <w:lvlJc w:val="left"/>
      <w:lvlText w:val="H"/>
      <w:numFmt w:val="bullet"/>
      <w:start w:val="1"/>
    </w:lvl>
  </w:abstractNum>
  <w:abstractNum w:abstractNumId="15">
    <w:nsid w:val="69E7F3E5"/>
    <w:multiLevelType w:val="hybridMultilevel"/>
    <w:lvl w:ilvl="0">
      <w:lvlJc w:val="left"/>
      <w:lvlText w:val="(%1)"/>
      <w:numFmt w:val="lowerRoman"/>
      <w:start w:val="1"/>
    </w:lvl>
  </w:abstractNum>
  <w:abstractNum w:abstractNumId="16">
    <w:nsid w:val="2A6DE806"/>
    <w:multiLevelType w:val="hybridMultilevel"/>
    <w:lvl w:ilvl="0">
      <w:lvlJc w:val="left"/>
      <w:lvlText w:val="(%1)"/>
      <w:numFmt w:val="lowerLetter"/>
      <w:start w:val="1"/>
    </w:lvl>
  </w:abstractNum>
  <w:abstractNum w:abstractNumId="17">
    <w:nsid w:val="1816F8C4"/>
    <w:multiLevelType w:val="hybridMultilevel"/>
    <w:lvl w:ilvl="0">
      <w:lvlJc w:val="left"/>
      <w:lvlText w:val="%1"/>
      <w:numFmt w:val="lowerLetter"/>
      <w:start w:val="1"/>
    </w:lvl>
    <w:lvl w:ilvl="1">
      <w:lvlJc w:val="left"/>
      <w:lvlText w:val="(%2)"/>
      <w:numFmt w:val="lowerLetter"/>
      <w:start w:val="5"/>
    </w:lvl>
  </w:abstractNum>
  <w:abstractNum w:abstractNumId="18">
    <w:nsid w:val="37DF2233"/>
    <w:multiLevelType w:val="hybridMultilevel"/>
    <w:lvl w:ilvl="0">
      <w:lvlJc w:val="left"/>
      <w:lvlText w:val="(%1)"/>
      <w:numFmt w:val="lowerLetter"/>
      <w:start w:val="4"/>
    </w:lvl>
    <w:lvl w:ilvl="1">
      <w:lvlJc w:val="left"/>
      <w:lvlText w:val="(%2)"/>
      <w:numFmt w:val="lowerLetter"/>
      <w:start w:val="8"/>
    </w:lvl>
  </w:abstractNum>
  <w:abstractNum w:abstractNumId="19">
    <w:nsid w:val="7AB49DAF"/>
    <w:multiLevelType w:val="hybridMultilevel"/>
    <w:lvl w:ilvl="0">
      <w:lvlJc w:val="left"/>
      <w:lvlText w:val="(%1)"/>
      <w:numFmt w:val="upperLetter"/>
      <w:start w:val="1"/>
    </w:lvl>
  </w:abstractNum>
  <w:abstractNum w:abstractNumId="20">
    <w:nsid w:val="759F82CD"/>
    <w:multiLevelType w:val="hybridMultilevel"/>
    <w:lvl w:ilvl="0">
      <w:lvlJc w:val="left"/>
      <w:lvlText w:val="(%1)"/>
      <w:numFmt w:val="lowerRoman"/>
      <w:start w:val="1"/>
    </w:lvl>
  </w:abstractNum>
  <w:abstractNum w:abstractNumId="21">
    <w:nsid w:val="61E74EA3"/>
    <w:multiLevelType w:val="hybridMultilevel"/>
    <w:lvl w:ilvl="0">
      <w:lvlJc w:val="left"/>
      <w:lvlText w:val="(%1)"/>
      <w:numFmt w:val="lowerLetter"/>
      <w:start w:val="1"/>
    </w:lvl>
  </w:abstractNum>
  <w:abstractNum w:abstractNumId="22">
    <w:nsid w:val="597B4D84"/>
    <w:multiLevelType w:val="hybridMultilevel"/>
    <w:lvl w:ilvl="0">
      <w:lvlJc w:val="left"/>
      <w:lvlText w:val="(%1)"/>
      <w:numFmt w:val="lowerLetter"/>
      <w:start w:val="4"/>
    </w:lvl>
  </w:abstractNum>
  <w:abstractNum w:abstractNumId="23">
    <w:nsid w:val="F819E7F"/>
    <w:multiLevelType w:val="hybridMultilevel"/>
    <w:lvl w:ilvl="0">
      <w:lvlJc w:val="left"/>
      <w:lvlText w:val="(%1)"/>
      <w:numFmt w:val="lowerLetter"/>
      <w:start w:val="1"/>
    </w:lvl>
  </w:abstractNum>
  <w:abstractNum w:abstractNumId="24">
    <w:nsid w:val="57C7D42D"/>
    <w:multiLevelType w:val="hybridMultilevel"/>
    <w:lvl w:ilvl="0">
      <w:lvlJc w:val="left"/>
      <w:lvlText w:val="(%1)"/>
      <w:numFmt w:val="lowerRoman"/>
      <w:start w:val="2"/>
    </w:lvl>
  </w:abstractNum>
  <w:abstractNum w:abstractNumId="25">
    <w:nsid w:val="312167AD"/>
    <w:multiLevelType w:val="hybridMultilevel"/>
    <w:lvl w:ilvl="0">
      <w:lvlJc w:val="left"/>
      <w:lvlText w:val="%1"/>
      <w:numFmt w:val="lowerLetter"/>
      <w:start w:val="1"/>
    </w:lvl>
    <w:lvl w:ilvl="1">
      <w:lvlJc w:val="left"/>
      <w:lvlText w:val="(%2)"/>
      <w:numFmt w:val="lowerLetter"/>
      <w:start w:val="1"/>
    </w:lvl>
  </w:abstractNum>
  <w:abstractNum w:abstractNumId="26">
    <w:nsid w:val="631B64D4"/>
    <w:multiLevelType w:val="hybridMultilevel"/>
    <w:lvl w:ilvl="0">
      <w:lvlJc w:val="left"/>
      <w:lvlText w:val="(%1)"/>
      <w:numFmt w:val="lowerLetter"/>
      <w:start w:val="35"/>
    </w:lvl>
    <w:lvl w:ilvl="1">
      <w:lvlJc w:val="left"/>
      <w:lvlText w:val="%2"/>
      <w:numFmt w:val="lowerLetter"/>
      <w:start w:val="1"/>
    </w:lvl>
  </w:abstractNum>
  <w:abstractNum w:abstractNumId="27">
    <w:nsid w:val="78B5E776"/>
    <w:multiLevelType w:val="hybridMultilevel"/>
    <w:lvl w:ilvl="0">
      <w:lvlJc w:val="left"/>
      <w:lvlText w:val="%1"/>
      <w:numFmt w:val="upperLetter"/>
      <w:start w:val="1"/>
    </w:lvl>
    <w:lvl w:ilvl="1">
      <w:lvlJc w:val="left"/>
      <w:lvlText w:val="(%2)"/>
      <w:numFmt w:val="lowerLetter"/>
      <w:start w:val="2"/>
    </w:lvl>
  </w:abstractNum>
  <w:abstractNum w:abstractNumId="28">
    <w:nsid w:val="75486E47"/>
    <w:multiLevelType w:val="hybridMultilevel"/>
    <w:lvl w:ilvl="0">
      <w:lvlJc w:val="left"/>
      <w:lvlText w:val="(%1)"/>
      <w:numFmt w:val="upperLetter"/>
      <w:start w:val="2"/>
    </w:lvl>
    <w:lvl w:ilvl="1">
      <w:lvlJc w:val="left"/>
      <w:lvlText w:val="%2"/>
      <w:numFmt w:val="lowerLetter"/>
      <w:start w:val="1"/>
    </w:lvl>
  </w:abstractNum>
  <w:abstractNum w:abstractNumId="29">
    <w:nsid w:val="6E534CDE"/>
    <w:multiLevelType w:val="hybridMultilevel"/>
    <w:lvl w:ilvl="0">
      <w:lvlJc w:val="left"/>
      <w:lvlText w:val="(%1)"/>
      <w:numFmt w:val="lowerRoman"/>
      <w:start w:val="2"/>
    </w:lvl>
  </w:abstractNum>
  <w:abstractNum w:abstractNumId="30">
    <w:nsid w:val="1A0DDE32"/>
    <w:multiLevelType w:val="hybridMultilevel"/>
    <w:lvl w:ilvl="0">
      <w:lvlJc w:val="left"/>
      <w:lvlText w:val="(%1)"/>
      <w:numFmt w:val="lowerLetter"/>
      <w:start w:val="1"/>
    </w:lvl>
  </w:abstractNum>
  <w:abstractNum w:abstractNumId="31">
    <w:nsid w:val="65968C1C"/>
    <w:multiLevelType w:val="hybridMultilevel"/>
    <w:lvl w:ilvl="0">
      <w:lvlJc w:val="left"/>
      <w:lvlText w:val="(%1)"/>
      <w:numFmt w:val="lowerLetter"/>
      <w:start w:val="1"/>
    </w:lvl>
  </w:abstractNum>
  <w:abstractNum w:abstractNumId="32">
    <w:nsid w:val="46263DEC"/>
    <w:multiLevelType w:val="hybridMultilevel"/>
    <w:lvl w:ilvl="0">
      <w:lvlJc w:val="left"/>
      <w:lvlText w:val="(%1)"/>
      <w:numFmt w:val="lowerLetter"/>
      <w:start w:val="1"/>
    </w:lvl>
  </w:abstractNum>
  <w:abstractNum w:abstractNumId="33">
    <w:nsid w:val="260D8C4A"/>
    <w:multiLevelType w:val="hybridMultilevel"/>
    <w:lvl w:ilvl="0">
      <w:lvlJc w:val="left"/>
      <w:lvlText w:val="(%1)"/>
      <w:numFmt w:val="lowerLetter"/>
      <w:start w:val="1"/>
    </w:lvl>
  </w:abstractNum>
  <w:abstractNum w:abstractNumId="34">
    <w:nsid w:val="73D4D3C4"/>
    <w:multiLevelType w:val="hybridMultilevel"/>
    <w:lvl w:ilvl="0">
      <w:lvlJc w:val="left"/>
      <w:lvlText w:val="(%1)"/>
      <w:numFmt w:val="lowerLetter"/>
      <w:start w:val="2"/>
    </w:lvl>
  </w:abstractNum>
  <w:abstractNum w:abstractNumId="35">
    <w:nsid w:val="746F2E30"/>
    <w:multiLevelType w:val="hybridMultilevel"/>
    <w:lvl w:ilvl="0">
      <w:lvlJc w:val="left"/>
      <w:lvlText w:val="(%1)"/>
      <w:numFmt w:val="lowerLetter"/>
      <w:start w:val="1"/>
    </w:lvl>
  </w:abstractNum>
  <w:abstractNum w:abstractNumId="36">
    <w:nsid w:val="6FDE8AF6"/>
    <w:multiLevelType w:val="hybridMultilevel"/>
    <w:lvl w:ilvl="0">
      <w:lvlJc w:val="left"/>
      <w:lvlText w:val="(%1)"/>
      <w:numFmt w:val="lowerLetter"/>
      <w:start w:val="1"/>
    </w:lvl>
    <w:lvl w:ilvl="1">
      <w:lvlJc w:val="left"/>
      <w:lvlText w:val="(%2)"/>
      <w:numFmt w:val="upperLetter"/>
      <w:start w:val="1"/>
    </w:lvl>
  </w:abstractNum>
  <w:abstractNum w:abstractNumId="37">
    <w:nsid w:val="3FC32E20"/>
    <w:multiLevelType w:val="hybridMultilevel"/>
    <w:lvl w:ilvl="0">
      <w:lvlJc w:val="left"/>
      <w:lvlText w:val="(%1)"/>
      <w:numFmt w:val="lowerLetter"/>
      <w:start w:val="1"/>
    </w:lvl>
  </w:abstractNum>
  <w:abstractNum w:abstractNumId="38">
    <w:nsid w:val="49C0E823"/>
    <w:multiLevelType w:val="hybridMultilevel"/>
    <w:lvl w:ilvl="0">
      <w:lvlJc w:val="left"/>
      <w:lvlText w:val="(%1)"/>
      <w:numFmt w:val="lowerLetter"/>
      <w:start w:val="2"/>
    </w:lvl>
  </w:abstractNum>
  <w:abstractNum w:abstractNumId="39">
    <w:nsid w:val="14D53685"/>
    <w:multiLevelType w:val="hybridMultilevel"/>
    <w:lvl w:ilvl="0">
      <w:lvlJc w:val="left"/>
      <w:lvlText w:val="(%1)"/>
      <w:numFmt w:val="lowerLetter"/>
      <w:start w:val="5"/>
    </w:lvl>
  </w:abstractNum>
  <w:abstractNum w:abstractNumId="40">
    <w:nsid w:val="230F856C"/>
    <w:multiLevelType w:val="hybridMultilevel"/>
    <w:lvl w:ilvl="0">
      <w:lvlJc w:val="left"/>
      <w:lvlText w:val="(%1)"/>
      <w:numFmt w:val="lowerLetter"/>
      <w:start w:val="1"/>
    </w:lvl>
  </w:abstractNum>
  <w:abstractNum w:abstractNumId="41">
    <w:nsid w:val="6EAA85FB"/>
    <w:multiLevelType w:val="hybridMultilevel"/>
    <w:lvl w:ilvl="0">
      <w:lvlJc w:val="left"/>
      <w:lvlText w:val="(%1)"/>
      <w:numFmt w:val="lowerLetter"/>
      <w:start w:val="1"/>
    </w:lvl>
  </w:abstractNum>
  <w:abstractNum w:abstractNumId="42">
    <w:nsid w:val="3F06ECB2"/>
    <w:multiLevelType w:val="hybridMultilevel"/>
    <w:lvl w:ilvl="0">
      <w:lvlJc w:val="left"/>
      <w:lvlText w:val="(%1)"/>
      <w:numFmt w:val="lowerLetter"/>
      <w:start w:val="2"/>
    </w:lvl>
  </w:abstractNum>
  <w:abstractNum w:abstractNumId="43">
    <w:nsid w:val="3B59480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4">
    <w:nsid w:val="6CAA2304"/>
    <w:multiLevelType w:val="hybridMultilevel"/>
    <w:lvl w:ilvl="0">
      <w:lvlJc w:val="left"/>
      <w:lvlText w:val="%1"/>
      <w:numFmt w:val="lowerRoman"/>
      <w:start w:val="1"/>
    </w:lvl>
    <w:lvl w:ilvl="1">
      <w:lvlJc w:val="left"/>
      <w:lvlText w:val="(%2)"/>
      <w:numFmt w:val="upperLetter"/>
      <w:start w:val="1"/>
    </w:lvl>
  </w:abstractNum>
  <w:abstractNum w:abstractNumId="45">
    <w:nsid w:val="3F7C2FF4"/>
    <w:multiLevelType w:val="hybridMultilevel"/>
    <w:lvl w:ilvl="0">
      <w:lvlJc w:val="left"/>
      <w:lvlText w:val="(%1)"/>
      <w:numFmt w:val="lowerRoman"/>
      <w:start w:val="4"/>
    </w:lvl>
    <w:lvl w:ilvl="1">
      <w:lvlJc w:val="left"/>
      <w:lvlText w:val="%2"/>
      <w:numFmt w:val="upperLetter"/>
      <w:start w:val="1"/>
    </w:lvl>
  </w:abstractNum>
  <w:abstractNum w:abstractNumId="46">
    <w:nsid w:val="25413BEC"/>
    <w:multiLevelType w:val="hybridMultilevel"/>
    <w:lvl w:ilvl="0">
      <w:lvlJc w:val="left"/>
      <w:lvlText w:val="%1"/>
      <w:numFmt w:val="lowerLetter"/>
      <w:start w:val="1"/>
    </w:lvl>
    <w:lvl w:ilvl="1">
      <w:lvlJc w:val="left"/>
      <w:lvlText w:val="(%2)"/>
      <w:numFmt w:val="lowerRoman"/>
      <w:start w:val="6"/>
    </w:lvl>
  </w:abstractNum>
  <w:abstractNum w:abstractNumId="47">
    <w:nsid w:val="17180B0B"/>
    <w:multiLevelType w:val="hybridMultilevel"/>
    <w:lvl w:ilvl="0">
      <w:lvlJc w:val="left"/>
      <w:lvlText w:val="(%1)"/>
      <w:numFmt w:val="lowerLetter"/>
      <w:start w:val="2"/>
    </w:lvl>
    <w:lvl w:ilvl="1">
      <w:lvlJc w:val="left"/>
      <w:lvlText w:val="(%2)"/>
      <w:numFmt w:val="lowerRoman"/>
      <w:start w:val="1"/>
    </w:lvl>
  </w:abstractNum>
  <w:abstractNum w:abstractNumId="48">
    <w:nsid w:val="579328B9"/>
    <w:multiLevelType w:val="hybridMultilevel"/>
    <w:lvl w:ilvl="0">
      <w:lvlJc w:val="left"/>
      <w:lvlText w:val="(%1)"/>
      <w:numFmt w:val="lowerRoman"/>
      <w:start w:val="2"/>
    </w:lvl>
  </w:abstractNum>
  <w:abstractNum w:abstractNumId="49">
    <w:nsid w:val="5D205E20"/>
    <w:multiLevelType w:val="hybridMultilevel"/>
    <w:lvl w:ilvl="0">
      <w:lvlJc w:val="left"/>
      <w:lvlText w:val="%1"/>
      <w:numFmt w:val="lowerLetter"/>
      <w:start w:val="1"/>
    </w:lvl>
    <w:lvl w:ilvl="1">
      <w:lvlJc w:val="left"/>
      <w:lvlText w:val="(%2)"/>
      <w:numFmt w:val="lowerRoman"/>
      <w:start w:val="4"/>
    </w:lvl>
  </w:abstractNum>
  <w:abstractNum w:abstractNumId="50">
    <w:nsid w:val="11CCA8BA"/>
    <w:multiLevelType w:val="hybridMultilevel"/>
    <w:lvl w:ilvl="0">
      <w:lvlJc w:val="left"/>
      <w:lvlText w:val="(%1)"/>
      <w:numFmt w:val="lowerLetter"/>
      <w:start w:val="3"/>
    </w:lvl>
    <w:lvl w:ilvl="1">
      <w:lvlJc w:val="left"/>
      <w:lvlText w:val="(%2)"/>
      <w:numFmt w:val="lowerRoman"/>
      <w:start w:val="1"/>
    </w:lvl>
  </w:abstractNum>
  <w:abstractNum w:abstractNumId="51">
    <w:nsid w:val="4D32AB86"/>
    <w:multiLevelType w:val="hybridMultilevel"/>
    <w:lvl w:ilvl="0">
      <w:lvlJc w:val="left"/>
      <w:lvlText w:val="(%1)"/>
      <w:numFmt w:val="lowerRoman"/>
      <w:start w:val="2"/>
    </w:lvl>
  </w:abstractNum>
  <w:abstractNum w:abstractNumId="52">
    <w:nsid w:val="3F07ACC3"/>
    <w:multiLevelType w:val="hybridMultilevel"/>
    <w:lvl w:ilvl="0">
      <w:lvlJc w:val="left"/>
      <w:lvlText w:val="%1"/>
      <w:numFmt w:val="lowerLetter"/>
      <w:start w:val="1"/>
    </w:lvl>
    <w:lvl w:ilvl="1">
      <w:lvlJc w:val="left"/>
      <w:lvlText w:val="(%2)"/>
      <w:numFmt w:val="lowerRoman"/>
      <w:start w:val="6"/>
    </w:lvl>
  </w:abstractNum>
  <w:abstractNum w:abstractNumId="53">
    <w:nsid w:val="6B47F63E"/>
    <w:multiLevelType w:val="hybridMultilevel"/>
    <w:lvl w:ilvl="0">
      <w:lvlJc w:val="left"/>
      <w:lvlText w:val="(%1)"/>
      <w:numFmt w:val="lowerLetter"/>
      <w:start w:val="4"/>
    </w:lvl>
    <w:lvl w:ilvl="1">
      <w:lvlJc w:val="left"/>
      <w:lvlText w:val="(%2)"/>
      <w:numFmt w:val="lowerRoman"/>
      <w:start w:val="1"/>
    </w:lvl>
  </w:abstractNum>
  <w:abstractNum w:abstractNumId="54">
    <w:nsid w:val="5CB44A05"/>
    <w:multiLevelType w:val="hybridMultilevel"/>
    <w:lvl w:ilvl="0">
      <w:lvlJc w:val="left"/>
      <w:lvlText w:val="(%1)"/>
      <w:numFmt w:val="lowerRoman"/>
      <w:start w:val="1"/>
    </w:lvl>
  </w:abstractNum>
  <w:abstractNum w:abstractNumId="55">
    <w:nsid w:val="16CF80F1"/>
    <w:multiLevelType w:val="hybridMultilevel"/>
    <w:lvl w:ilvl="0">
      <w:lvlJc w:val="left"/>
      <w:lvlText w:val="(%1)"/>
      <w:numFmt w:val="lowerLetter"/>
      <w:start w:val="6"/>
    </w:lvl>
  </w:abstractNum>
  <w:abstractNum w:abstractNumId="56">
    <w:nsid w:val="1C695DEC"/>
    <w:multiLevelType w:val="hybridMultilevel"/>
    <w:lvl w:ilvl="0">
      <w:lvlJc w:val="left"/>
      <w:lvlText w:val="(%1)"/>
      <w:numFmt w:val="lowerLetter"/>
      <w:start w:val="8"/>
    </w:lvl>
  </w:abstractNum>
  <w:abstractNum w:abstractNumId="57">
    <w:nsid w:val="3FCFAED9"/>
    <w:multiLevelType w:val="hybridMultilevel"/>
    <w:lvl w:ilvl="0">
      <w:lvlJc w:val="left"/>
      <w:lvlText w:val="%1"/>
      <w:numFmt w:val="lowerLetter"/>
      <w:start w:val="1"/>
    </w:lvl>
    <w:lvl w:ilvl="1">
      <w:lvlJc w:val="left"/>
      <w:lvlText w:val="(%2)"/>
      <w:numFmt w:val="lowerLetter"/>
      <w:start w:val="1"/>
    </w:lvl>
  </w:abstractNum>
  <w:abstractNum w:abstractNumId="58">
    <w:nsid w:val="F856867"/>
    <w:multiLevelType w:val="hybridMultilevel"/>
    <w:lvl w:ilvl="0">
      <w:lvlJc w:val="left"/>
      <w:lvlText w:val="(%1)"/>
      <w:numFmt w:val="lowerLetter"/>
      <w:start w:val="61"/>
    </w:lvl>
    <w:lvl w:ilvl="1">
      <w:lvlJc w:val="left"/>
      <w:lvlText w:val="(%2)"/>
      <w:numFmt w:val="lowerLetter"/>
      <w:start w:val="2"/>
    </w:lvl>
  </w:abstractNum>
  <w:abstractNum w:abstractNumId="59">
    <w:nsid w:val="11B1CC33"/>
    <w:multiLevelType w:val="hybridMultilevel"/>
    <w:lvl w:ilvl="0">
      <w:lvlJc w:val="left"/>
      <w:lvlText w:val="(%1)"/>
      <w:numFmt w:val="lowerLetter"/>
      <w:start w:val="3"/>
    </w:lvl>
    <w:lvl w:ilvl="1">
      <w:lvlJc w:val="left"/>
      <w:lvlText w:val="(%2)"/>
      <w:numFmt w:val="lowerRoman"/>
      <w:start w:val="2"/>
    </w:lvl>
  </w:abstractNum>
  <w:abstractNum w:abstractNumId="60">
    <w:nsid w:val="2E22FBB7"/>
    <w:multiLevelType w:val="hybridMultilevel"/>
    <w:lvl w:ilvl="0">
      <w:lvlJc w:val="left"/>
      <w:lvlText w:val="%1"/>
      <w:numFmt w:val="upperLetter"/>
      <w:start w:val="1"/>
    </w:lvl>
    <w:lvl w:ilvl="1">
      <w:lvlJc w:val="left"/>
      <w:lvlText w:val="(%2)"/>
      <w:numFmt w:val="lowerRoman"/>
      <w:start w:val="4"/>
    </w:lvl>
  </w:abstractNum>
  <w:abstractNum w:abstractNumId="61">
    <w:nsid w:val="29934699"/>
    <w:multiLevelType w:val="hybridMultilevel"/>
    <w:lvl w:ilvl="0">
      <w:lvlJc w:val="left"/>
      <w:lvlText w:val="(%1)"/>
      <w:numFmt w:val="upperLetter"/>
      <w:start w:val="1"/>
    </w:lvl>
    <w:lvl w:ilvl="1">
      <w:lvlJc w:val="left"/>
      <w:lvlText w:val="%2"/>
      <w:numFmt w:val="lowerRoman"/>
      <w:start w:val="1"/>
    </w:lvl>
  </w:abstractNum>
  <w:abstractNum w:abstractNumId="62">
    <w:nsid w:val="77485850"/>
    <w:multiLevelType w:val="hybridMultilevel"/>
    <w:lvl w:ilvl="0">
      <w:lvlJc w:val="left"/>
      <w:lvlText w:val="(%1)"/>
      <w:numFmt w:val="lowerLetter"/>
      <w:start w:val="4"/>
    </w:lvl>
    <w:lvl w:ilvl="1">
      <w:lvlJc w:val="left"/>
      <w:lvlText w:val="(%2)"/>
      <w:numFmt w:val="lowerLetter"/>
      <w:start w:val="35"/>
    </w:lvl>
  </w:abstractNum>
  <w:abstractNum w:abstractNumId="63">
    <w:nsid w:val="744939A3"/>
    <w:multiLevelType w:val="hybridMultilevel"/>
    <w:lvl w:ilvl="0">
      <w:lvlJc w:val="left"/>
      <w:lvlText w:val="(%1)"/>
      <w:numFmt w:val="lowerLetter"/>
      <w:start w:val="1"/>
    </w:lvl>
    <w:lvl w:ilvl="1">
      <w:lvlJc w:val="left"/>
      <w:lvlText w:val="(%2)"/>
      <w:numFmt w:val="lowerLetter"/>
      <w:start w:val="35"/>
    </w:lvl>
  </w:abstractNum>
  <w:abstractNum w:abstractNumId="64">
    <w:nsid w:val="4FA0D2E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5">
    <w:nsid w:val="6B1D2C14"/>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2"/>
    </w:lvl>
  </w:abstractNum>
  <w:abstractNum w:abstractNumId="66">
    <w:nsid w:val="68B867D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7">
    <w:nsid w:val="3F7F5DD9"/>
    <w:multiLevelType w:val="hybridMultilevel"/>
    <w:lvl w:ilvl="0">
      <w:lvlJc w:val="left"/>
      <w:lvlText w:val="(%1)"/>
      <w:numFmt w:val="lowerLetter"/>
      <w:start w:val="1"/>
    </w:lvl>
    <w:lvl w:ilvl="1">
      <w:lvlJc w:val="left"/>
      <w:lvlText w:val="(%2)"/>
      <w:numFmt w:val="lowerLetter"/>
      <w:start w:val="35"/>
    </w:lvl>
  </w:abstractNum>
  <w:abstractNum w:abstractNumId="68">
    <w:nsid w:val="2AE05A34"/>
    <w:multiLevelType w:val="hybridMultilevel"/>
    <w:lvl w:ilvl="0">
      <w:lvlJc w:val="left"/>
      <w:lvlText w:val="(%1)"/>
      <w:numFmt w:val="lowerLetter"/>
      <w:start w:val="1"/>
    </w:lvl>
  </w:abstractNum>
  <w:abstractNum w:abstractNumId="69">
    <w:nsid w:val="32794FF7"/>
    <w:multiLevelType w:val="hybridMultilevel"/>
    <w:lvl w:ilvl="0">
      <w:lvlJc w:val="left"/>
      <w:lvlText w:val="(%1)"/>
      <w:numFmt w:val="lowerLetter"/>
      <w:start w:val="2"/>
    </w:lvl>
  </w:abstractNum>
  <w:abstractNum w:abstractNumId="70">
    <w:nsid w:val="5454945E"/>
    <w:multiLevelType w:val="hybridMultilevel"/>
    <w:lvl w:ilvl="0">
      <w:lvlJc w:val="left"/>
      <w:lvlText w:val="(%1)"/>
      <w:numFmt w:val="lowerLetter"/>
      <w:start w:val="2"/>
    </w:lvl>
    <w:lvl w:ilvl="1">
      <w:lvlJc w:val="left"/>
      <w:lvlText w:val="(%2)"/>
      <w:numFmt w:val="lowerRoman"/>
      <w:start w:val="2"/>
    </w:lvl>
  </w:abstractNum>
  <w:abstractNum w:abstractNumId="71">
    <w:nsid w:val="4DEFDFA0"/>
    <w:multiLevelType w:val="hybridMultilevel"/>
    <w:lvl w:ilvl="0">
      <w:lvlJc w:val="left"/>
      <w:lvlText w:val="%1"/>
      <w:numFmt w:val="upperLetter"/>
      <w:start w:val="1"/>
    </w:lvl>
    <w:lvl w:ilvl="1">
      <w:lvlJc w:val="left"/>
      <w:lvlText w:val="(%2)"/>
      <w:numFmt w:val="lowerLetter"/>
      <w:start w:val="1"/>
    </w:lvl>
  </w:abstractNum>
  <w:abstractNum w:abstractNumId="72">
    <w:nsid w:val="2123D5F2"/>
    <w:multiLevelType w:val="hybridMultilevel"/>
    <w:lvl w:ilvl="0">
      <w:lvlJc w:val="left"/>
      <w:lvlText w:val="(%1)"/>
      <w:numFmt w:val="upperLetter"/>
      <w:start w:val="2"/>
    </w:lvl>
    <w:lvl w:ilvl="1">
      <w:lvlJc w:val="left"/>
      <w:lvlText w:val="(%2)"/>
      <w:numFmt w:val="lowerLetter"/>
      <w:start w:val="2"/>
    </w:lvl>
  </w:abstractNum>
  <w:abstractNum w:abstractNumId="73">
    <w:nsid w:val="135B8110"/>
    <w:multiLevelType w:val="hybridMultilevel"/>
    <w:lvl w:ilvl="0">
      <w:lvlJc w:val="left"/>
      <w:lvlText w:val="(%1)"/>
      <w:numFmt w:val="lowerRoman"/>
      <w:start w:val="2"/>
    </w:lvl>
  </w:abstractNum>
  <w:abstractNum w:abstractNumId="74">
    <w:nsid w:val="94927A8"/>
    <w:multiLevelType w:val="hybridMultilevel"/>
    <w:lvl w:ilvl="0">
      <w:lvlJc w:val="left"/>
      <w:lvlText w:val="(%1)"/>
      <w:numFmt w:val="lowerLetter"/>
      <w:start w:val="2"/>
    </w:lvl>
  </w:abstractNum>
  <w:abstractNum w:abstractNumId="75">
    <w:nsid w:val="DCDF8F6"/>
    <w:multiLevelType w:val="hybridMultilevel"/>
    <w:lvl w:ilvl="0">
      <w:lvlJc w:val="left"/>
      <w:lvlText w:val="(%1)"/>
      <w:numFmt w:val="lowerLetter"/>
      <w:start w:val="1"/>
    </w:lvl>
  </w:abstractNum>
  <w:abstractNum w:abstractNumId="76">
    <w:nsid w:val="52D7B105"/>
    <w:multiLevelType w:val="hybridMultilevel"/>
    <w:lvl w:ilvl="0">
      <w:lvlJc w:val="left"/>
      <w:lvlText w:val="(%1)"/>
      <w:numFmt w:val="lowerLetter"/>
      <w:start w:val="2"/>
    </w:lvl>
  </w:abstractNum>
  <w:abstractNum w:abstractNumId="77">
    <w:nsid w:val="2E8A6394"/>
    <w:multiLevelType w:val="hybridMultilevel"/>
    <w:lvl w:ilvl="0">
      <w:lvlJc w:val="left"/>
      <w:lvlText w:val="(%1)"/>
      <w:numFmt w:val="lowerLetter"/>
      <w:start w:val="1"/>
    </w:lvl>
  </w:abstractNum>
  <w:abstractNum w:abstractNumId="78">
    <w:nsid w:val="24E60401"/>
    <w:multiLevelType w:val="hybridMultilevel"/>
    <w:lvl w:ilvl="0">
      <w:lvlJc w:val="left"/>
      <w:lvlText w:val="(%1)"/>
      <w:numFmt w:val="lowerRoman"/>
      <w:start w:val="2"/>
    </w:lvl>
  </w:abstractNum>
  <w:abstractNum w:abstractNumId="79">
    <w:nsid w:val="2A6AD9BE"/>
    <w:multiLevelType w:val="hybridMultilevel"/>
    <w:lvl w:ilvl="0">
      <w:lvlJc w:val="left"/>
      <w:lvlText w:val="(%1)"/>
      <w:numFmt w:val="lowerLetter"/>
      <w:start w:val="3"/>
    </w:lvl>
  </w:abstractNum>
  <w:abstractNum w:abstractNumId="80">
    <w:nsid w:val="BAAC1B4"/>
    <w:multiLevelType w:val="hybridMultilevel"/>
    <w:lvl w:ilvl="0">
      <w:lvlJc w:val="left"/>
      <w:lvlText w:val="(%1)"/>
      <w:numFmt w:val="lowerLetter"/>
      <w:start w:val="6"/>
    </w:lvl>
  </w:abstractNum>
  <w:abstractNum w:abstractNumId="81">
    <w:nsid w:val="36B2ACBC"/>
    <w:multiLevelType w:val="hybridMultilevel"/>
    <w:lvl w:ilvl="0">
      <w:lvlJc w:val="left"/>
      <w:lvlText w:val="(%1)"/>
      <w:numFmt w:val="lowerRoman"/>
      <w:start w:val="1"/>
    </w:lvl>
  </w:abstractNum>
  <w:abstractNum w:abstractNumId="82">
    <w:nsid w:val="779D854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83">
    <w:nsid w:val="4AB26E78"/>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84">
    <w:nsid w:val="21FAA2FA"/>
    <w:multiLevelType w:val="hybridMultilevel"/>
    <w:lvl w:ilvl="0">
      <w:lvlJc w:val="left"/>
      <w:lvlText w:val="%1"/>
      <w:numFmt w:val="lowerLetter"/>
      <w:start w:val="1"/>
    </w:lvl>
    <w:lvl w:ilvl="1">
      <w:lvlJc w:val="left"/>
      <w:lvlText w:val="(%2)"/>
      <w:numFmt w:val="lowerLetter"/>
      <w:start w:val="35"/>
    </w:lvl>
  </w:abstractNum>
  <w:abstractNum w:abstractNumId="85">
    <w:nsid w:val="5451CF49"/>
    <w:multiLevelType w:val="hybridMultilevel"/>
    <w:lvl w:ilvl="0">
      <w:lvlJc w:val="left"/>
      <w:lvlText w:val="(%1)"/>
      <w:numFmt w:val="lowerLetter"/>
      <w:start w:val="2"/>
    </w:lvl>
    <w:lvl w:ilvl="1">
      <w:lvlJc w:val="left"/>
      <w:lvlText w:val="%2"/>
      <w:numFmt w:val="lowerLetter"/>
      <w:start w:val="1"/>
    </w:lvl>
  </w:abstractNum>
  <w:abstractNum w:abstractNumId="86">
    <w:nsid w:val="6181EF69"/>
    <w:multiLevelType w:val="hybridMultilevel"/>
    <w:lvl w:ilvl="0">
      <w:lvlJc w:val="left"/>
      <w:lvlText w:val="(%1)"/>
      <w:numFmt w:val="lowerRoman"/>
      <w:start w:val="1"/>
    </w:lvl>
  </w:abstractNum>
  <w:abstractNum w:abstractNumId="87">
    <w:nsid w:val="3E6400E6"/>
    <w:multiLevelType w:val="hybridMultilevel"/>
    <w:lvl w:ilvl="0">
      <w:lvlJc w:val="left"/>
      <w:lvlText w:val="(%1)"/>
      <w:numFmt w:val="lowerRoman"/>
      <w:start w:val="4"/>
    </w:lvl>
  </w:abstractNum>
  <w:abstractNum w:abstractNumId="88">
    <w:nsid w:val="14217E23"/>
    <w:multiLevelType w:val="hybridMultilevel"/>
    <w:lvl w:ilvl="0">
      <w:lvlJc w:val="left"/>
      <w:lvlText w:val="(%1)"/>
      <w:numFmt w:val="lowerLetter"/>
      <w:start w:val="4"/>
    </w:lvl>
  </w:abstractNum>
  <w:abstractNum w:abstractNumId="89">
    <w:nsid w:val="710757D0"/>
    <w:multiLevelType w:val="hybridMultilevel"/>
    <w:lvl w:ilvl="0">
      <w:lvlJc w:val="left"/>
      <w:lvlText w:val="(%1)"/>
      <w:numFmt w:val="lowerLetter"/>
      <w:start w:val="1"/>
    </w:lvl>
  </w:abstractNum>
  <w:abstractNum w:abstractNumId="90">
    <w:nsid w:val="5015CD1A"/>
    <w:multiLevelType w:val="hybridMultilevel"/>
    <w:lvl w:ilvl="0">
      <w:lvlJc w:val="left"/>
      <w:lvlText w:val="%1"/>
      <w:numFmt w:val="lowerLetter"/>
      <w:start w:val="1"/>
    </w:lvl>
    <w:lvl w:ilvl="1">
      <w:lvlJc w:val="left"/>
      <w:lvlText w:val="(%2)"/>
      <w:numFmt w:val="lowerLetter"/>
      <w:start w:val="4"/>
    </w:lvl>
  </w:abstractNum>
  <w:abstractNum w:abstractNumId="91">
    <w:nsid w:val="424479DA"/>
    <w:multiLevelType w:val="hybridMultilevel"/>
    <w:lvl w:ilvl="0">
      <w:lvlJc w:val="left"/>
      <w:lvlText w:val="(%1)"/>
      <w:numFmt w:val="lowerLetter"/>
      <w:start w:val="35"/>
    </w:lvl>
    <w:lvl w:ilvl="1">
      <w:lvlJc w:val="left"/>
      <w:lvlText w:val="%2"/>
      <w:numFmt w:val="lowerLetter"/>
      <w:start w:val="1"/>
    </w:lvl>
  </w:abstractNum>
  <w:abstractNum w:abstractNumId="92">
    <w:nsid w:val="1A9A9E69"/>
    <w:multiLevelType w:val="hybridMultilevel"/>
    <w:lvl w:ilvl="0">
      <w:lvlJc w:val="left"/>
      <w:lvlText w:val="(%1)"/>
      <w:numFmt w:val="lowerLetter"/>
      <w:start w:val="1"/>
    </w:lvl>
    <w:lvl w:ilvl="1">
      <w:lvlJc w:val="left"/>
      <w:lvlText w:val="(%2)"/>
      <w:numFmt w:val="lowerRoman"/>
      <w:start w:val="1"/>
    </w:lvl>
  </w:abstractNum>
  <w:abstractNum w:abstractNumId="93">
    <w:nsid w:val="475E256A"/>
    <w:multiLevelType w:val="hybridMultilevel"/>
    <w:lvl w:ilvl="0">
      <w:lvlJc w:val="left"/>
      <w:lvlText w:val="(%1)"/>
      <w:numFmt w:val="lowerRoman"/>
      <w:start w:val="3"/>
    </w:lvl>
    <w:lvl w:ilvl="1">
      <w:lvlJc w:val="left"/>
      <w:lvlText w:val="(%2)"/>
      <w:numFmt w:val="upperLetter"/>
      <w:start w:val="2"/>
    </w:lvl>
  </w:abstractNum>
  <w:abstractNum w:abstractNumId="94">
    <w:nsid w:val="368DB37E"/>
    <w:multiLevelType w:val="hybridMultilevel"/>
    <w:lvl w:ilvl="0">
      <w:lvlJc w:val="left"/>
      <w:lvlText w:val="(%1)"/>
      <w:numFmt w:val="lowerLetter"/>
      <w:start w:val="2"/>
    </w:lvl>
  </w:abstractNum>
  <w:abstractNum w:abstractNumId="95">
    <w:nsid w:val="6A3B714C"/>
    <w:multiLevelType w:val="hybridMultilevel"/>
    <w:lvl w:ilvl="0">
      <w:lvlJc w:val="left"/>
      <w:lvlText w:val="(%1)"/>
      <w:numFmt w:val="lowerLetter"/>
      <w:start w:val="1"/>
    </w:lvl>
    <w:lvl w:ilvl="1">
      <w:lvlJc w:val="left"/>
      <w:lvlText w:val="(%2)"/>
      <w:numFmt w:val="lowerLetter"/>
      <w:start w:val="35"/>
    </w:lvl>
  </w:abstractNum>
  <w:abstractNum w:abstractNumId="96">
    <w:nsid w:val="327B517E"/>
    <w:multiLevelType w:val="hybridMultilevel"/>
    <w:lvl w:ilvl="0">
      <w:lvlJc w:val="left"/>
      <w:lvlText w:val="%1"/>
      <w:numFmt w:val="lowerLetter"/>
      <w:start w:val="1"/>
    </w:lvl>
    <w:lvl w:ilvl="1">
      <w:lvlJc w:val="left"/>
      <w:lvlText w:val="(%2)"/>
      <w:numFmt w:val="lowerLetter"/>
      <w:start w:val="61"/>
    </w:lvl>
  </w:abstractNum>
  <w:abstractNum w:abstractNumId="97">
    <w:nsid w:val="1F461B51"/>
    <w:multiLevelType w:val="hybridMultilevel"/>
    <w:lvl w:ilvl="0">
      <w:lvlJc w:val="left"/>
      <w:lvlText w:val="(%1)"/>
      <w:numFmt w:val="lowerLetter"/>
      <w:start w:val="2"/>
    </w:lvl>
    <w:lvl w:ilvl="1">
      <w:lvlJc w:val="left"/>
      <w:lvlText w:val="(%2)"/>
      <w:numFmt w:val="lowerLetter"/>
      <w:start w:val="35"/>
    </w:lvl>
  </w:abstractNum>
  <w:abstractNum w:abstractNumId="98">
    <w:nsid w:val="29BACF25"/>
    <w:multiLevelType w:val="hybridMultilevel"/>
    <w:lvl w:ilvl="0">
      <w:lvlJc w:val="left"/>
      <w:lvlText w:val="(%1)"/>
      <w:numFmt w:val="lowerLetter"/>
      <w:start w:val="4"/>
    </w:lvl>
    <w:lvl w:ilvl="1">
      <w:lvlJc w:val="left"/>
      <w:lvlText w:val="(%2)"/>
      <w:numFmt w:val="lowerRoman"/>
      <w:start w:val="2"/>
    </w:lvl>
    <w:lvl w:ilvl="2">
      <w:lvlJc w:val="left"/>
      <w:lvlText w:val="(%3)"/>
      <w:numFmt w:val="upperLetter"/>
      <w:start w:val="1"/>
    </w:lvl>
  </w:abstractNum>
  <w:abstractNum w:abstractNumId="99">
    <w:nsid w:val="5D5BABB3"/>
    <w:multiLevelType w:val="hybridMultilevel"/>
    <w:lvl w:ilvl="0">
      <w:lvlJc w:val="left"/>
      <w:lvlText w:val="%1"/>
      <w:numFmt w:val="upperLetter"/>
      <w:start w:val="1"/>
    </w:lvl>
    <w:lvl w:ilvl="1">
      <w:lvlJc w:val="left"/>
      <w:lvlText w:val="(%2)"/>
      <w:numFmt w:val="decimal"/>
      <w:start w:val="1"/>
    </w:lvl>
  </w:abstractNum>
  <w:abstractNum w:abstractNumId="100">
    <w:nsid w:val="51BF6B48"/>
    <w:multiLevelType w:val="hybridMultilevel"/>
    <w:lvl w:ilvl="0">
      <w:lvlJc w:val="left"/>
      <w:lvlText w:val="(%1)"/>
      <w:numFmt w:val="upperLetter"/>
      <w:start w:val="3"/>
    </w:lvl>
    <w:lvl w:ilvl="1">
      <w:lvlJc w:val="left"/>
      <w:lvlText w:val="%2"/>
      <w:numFmt w:val="decimal"/>
      <w:start w:val="1"/>
    </w:lvl>
  </w:abstractNum>
  <w:abstractNum w:abstractNumId="101">
    <w:nsid w:val="7E0F638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102">
    <w:nsid w:val="2B4B8B53"/>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03">
    <w:nsid w:val="72E3413A"/>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104">
    <w:nsid w:val="116AE494"/>
    <w:multiLevelType w:val="hybridMultilevel"/>
    <w:lvl w:ilvl="0">
      <w:lvlJc w:val="left"/>
      <w:lvlText w:val="(%1)"/>
      <w:numFmt w:val="lowerLetter"/>
      <w:start w:val="7"/>
    </w:lvl>
  </w:abstractNum>
  <w:abstractNum w:abstractNumId="105">
    <w:nsid w:val="3494B2FB"/>
    <w:multiLevelType w:val="hybridMultilevel"/>
    <w:lvl w:ilvl="0">
      <w:lvlJc w:val="left"/>
      <w:lvlText w:val="(%1)"/>
      <w:numFmt w:val="lowerRoman"/>
      <w:start w:val="10"/>
    </w:lvl>
  </w:abstractNum>
  <w:abstractNum w:abstractNumId="106">
    <w:nsid w:val="B13A31"/>
    <w:multiLevelType w:val="hybridMultilevel"/>
    <w:lvl w:ilvl="0">
      <w:lvlJc w:val="left"/>
      <w:lvlText w:val="(%1)"/>
      <w:numFmt w:val="lowerLetter"/>
      <w:start w:val="1"/>
    </w:lvl>
  </w:abstractNum>
  <w:abstractNum w:abstractNumId="107">
    <w:nsid w:val="64429599"/>
    <w:multiLevelType w:val="hybridMultilevel"/>
    <w:lvl w:ilvl="0">
      <w:lvlJc w:val="left"/>
      <w:lvlText w:val="(%1)"/>
      <w:numFmt w:val="lowerLetter"/>
      <w:start w:val="2"/>
    </w:lvl>
    <w:lvl w:ilvl="1">
      <w:lvlJc w:val="left"/>
      <w:lvlText w:val="(%2)"/>
      <w:numFmt w:val="lowerRoman"/>
      <w:start w:val="1"/>
    </w:lvl>
  </w:abstractNum>
  <w:abstractNum w:abstractNumId="108">
    <w:nsid w:val="631F1690"/>
    <w:multiLevelType w:val="hybridMultilevel"/>
    <w:lvl w:ilvl="0">
      <w:lvlJc w:val="left"/>
      <w:lvlText w:val="(%1)"/>
      <w:numFmt w:val="lowerLetter"/>
      <w:start w:val="1"/>
    </w:lvl>
    <w:lvl w:ilvl="1">
      <w:lvlJc w:val="left"/>
      <w:lvlText w:val="(%2)"/>
      <w:numFmt w:val="lowerRoman"/>
      <w:start w:val="1"/>
    </w:lvl>
  </w:abstractNum>
  <w:abstractNum w:abstractNumId="109">
    <w:nsid w:val="25973E32"/>
    <w:multiLevelType w:val="hybridMultilevel"/>
    <w:lvl w:ilvl="0">
      <w:lvlJc w:val="left"/>
      <w:lvlText w:val="(%1)"/>
      <w:numFmt w:val="lowerLetter"/>
      <w:start w:val="2"/>
    </w:lvl>
  </w:abstractNum>
  <w:abstractNum w:abstractNumId="110">
    <w:nsid w:val="EAD6F57"/>
    <w:multiLevelType w:val="hybridMultilevel"/>
    <w:lvl w:ilvl="0">
      <w:lvlJc w:val="left"/>
      <w:lvlText w:val="(%1)"/>
      <w:numFmt w:val="lowerLetter"/>
      <w:start w:val="3"/>
    </w:lvl>
  </w:abstractNum>
  <w:abstractNum w:abstractNumId="111">
    <w:nsid w:val="6EC9D844"/>
    <w:multiLevelType w:val="hybridMultilevel"/>
    <w:lvl w:ilvl="0">
      <w:lvlJc w:val="left"/>
      <w:lvlText w:val="(%1)"/>
      <w:numFmt w:val="lowerLetter"/>
      <w:start w:val="1"/>
    </w:lvl>
  </w:abstractNum>
  <w:abstractNum w:abstractNumId="112">
    <w:nsid w:val="5C49EAEE"/>
    <w:multiLevelType w:val="hybridMultilevel"/>
    <w:lvl w:ilvl="0">
      <w:lvlJc w:val="left"/>
      <w:lvlText w:val="(%1)"/>
      <w:numFmt w:val="lowerRoman"/>
      <w:start w:val="10"/>
    </w:lvl>
  </w:abstractNum>
  <w:abstractNum w:abstractNumId="113">
    <w:nsid w:val="64AF49B"/>
    <w:multiLevelType w:val="hybridMultilevel"/>
    <w:lvl w:ilvl="0">
      <w:lvlJc w:val="left"/>
      <w:lvlText w:val="(%1)"/>
      <w:numFmt w:val="lowerLetter"/>
      <w:start w:val="1"/>
    </w:lvl>
  </w:abstractNum>
  <w:abstractNum w:abstractNumId="114">
    <w:nsid w:val="397C46BC"/>
    <w:multiLevelType w:val="hybridMultilevel"/>
    <w:lvl w:ilvl="0">
      <w:lvlJc w:val="left"/>
      <w:lvlText w:val="(%1)"/>
      <w:numFmt w:val="lowerLetter"/>
      <w:start w:val="1"/>
    </w:lvl>
    <w:lvl w:ilvl="1">
      <w:lvlJc w:val="left"/>
      <w:lvlText w:val="(%2)"/>
      <w:numFmt w:val="lowerRoman"/>
      <w:start w:val="1"/>
    </w:lvl>
  </w:abstractNum>
  <w:abstractNum w:abstractNumId="115">
    <w:nsid w:val="7E448DE9"/>
    <w:multiLevelType w:val="hybridMultilevel"/>
    <w:lvl w:ilvl="0">
      <w:lvlJc w:val="left"/>
      <w:lvlText w:val="%1"/>
      <w:numFmt w:val="lowerLetter"/>
      <w:start w:val="1"/>
    </w:lvl>
    <w:lvl w:ilvl="1">
      <w:lvlJc w:val="left"/>
      <w:lvlText w:val="(%2)"/>
      <w:numFmt w:val="lowerRoman"/>
      <w:start w:val="7"/>
    </w:lvl>
  </w:abstractNum>
  <w:abstractNum w:abstractNumId="116">
    <w:nsid w:val="5A9CC3E5"/>
    <w:multiLevelType w:val="hybridMultilevel"/>
    <w:lvl w:ilvl="0">
      <w:lvlJc w:val="left"/>
      <w:lvlText w:val="(%1)"/>
      <w:numFmt w:val="lowerLetter"/>
      <w:start w:val="2"/>
    </w:lvl>
    <w:lvl w:ilvl="1">
      <w:lvlJc w:val="left"/>
      <w:lvlText w:val="%2"/>
      <w:numFmt w:val="lowerRoman"/>
      <w:start w:val="1"/>
    </w:lvl>
  </w:abstractNum>
  <w:abstractNum w:abstractNumId="117">
    <w:nsid w:val="1AFE3625"/>
    <w:multiLevelType w:val="hybridMultilevel"/>
    <w:lvl w:ilvl="0">
      <w:lvlJc w:val="left"/>
      <w:lvlText w:val="(%1)"/>
      <w:numFmt w:val="lowerLetter"/>
      <w:start w:val="3"/>
    </w:lvl>
  </w:abstractNum>
  <w:abstractNum w:abstractNumId="118">
    <w:nsid w:val="3CA88ECF"/>
    <w:multiLevelType w:val="hybridMultilevel"/>
    <w:lvl w:ilvl="0">
      <w:lvlJc w:val="left"/>
      <w:lvlText w:val="(%1)"/>
      <w:numFmt w:val="lowerLetter"/>
      <w:start w:val="1"/>
    </w:lvl>
  </w:abstractNum>
  <w:abstractNum w:abstractNumId="119">
    <w:nsid w:val="6EBE4208"/>
    <w:multiLevelType w:val="hybridMultilevel"/>
    <w:lvl w:ilvl="0">
      <w:lvlJc w:val="left"/>
      <w:lvlText w:val="(%1)"/>
      <w:numFmt w:val="lowerLetter"/>
      <w:start w:val="1"/>
    </w:lvl>
  </w:abstractNum>
  <w:abstractNum w:abstractNumId="120">
    <w:nsid w:val="C058DF5"/>
    <w:multiLevelType w:val="hybridMultilevel"/>
    <w:lvl w:ilvl="0">
      <w:lvlJc w:val="left"/>
      <w:lvlText w:val="(%1)"/>
      <w:numFmt w:val="lowerLetter"/>
      <w:start w:val="2"/>
    </w:lvl>
  </w:abstractNum>
  <w:abstractNum w:abstractNumId="121">
    <w:nsid w:val="CBE5BE9"/>
    <w:multiLevelType w:val="hybridMultilevel"/>
    <w:lvl w:ilvl="0">
      <w:lvlJc w:val="left"/>
      <w:lvlText w:val="(%1)"/>
      <w:numFmt w:val="lowerLetter"/>
      <w:start w:val="1"/>
    </w:lvl>
  </w:abstractNum>
  <w:abstractNum w:abstractNumId="122">
    <w:nsid w:val="3102BBE2"/>
    <w:multiLevelType w:val="hybridMultilevel"/>
    <w:lvl w:ilvl="0">
      <w:lvlJc w:val="left"/>
      <w:lvlText w:val="(%1)"/>
      <w:numFmt w:val="lowerLetter"/>
      <w:start w:val="3"/>
    </w:lvl>
  </w:abstractNum>
  <w:abstractNum w:abstractNumId="123">
    <w:nsid w:val="26A02C5E"/>
    <w:multiLevelType w:val="hybridMultilevel"/>
    <w:lvl w:ilvl="0">
      <w:lvlJc w:val="left"/>
      <w:lvlText w:val="(%1)"/>
      <w:numFmt w:val="lowerLetter"/>
      <w:start w:val="2"/>
    </w:lvl>
    <w:lvl w:ilvl="1">
      <w:lvlJc w:val="left"/>
      <w:lvlText w:val="(%2)"/>
      <w:numFmt w:val="lowerRoman"/>
      <w:start w:val="1"/>
    </w:lvl>
  </w:abstractNum>
  <w:abstractNum w:abstractNumId="124">
    <w:nsid w:val="541C8153"/>
    <w:multiLevelType w:val="hybridMultilevel"/>
    <w:lvl w:ilvl="0">
      <w:lvlJc w:val="left"/>
      <w:lvlText w:val="(%1)"/>
      <w:numFmt w:val="lowerLetter"/>
      <w:start w:val="1"/>
    </w:lvl>
  </w:abstractNum>
  <w:abstractNum w:abstractNumId="125">
    <w:nsid w:val="67906F60"/>
    <w:multiLevelType w:val="hybridMultilevel"/>
    <w:lvl w:ilvl="0">
      <w:lvlJc w:val="left"/>
      <w:lvlText w:val="(%1)"/>
      <w:numFmt w:val="lowerLetter"/>
      <w:start w:val="2"/>
    </w:lvl>
  </w:abstractNum>
  <w:abstractNum w:abstractNumId="126">
    <w:nsid w:val="10DB9DAA"/>
    <w:multiLevelType w:val="hybridMultilevel"/>
    <w:lvl w:ilvl="0">
      <w:lvlJc w:val="left"/>
      <w:lvlText w:val="(%1)"/>
      <w:numFmt w:val="lowerLetter"/>
      <w:start w:val="1"/>
    </w:lvl>
  </w:abstractNum>
  <w:abstractNum w:abstractNumId="127">
    <w:nsid w:val="697D2D2"/>
    <w:multiLevelType w:val="hybridMultilevel"/>
    <w:lvl w:ilvl="0">
      <w:lvlJc w:val="left"/>
      <w:lvlText w:val="(%1)"/>
      <w:numFmt w:val="lowerLetter"/>
      <w:start w:val="1"/>
    </w:lvl>
  </w:abstractNum>
  <w:abstractNum w:abstractNumId="128">
    <w:nsid w:val="6D68AB2"/>
    <w:multiLevelType w:val="hybridMultilevel"/>
    <w:lvl w:ilvl="0">
      <w:lvlJc w:val="left"/>
      <w:lvlText w:val="(%1)"/>
      <w:numFmt w:val="lowerLetter"/>
      <w:start w:val="2"/>
    </w:lvl>
  </w:abstractNum>
  <w:abstractNum w:abstractNumId="129">
    <w:nsid w:val="3A966CD0"/>
    <w:multiLevelType w:val="hybridMultilevel"/>
    <w:lvl w:ilvl="0">
      <w:lvlJc w:val="left"/>
      <w:lvlText w:val="(%1)"/>
      <w:numFmt w:val="lowerLetter"/>
      <w:start w:val="1"/>
    </w:lvl>
  </w:abstractNum>
  <w:abstractNum w:abstractNumId="130">
    <w:nsid w:val="63F37E85"/>
    <w:multiLevelType w:val="hybridMultilevel"/>
    <w:lvl w:ilvl="0">
      <w:lvlJc w:val="left"/>
      <w:lvlText w:val="(%1)"/>
      <w:numFmt w:val="lowerLetter"/>
      <w:start w:val="5"/>
    </w:lvl>
  </w:abstractNum>
  <w:abstractNum w:abstractNumId="131">
    <w:nsid w:val="5895F5FA"/>
    <w:multiLevelType w:val="hybridMultilevel"/>
    <w:lvl w:ilvl="0">
      <w:lvlJc w:val="left"/>
      <w:lvlText w:val="(%1)"/>
      <w:numFmt w:val="lowerLetter"/>
      <w:start w:val="1"/>
    </w:lvl>
  </w:abstractNum>
  <w:abstractNum w:abstractNumId="132">
    <w:nsid w:val="38A5D054"/>
    <w:multiLevelType w:val="hybridMultilevel"/>
    <w:lvl w:ilvl="0">
      <w:lvlJc w:val="left"/>
      <w:lvlText w:val="(%1)"/>
      <w:numFmt w:val="lowerLetter"/>
      <w:start w:val="1"/>
    </w:lvl>
    <w:lvl w:ilvl="1">
      <w:lvlJc w:val="left"/>
      <w:lvlText w:val="(%2)"/>
      <w:numFmt w:val="lowerRoman"/>
      <w:start w:val="1"/>
    </w:lvl>
  </w:abstractNum>
  <w:abstractNum w:abstractNumId="133">
    <w:nsid w:val="F3F09D8"/>
    <w:multiLevelType w:val="hybridMultilevel"/>
    <w:lvl w:ilvl="0">
      <w:lvlJc w:val="left"/>
      <w:lvlText w:val="(%1)"/>
      <w:numFmt w:val="lowerLetter"/>
      <w:start w:val="3"/>
    </w:lvl>
  </w:abstractNum>
  <w:abstractNum w:abstractNumId="134">
    <w:nsid w:val="4B793735"/>
    <w:multiLevelType w:val="hybridMultilevel"/>
    <w:lvl w:ilvl="0">
      <w:lvlJc w:val="left"/>
      <w:lvlText w:val="(%1)"/>
      <w:numFmt w:val="lowerLetter"/>
      <w:start w:val="1"/>
    </w:lvl>
  </w:abstractNum>
  <w:abstractNum w:abstractNumId="135">
    <w:nsid w:val="4A10B4E8"/>
    <w:multiLevelType w:val="hybridMultilevel"/>
    <w:lvl w:ilvl="0">
      <w:lvlJc w:val="left"/>
      <w:lvlText w:val="(%1)"/>
      <w:numFmt w:val="lowerLetter"/>
      <w:start w:val="6"/>
    </w:lvl>
  </w:abstractNum>
  <w:abstractNum w:abstractNumId="136">
    <w:nsid w:val="43D3BCD4"/>
    <w:multiLevelType w:val="hybridMultilevel"/>
    <w:lvl w:ilvl="0">
      <w:lvlJc w:val="left"/>
      <w:lvlText w:val="(%1)"/>
      <w:numFmt w:val="lowerLetter"/>
      <w:start w:val="11"/>
    </w:lvl>
  </w:abstractNum>
  <w:abstractNum w:abstractNumId="137">
    <w:nsid w:val="4C2A7166"/>
    <w:multiLevelType w:val="hybridMultilevel"/>
    <w:lvl w:ilvl="0">
      <w:lvlJc w:val="left"/>
      <w:lvlText w:val="(%1)"/>
      <w:numFmt w:val="lowerLetter"/>
      <w:start w:val="20"/>
    </w:lvl>
  </w:abstractNum>
  <w:abstractNum w:abstractNumId="138">
    <w:nsid w:val="2E534A82"/>
    <w:multiLevelType w:val="hybridMultilevel"/>
    <w:lvl w:ilvl="0">
      <w:lvlJc w:val="left"/>
      <w:lvlText w:val="(%1)"/>
      <w:numFmt w:val="lowerLetter"/>
      <w:start w:val="27"/>
    </w:lvl>
  </w:abstractNum>
  <w:abstractNum w:abstractNumId="139">
    <w:nsid w:val="26F2D364"/>
    <w:multiLevelType w:val="hybridMultilevel"/>
    <w:lvl w:ilvl="0">
      <w:lvlJc w:val="left"/>
      <w:lvlText w:val="(%1)"/>
      <w:numFmt w:val="lowerLetter"/>
      <w:start w:val="30"/>
    </w:lvl>
  </w:abstractNum>
  <w:abstractNum w:abstractNumId="140">
    <w:nsid w:val="71C1AF98"/>
    <w:multiLevelType w:val="hybridMultilevel"/>
    <w:lvl w:ilvl="0">
      <w:lvlJc w:val="left"/>
      <w:lvlText w:val="(%1)"/>
      <w:numFmt w:val="lowerLetter"/>
      <w:start w:val="1"/>
    </w:lvl>
  </w:abstractNum>
  <w:abstractNum w:abstractNumId="141">
    <w:nsid w:val="3D00B9D9"/>
    <w:multiLevelType w:val="hybridMultilevel"/>
    <w:lvl w:ilvl="0">
      <w:lvlJc w:val="left"/>
      <w:lvlText w:val="%1"/>
      <w:numFmt w:val="decimal"/>
      <w:start w:val="1"/>
    </w:lvl>
    <w:lvl w:ilvl="1">
      <w:lvlJc w:val="left"/>
      <w:lvlText w:val="(%2)"/>
      <w:numFmt w:val="lowerLetter"/>
      <w:start w:val="7"/>
    </w:lvl>
  </w:abstractNum>
  <w:abstractNum w:abstractNumId="142">
    <w:nsid w:val="15BCABA8"/>
    <w:multiLevelType w:val="hybridMultilevel"/>
    <w:lvl w:ilvl="0">
      <w:lvlJc w:val="left"/>
      <w:lvlText w:val="(%1)"/>
      <w:numFmt w:val="decimal"/>
      <w:start w:val="2"/>
    </w:lvl>
    <w:lvl w:ilvl="1">
      <w:lvlJc w:val="left"/>
      <w:lvlText w:val="(%2)"/>
      <w:numFmt w:val="lowerLetter"/>
      <w:start w:val="10"/>
    </w:lvl>
  </w:abstractNum>
  <w:abstractNum w:abstractNumId="143">
    <w:nsid w:val="4E0B9A87"/>
    <w:multiLevelType w:val="hybridMultilevel"/>
    <w:lvl w:ilvl="0">
      <w:lvlJc w:val="left"/>
      <w:lvlText w:val="(%1)"/>
      <w:numFmt w:val="lowerLetter"/>
      <w:start w:val="13"/>
    </w:lvl>
  </w:abstractNum>
  <w:abstractNum w:abstractNumId="144">
    <w:nsid w:val="434BAE75"/>
    <w:multiLevelType w:val="hybridMultilevel"/>
    <w:lvl w:ilvl="0">
      <w:lvlJc w:val="left"/>
      <w:lvlText w:val="(%1)"/>
      <w:numFmt w:val="lowerLetter"/>
      <w:start w:val="18"/>
    </w:lvl>
  </w:abstractNum>
  <w:abstractNum w:abstractNumId="145">
    <w:nsid w:val="4F38F265"/>
    <w:multiLevelType w:val="hybridMultilevel"/>
    <w:lvl w:ilvl="0">
      <w:lvlJc w:val="left"/>
      <w:lvlText w:val="(%1)"/>
      <w:numFmt w:val="lowerLetter"/>
      <w:start w:val="1"/>
    </w:lvl>
  </w:abstractNum>
  <w:abstractNum w:abstractNumId="146">
    <w:nsid w:val="4C502870"/>
    <w:multiLevelType w:val="hybridMultilevel"/>
    <w:lvl w:ilvl="0">
      <w:lvlJc w:val="left"/>
      <w:lvlText w:val="(%1)"/>
      <w:numFmt w:val="lowerLetter"/>
      <w:start w:val="3"/>
    </w:lvl>
  </w:abstractNum>
  <w:abstractNum w:abstractNumId="147">
    <w:nsid w:val="1DE8725A"/>
    <w:multiLevelType w:val="hybridMultilevel"/>
    <w:lvl w:ilvl="0">
      <w:lvlJc w:val="left"/>
      <w:lvlText w:val="(%1)"/>
      <w:numFmt w:val="lowerLetter"/>
      <w:start w:val="10"/>
    </w:lvl>
    <w:lvl w:ilvl="1">
      <w:lvlJc w:val="left"/>
      <w:lvlText w:val="(%2)"/>
      <w:numFmt w:val="lowerRoman"/>
      <w:start w:val="1"/>
    </w:lvl>
  </w:abstractNum>
  <w:abstractNum w:abstractNumId="148">
    <w:nsid w:val="6A37288A"/>
    <w:multiLevelType w:val="hybridMultilevel"/>
    <w:lvl w:ilvl="0">
      <w:lvlJc w:val="left"/>
      <w:lvlText w:val="(%1)"/>
      <w:numFmt w:val="lowerLetter"/>
      <w:start w:val="12"/>
    </w:lvl>
  </w:abstractNum>
  <w:abstractNum w:abstractNumId="149">
    <w:nsid w:val="8F8B73F"/>
    <w:multiLevelType w:val="hybridMultilevel"/>
    <w:lvl w:ilvl="0">
      <w:lvlJc w:val="left"/>
      <w:lvlText w:val="%1"/>
      <w:numFmt w:val="lowerLetter"/>
      <w:start w:val="1"/>
    </w:lvl>
    <w:lvl w:ilvl="1">
      <w:lvlJc w:val="left"/>
      <w:lvlText w:val="(%2)"/>
      <w:numFmt w:val="lowerLetter"/>
      <w:start w:val="1"/>
    </w:lvl>
  </w:abstractNum>
  <w:abstractNum w:abstractNumId="150">
    <w:nsid w:val="CA6B462"/>
    <w:multiLevelType w:val="hybridMultilevel"/>
    <w:lvl w:ilvl="0">
      <w:lvlJc w:val="left"/>
      <w:lvlText w:val="(%1)"/>
      <w:numFmt w:val="lowerLetter"/>
      <w:start w:val="9"/>
    </w:lvl>
    <w:lvl w:ilvl="1">
      <w:lvlJc w:val="left"/>
      <w:lvlText w:val="(%2)"/>
      <w:numFmt w:val="lowerLetter"/>
      <w:start w:val="3"/>
    </w:lvl>
  </w:abstractNum>
  <w:abstractNum w:abstractNumId="151">
    <w:nsid w:val="763CB680"/>
    <w:multiLevelType w:val="hybridMultilevel"/>
    <w:lvl w:ilvl="0">
      <w:lvlJc w:val="left"/>
      <w:lvlText w:val="(%1)"/>
      <w:numFmt w:val="lowerLetter"/>
      <w:start w:val="1"/>
    </w:lvl>
  </w:abstractNum>
  <w:abstractNum w:abstractNumId="152">
    <w:nsid w:val="15B71329"/>
    <w:multiLevelType w:val="hybridMultilevel"/>
    <w:lvl w:ilvl="0">
      <w:lvlJc w:val="left"/>
      <w:lvlText w:val="(%1)"/>
      <w:numFmt w:val="lowerLetter"/>
      <w:start w:val="5"/>
    </w:lvl>
  </w:abstractNum>
  <w:abstractNum w:abstractNumId="153">
    <w:nsid w:val="3DA97044"/>
    <w:multiLevelType w:val="hybridMultilevel"/>
    <w:lvl w:ilvl="0">
      <w:lvlJc w:val="left"/>
      <w:lvlText w:val="(%1)"/>
      <w:numFmt w:val="lowerLetter"/>
      <w:start w:val="1"/>
    </w:lvl>
  </w:abstractNum>
  <w:abstractNum w:abstractNumId="154">
    <w:nsid w:val="1CDCE2DE"/>
    <w:multiLevelType w:val="hybridMultilevel"/>
    <w:lvl w:ilvl="0">
      <w:lvlJc w:val="left"/>
      <w:lvlText w:val="%1"/>
      <w:numFmt w:val="lowerLetter"/>
      <w:start w:val="1"/>
    </w:lvl>
    <w:lvl w:ilvl="1">
      <w:lvlJc w:val="left"/>
      <w:lvlText w:val="(%2)"/>
      <w:numFmt w:val="lowerLetter"/>
      <w:start w:val="2"/>
    </w:lvl>
  </w:abstractNum>
  <w:abstractNum w:abstractNumId="155">
    <w:nsid w:val="69D3947C"/>
    <w:multiLevelType w:val="hybridMultilevel"/>
    <w:lvl w:ilvl="0">
      <w:lvlJc w:val="left"/>
      <w:lvlText w:val="(%1)"/>
      <w:numFmt w:val="lowerLetter"/>
      <w:start w:val="25"/>
    </w:lvl>
    <w:lvl w:ilvl="1">
      <w:lvlJc w:val="left"/>
      <w:lvlText w:val="(%2)"/>
      <w:numFmt w:val="lowerLetter"/>
      <w:start w:val="10"/>
    </w:lvl>
  </w:abstractNum>
  <w:abstractNum w:abstractNumId="156">
    <w:nsid w:val="2539DFA5"/>
    <w:multiLevelType w:val="hybridMultilevel"/>
    <w:lvl w:ilvl="0">
      <w:lvlJc w:val="left"/>
      <w:lvlText w:val="(%1)"/>
      <w:numFmt w:val="lowerLetter"/>
      <w:start w:val="11"/>
    </w:lvl>
  </w:abstractNum>
  <w:abstractNum w:abstractNumId="157">
    <w:nsid w:val="2DB88089"/>
    <w:multiLevelType w:val="hybridMultilevel"/>
    <w:lvl w:ilvl="0">
      <w:lvlJc w:val="left"/>
      <w:lvlText w:val="(%1)"/>
      <w:numFmt w:val="lowerLetter"/>
      <w:start w:val="1"/>
    </w:lvl>
  </w:abstractNum>
  <w:abstractNum w:abstractNumId="158">
    <w:nsid w:val="706B674E"/>
    <w:multiLevelType w:val="hybridMultilevel"/>
    <w:lvl w:ilvl="0">
      <w:lvlJc w:val="left"/>
      <w:lvlText w:val="(%1)"/>
      <w:numFmt w:val="lowerLetter"/>
      <w:start w:val="2"/>
    </w:lvl>
  </w:abstractNum>
  <w:abstractNum w:abstractNumId="159">
    <w:nsid w:val="2C106A57"/>
    <w:multiLevelType w:val="hybridMultilevel"/>
    <w:lvl w:ilvl="0">
      <w:lvlJc w:val="left"/>
      <w:lvlText w:val="(%1)"/>
      <w:numFmt w:val="lowerLetter"/>
      <w:start w:val="11"/>
    </w:lvl>
  </w:abstractNum>
  <w:abstractNum w:abstractNumId="160">
    <w:nsid w:val="684EED59"/>
    <w:multiLevelType w:val="hybridMultilevel"/>
    <w:lvl w:ilvl="0">
      <w:lvlJc w:val="left"/>
      <w:lvlText w:val="(%1)"/>
      <w:numFmt w:val="lowerLetter"/>
      <w:start w:val="1"/>
    </w:lvl>
  </w:abstractNum>
  <w:abstractNum w:abstractNumId="161">
    <w:nsid w:val="545EE5D3"/>
    <w:multiLevelType w:val="hybridMultilevel"/>
    <w:lvl w:ilvl="0">
      <w:lvlJc w:val="left"/>
      <w:lvlText w:val="(%1)"/>
      <w:numFmt w:val="lowerLetter"/>
      <w:start w:val="9"/>
    </w:lvl>
  </w:abstractNum>
  <w:abstractNum w:abstractNumId="162">
    <w:nsid w:val="4A66051"/>
    <w:multiLevelType w:val="hybridMultilevel"/>
    <w:lvl w:ilvl="0">
      <w:lvlJc w:val="left"/>
      <w:lvlText w:val="(%1)"/>
      <w:numFmt w:val="lowerLetter"/>
      <w:start w:val="1"/>
    </w:lvl>
  </w:abstractNum>
  <w:abstractNum w:abstractNumId="163">
    <w:nsid w:val="20F4BDAD"/>
    <w:multiLevelType w:val="hybridMultilevel"/>
    <w:lvl w:ilvl="0">
      <w:lvlJc w:val="left"/>
      <w:lvlText w:val="(%1)"/>
      <w:numFmt w:val="lowerLetter"/>
      <w:start w:val="1"/>
    </w:lvl>
  </w:abstractNum>
  <w:abstractNum w:abstractNumId="164">
    <w:nsid w:val="639DEFAC"/>
    <w:multiLevelType w:val="hybridMultilevel"/>
    <w:lvl w:ilvl="0">
      <w:lvlJc w:val="left"/>
      <w:lvlText w:val="(%1)"/>
      <w:numFmt w:val="lowerLetter"/>
      <w:start w:val="1"/>
    </w:lvl>
  </w:abstractNum>
  <w:abstractNum w:abstractNumId="165">
    <w:nsid w:val="501F9786"/>
    <w:multiLevelType w:val="hybridMultilevel"/>
    <w:lvl w:ilvl="0">
      <w:lvlJc w:val="left"/>
      <w:lvlText w:val="(%1)"/>
      <w:numFmt w:val="lowerLetter"/>
      <w:start w:val="4"/>
    </w:lvl>
  </w:abstractNum>
  <w:abstractNum w:abstractNumId="166">
    <w:nsid w:val="6B057295"/>
    <w:multiLevelType w:val="hybridMultilevel"/>
    <w:lvl w:ilvl="0">
      <w:lvlJc w:val="left"/>
      <w:lvlText w:val="(%1)"/>
      <w:numFmt w:val="lowerLetter"/>
      <w:start w:val="7"/>
    </w:lvl>
  </w:abstractNum>
  <w:abstractNum w:abstractNumId="167">
    <w:nsid w:val="2771AC80"/>
    <w:multiLevelType w:val="hybridMultilevel"/>
    <w:lvl w:ilvl="0">
      <w:lvlJc w:val="left"/>
      <w:lvlText w:val="(%1)"/>
      <w:numFmt w:val="lowerLetter"/>
      <w:start w:val="1"/>
    </w:lvl>
  </w:abstractNum>
  <w:abstractNum w:abstractNumId="168">
    <w:nsid w:val="1C4A08EC"/>
    <w:multiLevelType w:val="hybridMultilevel"/>
    <w:lvl w:ilvl="0">
      <w:lvlJc w:val="left"/>
      <w:lvlText w:val="(%1)"/>
      <w:numFmt w:val="lowerLetter"/>
      <w:start w:val="2"/>
    </w:lvl>
  </w:abstractNum>
  <w:abstractNum w:abstractNumId="169">
    <w:nsid w:val="1958BD17"/>
    <w:multiLevelType w:val="hybridMultilevel"/>
    <w:lvl w:ilvl="0">
      <w:lvlJc w:val="left"/>
      <w:lvlText w:val="(%1)"/>
      <w:numFmt w:val="lowerLetter"/>
      <w:start w:val="1"/>
    </w:lvl>
  </w:abstractNum>
  <w:abstractNum w:abstractNumId="170">
    <w:nsid w:val="4E647FE4"/>
    <w:multiLevelType w:val="hybridMultilevel"/>
    <w:lvl w:ilvl="0">
      <w:lvlJc w:val="left"/>
      <w:lvlText w:val="(%1)"/>
      <w:numFmt w:val="lowerLetter"/>
      <w:start w:val="2"/>
    </w:lvl>
  </w:abstractNum>
  <w:abstractNum w:abstractNumId="171">
    <w:nsid w:val="E0BB885"/>
    <w:multiLevelType w:val="hybridMultilevel"/>
    <w:lvl w:ilvl="0">
      <w:lvlJc w:val="left"/>
      <w:lvlText w:val="(%1)"/>
      <w:numFmt w:val="lowerLetter"/>
      <w:start w:val="1"/>
    </w:lvl>
  </w:abstractNum>
  <w:abstractNum w:abstractNumId="172">
    <w:nsid w:val="565976F1"/>
    <w:multiLevelType w:val="hybridMultilevel"/>
    <w:lvl w:ilvl="0">
      <w:lvlJc w:val="left"/>
      <w:lvlText w:val="(%1)"/>
      <w:numFmt w:val="lowerLetter"/>
      <w:start w:val="3"/>
    </w:lvl>
  </w:abstractNum>
  <w:abstractNum w:abstractNumId="173">
    <w:nsid w:val="64212B8C"/>
    <w:multiLevelType w:val="hybridMultilevel"/>
    <w:lvl w:ilvl="0">
      <w:lvlJc w:val="left"/>
      <w:lvlText w:val="(%1)"/>
      <w:numFmt w:val="lowerLetter"/>
      <w:start w:val="1"/>
    </w:lvl>
  </w:abstractNum>
  <w:abstractNum w:abstractNumId="174">
    <w:nsid w:val="5C17530C"/>
    <w:multiLevelType w:val="hybridMultilevel"/>
    <w:lvl w:ilvl="0">
      <w:lvlJc w:val="left"/>
      <w:lvlText w:val="(%1)"/>
      <w:numFmt w:val="lowerLetter"/>
      <w:start w:val="3"/>
    </w:lvl>
  </w:abstractNum>
  <w:abstractNum w:abstractNumId="175">
    <w:nsid w:val="19A52566"/>
    <w:multiLevelType w:val="hybridMultilevel"/>
    <w:lvl w:ilvl="0">
      <w:lvlJc w:val="left"/>
      <w:lvlText w:val="(%1)"/>
      <w:numFmt w:val="lowerLetter"/>
      <w:start w:val="1"/>
    </w:lvl>
  </w:abstractNum>
  <w:abstractNum w:abstractNumId="176">
    <w:nsid w:val="335A1DF1"/>
    <w:multiLevelType w:val="hybridMultilevel"/>
    <w:lvl w:ilvl="0">
      <w:lvlJc w:val="left"/>
      <w:lvlText w:val="(%1)"/>
      <w:numFmt w:val="lowerLetter"/>
      <w:start w:val="1"/>
    </w:lvl>
  </w:abstractNum>
  <w:abstractNum w:abstractNumId="177">
    <w:nsid w:val="28677B7C"/>
    <w:multiLevelType w:val="hybridMultilevel"/>
    <w:lvl w:ilvl="0">
      <w:lvlJc w:val="left"/>
      <w:lvlText w:val="(%1)"/>
      <w:numFmt w:val="lowerRoman"/>
      <w:start w:val="2"/>
    </w:lvl>
  </w:abstractNum>
  <w:abstractNum w:abstractNumId="178">
    <w:nsid w:val="378D97C0"/>
    <w:multiLevelType w:val="hybridMultilevel"/>
    <w:lvl w:ilvl="0">
      <w:lvlJc w:val="left"/>
      <w:lvlText w:val="(%1)"/>
      <w:numFmt w:val="lowerLetter"/>
      <w:start w:val="1"/>
    </w:lvl>
  </w:abstractNum>
  <w:abstractNum w:abstractNumId="179">
    <w:nsid w:val="1D91467C"/>
    <w:multiLevelType w:val="hybridMultilevel"/>
    <w:lvl w:ilvl="0">
      <w:lvlJc w:val="left"/>
      <w:lvlText w:val="(%1)"/>
      <w:numFmt w:val="lowerRoman"/>
      <w:start w:val="1"/>
    </w:lvl>
  </w:abstractNum>
  <w:abstractNum w:abstractNumId="180">
    <w:nsid w:val="316032BB"/>
    <w:multiLevelType w:val="hybridMultilevel"/>
    <w:lvl w:ilvl="0">
      <w:lvlJc w:val="left"/>
      <w:lvlText w:val="(%1)"/>
      <w:numFmt w:val="lowerLetter"/>
      <w:start w:val="2"/>
    </w:lvl>
  </w:abstractNum>
  <w:abstractNum w:abstractNumId="181">
    <w:nsid w:val="44344C22"/>
    <w:multiLevelType w:val="hybridMultilevel"/>
    <w:lvl w:ilvl="0">
      <w:lvlJc w:val="left"/>
      <w:lvlText w:val="(%1)"/>
      <w:numFmt w:val="lowerLetter"/>
      <w:start w:val="3"/>
    </w:lvl>
  </w:abstractNum>
  <w:abstractNum w:abstractNumId="182">
    <w:nsid w:val="13CDFCFC"/>
    <w:multiLevelType w:val="hybridMultilevel"/>
    <w:lvl w:ilvl="0">
      <w:lvlJc w:val="left"/>
      <w:lvlText w:val="(%1)"/>
      <w:numFmt w:val="lowerLetter"/>
      <w:start w:val="2"/>
    </w:lvl>
  </w:abstractNum>
  <w:abstractNum w:abstractNumId="183">
    <w:nsid w:val="471745E4"/>
    <w:multiLevelType w:val="hybridMultilevel"/>
    <w:lvl w:ilvl="0">
      <w:lvlJc w:val="left"/>
      <w:lvlText w:val="%1"/>
      <w:numFmt w:val="upperLetter"/>
      <w:start w:val="1"/>
    </w:lvl>
    <w:lvl w:ilvl="1">
      <w:lvlJc w:val="left"/>
      <w:lvlText w:val="(%2)"/>
      <w:numFmt w:val="lowerLetter"/>
      <w:start w:val="1"/>
    </w:lvl>
  </w:abstractNum>
  <w:abstractNum w:abstractNumId="184">
    <w:nsid w:val="1DDBC66"/>
    <w:multiLevelType w:val="hybridMultilevel"/>
    <w:lvl w:ilvl="0">
      <w:lvlJc w:val="left"/>
      <w:lvlText w:val="(%1)"/>
      <w:numFmt w:val="upperLetter"/>
      <w:start w:val="1"/>
    </w:lvl>
    <w:lvl w:ilvl="1">
      <w:lvlJc w:val="left"/>
      <w:lvlText w:val="%2"/>
      <w:numFmt w:val="lowerLetter"/>
      <w:start w:val="1"/>
    </w:lvl>
  </w:abstractNum>
  <w:abstractNum w:abstractNumId="185">
    <w:nsid w:val="30AADFDA"/>
    <w:multiLevelType w:val="hybridMultilevel"/>
    <w:lvl w:ilvl="0">
      <w:lvlJc w:val="left"/>
      <w:lvlText w:val="(%1)"/>
      <w:numFmt w:val="lowerLetter"/>
      <w:start w:val="2"/>
    </w:lvl>
  </w:abstractNum>
  <w:abstractNum w:abstractNumId="186">
    <w:nsid w:val="30EADA61"/>
    <w:multiLevelType w:val="hybridMultilevel"/>
    <w:lvl w:ilvl="0">
      <w:lvlJc w:val="left"/>
      <w:lvlText w:val="(%1)"/>
      <w:numFmt w:val="lowerLetter"/>
      <w:start w:val="3"/>
    </w:lvl>
  </w:abstractNum>
  <w:abstractNum w:abstractNumId="187">
    <w:nsid w:val="27179C0B"/>
    <w:multiLevelType w:val="hybridMultilevel"/>
    <w:lvl w:ilvl="0">
      <w:lvlJc w:val="left"/>
      <w:lvlText w:val="(%1)"/>
      <w:numFmt w:val="lowerLetter"/>
      <w:start w:val="6"/>
    </w:lvl>
  </w:abstractNum>
  <w:abstractNum w:abstractNumId="188">
    <w:nsid w:val="5E636063"/>
    <w:multiLevelType w:val="hybridMultilevel"/>
    <w:lvl w:ilvl="0">
      <w:lvlJc w:val="left"/>
      <w:lvlText w:val="%1"/>
      <w:numFmt w:val="lowerLetter"/>
      <w:start w:val="1"/>
    </w:lvl>
    <w:lvl w:ilvl="1">
      <w:lvlJc w:val="left"/>
      <w:lvlText w:val="(%2)"/>
      <w:numFmt w:val="lowerLetter"/>
      <w:start w:val="1"/>
    </w:lvl>
  </w:abstractNum>
  <w:abstractNum w:abstractNumId="189">
    <w:nsid w:val="215641AF"/>
    <w:multiLevelType w:val="hybridMultilevel"/>
    <w:lvl w:ilvl="0">
      <w:lvlJc w:val="left"/>
      <w:lvlText w:val="(%1)"/>
      <w:numFmt w:val="lowerLetter"/>
      <w:start w:val="4"/>
    </w:lvl>
    <w:lvl w:ilvl="1">
      <w:lvlJc w:val="left"/>
      <w:lvlText w:val="%2"/>
      <w:numFmt w:val="lowerLetter"/>
      <w:start w:val="1"/>
    </w:lvl>
  </w:abstractNum>
  <w:abstractNum w:abstractNumId="190">
    <w:nsid w:val="5328066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1">
    <w:nsid w:val="46B24DBC"/>
    <w:multiLevelType w:val="hybridMultilevel"/>
    <w:lvl w:ilvl="0">
      <w:lvlJc w:val="left"/>
      <w:lvlText w:val="%1"/>
      <w:numFmt w:val="lowerRoman"/>
      <w:start w:val="1"/>
    </w:lvl>
    <w:lvl w:ilvl="1">
      <w:lvlJc w:val="left"/>
      <w:lvlText w:val="(%2)"/>
      <w:numFmt w:val="upperLetter"/>
      <w:start w:val="2"/>
    </w:lvl>
  </w:abstractNum>
  <w:abstractNum w:abstractNumId="192">
    <w:nsid w:val="75B52783"/>
    <w:multiLevelType w:val="hybridMultilevel"/>
    <w:lvl w:ilvl="0">
      <w:lvlJc w:val="left"/>
      <w:lvlText w:val="(%1)"/>
      <w:numFmt w:val="lowerRoman"/>
      <w:start w:val="4"/>
    </w:lvl>
    <w:lvl w:ilvl="1">
      <w:lvlJc w:val="left"/>
      <w:lvlText w:val="%2"/>
      <w:numFmt w:val="upperLetter"/>
      <w:start w:val="1"/>
    </w:lvl>
  </w:abstractNum>
  <w:abstractNum w:abstractNumId="193">
    <w:nsid w:val="57CE66B4"/>
    <w:multiLevelType w:val="hybridMultilevel"/>
    <w:lvl w:ilvl="0">
      <w:lvlJc w:val="left"/>
      <w:lvlText w:val="%1"/>
      <w:numFmt w:val="lowerLetter"/>
      <w:start w:val="1"/>
    </w:lvl>
    <w:lvl w:ilvl="1">
      <w:lvlJc w:val="left"/>
      <w:lvlText w:val="(%2)"/>
      <w:numFmt w:val="lowerRoman"/>
      <w:start w:val="7"/>
    </w:lvl>
  </w:abstractNum>
  <w:abstractNum w:abstractNumId="194">
    <w:nsid w:val="67A70B69"/>
    <w:multiLevelType w:val="hybridMultilevel"/>
    <w:lvl w:ilvl="0">
      <w:lvlJc w:val="left"/>
      <w:lvlText w:val="(%1)"/>
      <w:numFmt w:val="lowerLetter"/>
      <w:start w:val="3"/>
    </w:lvl>
    <w:lvl w:ilvl="1">
      <w:lvlJc w:val="left"/>
      <w:lvlText w:val="%2"/>
      <w:numFmt w:val="lowerRoman"/>
      <w:start w:val="1"/>
    </w:lvl>
  </w:abstractNum>
  <w:abstractNum w:abstractNumId="195">
    <w:nsid w:val="5953172F"/>
    <w:multiLevelType w:val="hybridMultilevel"/>
    <w:lvl w:ilvl="0">
      <w:lvlJc w:val="left"/>
      <w:lvlText w:val="(%1)"/>
      <w:numFmt w:val="lowerLetter"/>
      <w:start w:val="5"/>
    </w:lvl>
  </w:abstractNum>
  <w:abstractNum w:abstractNumId="196">
    <w:nsid w:val="27EDFE3A"/>
    <w:multiLevelType w:val="hybridMultilevel"/>
    <w:lvl w:ilvl="0">
      <w:lvlJc w:val="left"/>
      <w:lvlText w:val="(%1)"/>
      <w:numFmt w:val="lowerLetter"/>
      <w:start w:val="6"/>
    </w:lvl>
  </w:abstractNum>
  <w:abstractNum w:abstractNumId="197">
    <w:nsid w:val="52AC7DFF"/>
    <w:multiLevelType w:val="hybridMultilevel"/>
    <w:lvl w:ilvl="0">
      <w:lvlJc w:val="left"/>
      <w:lvlText w:val="(%1)"/>
      <w:numFmt w:val="lowerLetter"/>
      <w:start w:val="1"/>
    </w:lvl>
  </w:abstractNum>
  <w:abstractNum w:abstractNumId="198">
    <w:nsid w:val="C4C3AF"/>
    <w:multiLevelType w:val="hybridMultilevel"/>
    <w:lvl w:ilvl="0">
      <w:lvlJc w:val="left"/>
      <w:lvlText w:val="(%1)"/>
      <w:numFmt w:val="lowerLetter"/>
      <w:start w:val="1"/>
    </w:lvl>
  </w:abstractNum>
  <w:abstractNum w:abstractNumId="199">
    <w:nsid w:val="44380727"/>
    <w:multiLevelType w:val="hybridMultilevel"/>
    <w:lvl w:ilvl="0">
      <w:lvlJc w:val="left"/>
      <w:lvlText w:val="(%1)"/>
      <w:numFmt w:val="lowerLetter"/>
      <w:start w:val="1"/>
    </w:lvl>
  </w:abstractNum>
  <w:abstractNum w:abstractNumId="200">
    <w:nsid w:val="6C053B16"/>
    <w:multiLevelType w:val="hybridMultilevel"/>
    <w:lvl w:ilvl="0">
      <w:lvlJc w:val="left"/>
      <w:lvlText w:val="(%1)"/>
      <w:numFmt w:val="lowerLetter"/>
      <w:start w:val="3"/>
    </w:lvl>
  </w:abstractNum>
  <w:abstractNum w:abstractNumId="201">
    <w:nsid w:val="4F294393"/>
    <w:multiLevelType w:val="hybridMultilevel"/>
    <w:lvl w:ilvl="0">
      <w:lvlJc w:val="left"/>
      <w:lvlText w:val="(%1)"/>
      <w:numFmt w:val="upperLetter"/>
      <w:start w:val="1"/>
    </w:lvl>
  </w:abstractNum>
  <w:abstractNum w:abstractNumId="202">
    <w:nsid w:val="5243BFAC"/>
    <w:multiLevelType w:val="hybridMultilevel"/>
    <w:lvl w:ilvl="0">
      <w:lvlJc w:val="left"/>
      <w:lvlText w:val="(%1)"/>
      <w:numFmt w:val="upperLetter"/>
      <w:start w:val="3"/>
    </w:lvl>
  </w:abstractNum>
  <w:abstractNum w:abstractNumId="203">
    <w:nsid w:val="425EB207"/>
    <w:multiLevelType w:val="hybridMultilevel"/>
    <w:lvl w:ilvl="0">
      <w:lvlJc w:val="left"/>
      <w:lvlText w:val="(%1)"/>
      <w:numFmt w:val="lowerLetter"/>
      <w:start w:val="1"/>
    </w:lvl>
    <w:lvl w:ilvl="1">
      <w:lvlJc w:val="left"/>
      <w:lvlText w:val="(%2)"/>
      <w:numFmt w:val="lowerLetter"/>
      <w:start w:val="35"/>
    </w:lvl>
  </w:abstractNum>
  <w:abstractNum w:abstractNumId="204">
    <w:nsid w:val="334A6F1F"/>
    <w:multiLevelType w:val="hybridMultilevel"/>
    <w:lvl w:ilvl="0">
      <w:lvlJc w:val="left"/>
      <w:lvlText w:val="(%1)"/>
      <w:numFmt w:val="lowerLetter"/>
      <w:start w:val="6"/>
    </w:lvl>
    <w:lvl w:ilvl="1">
      <w:lvlJc w:val="left"/>
      <w:lvlText w:val="%2"/>
      <w:numFmt w:val="lowerLetter"/>
      <w:start w:val="1"/>
    </w:lvl>
  </w:abstractNum>
  <w:abstractNum w:abstractNumId="205">
    <w:nsid w:val="2E5B12B8"/>
    <w:multiLevelType w:val="hybridMultilevel"/>
    <w:lvl w:ilvl="0">
      <w:lvlJc w:val="left"/>
      <w:lvlText w:val="%1"/>
      <w:numFmt w:val="lowerLetter"/>
      <w:start w:val="1"/>
    </w:lvl>
    <w:lvl w:ilvl="1">
      <w:lvlJc w:val="left"/>
      <w:lvlText w:val="(%2)"/>
      <w:numFmt w:val="lowerLetter"/>
      <w:start w:val="61"/>
    </w:lvl>
  </w:abstractNum>
  <w:abstractNum w:abstractNumId="206">
    <w:nsid w:val="5C03D76D"/>
    <w:multiLevelType w:val="hybridMultilevel"/>
    <w:lvl w:ilvl="0">
      <w:lvlJc w:val="left"/>
      <w:lvlText w:val="(%1)"/>
      <w:numFmt w:val="lowerLetter"/>
      <w:start w:val="2"/>
    </w:lvl>
    <w:lvl w:ilvl="1">
      <w:lvlJc w:val="left"/>
      <w:lvlText w:val="%2"/>
      <w:numFmt w:val="lowerLetter"/>
      <w:start w:val="1"/>
    </w:lvl>
  </w:abstractNum>
  <w:abstractNum w:abstractNumId="207">
    <w:nsid w:val="66A48D11"/>
    <w:multiLevelType w:val="hybridMultilevel"/>
    <w:lvl w:ilvl="0">
      <w:lvlJc w:val="left"/>
      <w:lvlText w:val="(%1)"/>
      <w:numFmt w:val="lowerLetter"/>
      <w:start w:val="1"/>
    </w:lvl>
    <w:lvl w:ilvl="1">
      <w:lvlJc w:val="left"/>
      <w:lvlText w:val="(%2)"/>
      <w:numFmt w:val="lowerRoman"/>
      <w:start w:val="1"/>
    </w:lvl>
  </w:abstractNum>
  <w:abstractNum w:abstractNumId="208">
    <w:nsid w:val="56C28E34"/>
    <w:multiLevelType w:val="hybridMultilevel"/>
    <w:lvl w:ilvl="0">
      <w:lvlJc w:val="left"/>
      <w:lvlText w:val="(%1)"/>
      <w:numFmt w:val="lowerLetter"/>
      <w:start w:val="1"/>
    </w:lvl>
    <w:lvl w:ilvl="1">
      <w:lvlJc w:val="left"/>
      <w:lvlText w:val="(%2)"/>
      <w:numFmt w:val="lowerLetter"/>
      <w:start w:val="9"/>
    </w:lvl>
  </w:abstractNum>
  <w:abstractNum w:abstractNumId="209">
    <w:nsid w:val="13916F2D"/>
    <w:multiLevelType w:val="hybridMultilevel"/>
    <w:lvl w:ilvl="0">
      <w:lvlJc w:val="left"/>
      <w:lvlText w:val="%1"/>
      <w:numFmt w:val="lowerLetter"/>
      <w:start w:val="1"/>
    </w:lvl>
    <w:lvl w:ilvl="1">
      <w:lvlJc w:val="left"/>
      <w:lvlText w:val="(%2)"/>
      <w:numFmt w:val="lowerRoman"/>
      <w:start w:val="2"/>
    </w:lvl>
  </w:abstractNum>
  <w:abstractNum w:abstractNumId="210">
    <w:nsid w:val="435D38D"/>
    <w:multiLevelType w:val="hybridMultilevel"/>
    <w:lvl w:ilvl="0">
      <w:lvlJc w:val="left"/>
      <w:lvlText w:val="(%1)"/>
      <w:numFmt w:val="lowerLetter"/>
      <w:start w:val="2"/>
    </w:lvl>
    <w:lvl w:ilvl="1">
      <w:lvlJc w:val="left"/>
      <w:lvlText w:val="%2"/>
      <w:numFmt w:val="lowerRoman"/>
      <w:start w:val="1"/>
    </w:lvl>
  </w:abstractNum>
  <w:abstractNum w:abstractNumId="211">
    <w:nsid w:val="822C0EF"/>
    <w:multiLevelType w:val="hybridMultilevel"/>
    <w:lvl w:ilvl="0">
      <w:lvlJc w:val="left"/>
      <w:lvlText w:val="(%1)"/>
      <w:numFmt w:val="lowerLetter"/>
      <w:start w:val="1"/>
    </w:lvl>
  </w:abstractNum>
  <w:abstractNum w:abstractNumId="212">
    <w:nsid w:val="57C5BB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3">
    <w:nsid w:val="1803D08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14">
    <w:nsid w:val="4F3A06D4"/>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215">
    <w:nsid w:val="59A377B6"/>
    <w:multiLevelType w:val="hybridMultilevel"/>
    <w:lvl w:ilvl="0">
      <w:lvlJc w:val="left"/>
      <w:lvlText w:val="(%1)"/>
      <w:numFmt w:val="lowerRoman"/>
      <w:start w:val="2"/>
    </w:lvl>
    <w:lvl w:ilvl="1">
      <w:lvlJc w:val="left"/>
      <w:lvlText w:val="(%2)"/>
      <w:numFmt w:val="upperLetter"/>
      <w:start w:val="1"/>
    </w:lvl>
  </w:abstractNum>
  <w:abstractNum w:abstractNumId="216">
    <w:nsid w:val="48AEB063"/>
    <w:multiLevelType w:val="hybridMultilevel"/>
    <w:lvl w:ilvl="0">
      <w:lvlJc w:val="left"/>
      <w:lvlText w:val="(%1)"/>
      <w:numFmt w:val="upperLetter"/>
      <w:start w:val="3"/>
    </w:lvl>
  </w:abstractNum>
  <w:abstractNum w:abstractNumId="217">
    <w:nsid w:val="24E135"/>
    <w:multiLevelType w:val="hybridMultilevel"/>
    <w:lvl w:ilvl="0">
      <w:lvlJc w:val="left"/>
      <w:lvlText w:val="%1"/>
      <w:numFmt w:val="decimal"/>
      <w:start w:val="1"/>
    </w:lvl>
    <w:lvl w:ilvl="1">
      <w:lvlJc w:val="left"/>
      <w:lvlText w:val="(%2)"/>
      <w:numFmt w:val="lowerRoman"/>
      <w:start w:val="4"/>
    </w:lvl>
  </w:abstractNum>
  <w:abstractNum w:abstractNumId="218">
    <w:nsid w:val="BB13C1"/>
    <w:multiLevelType w:val="hybridMultilevel"/>
    <w:lvl w:ilvl="0">
      <w:lvlJc w:val="left"/>
      <w:lvlText w:val="%1."/>
      <w:numFmt w:val="decimal"/>
      <w:start w:val="2"/>
    </w:lvl>
    <w:lvl w:ilvl="1">
      <w:lvlJc w:val="left"/>
      <w:lvlText w:val="%2"/>
      <w:numFmt w:val="lowerRoman"/>
      <w:start w:val="1"/>
    </w:lvl>
  </w:abstractNum>
  <w:abstractNum w:abstractNumId="219">
    <w:nsid w:val="271210C7"/>
    <w:multiLevelType w:val="hybridMultilevel"/>
    <w:lvl w:ilvl="0">
      <w:lvlJc w:val="left"/>
      <w:lvlText w:val="%1."/>
      <w:numFmt w:val="decimal"/>
      <w:start w:val="4"/>
    </w:lvl>
    <w:lvl w:ilvl="1">
      <w:lvlJc w:val="left"/>
      <w:lvlText w:val="(%2)"/>
      <w:numFmt w:val="lowerLetter"/>
      <w:start w:val="1"/>
    </w:lvl>
  </w:abstractNum>
  <w:abstractNum w:abstractNumId="220">
    <w:nsid w:val="217B22E4"/>
    <w:multiLevelType w:val="hybridMultilevel"/>
    <w:lvl w:ilvl="0">
      <w:lvlJc w:val="left"/>
      <w:lvlText w:val="%1"/>
      <w:numFmt w:val="decimal"/>
      <w:start w:val="1"/>
    </w:lvl>
    <w:lvl w:ilvl="1">
      <w:lvlJc w:val="left"/>
      <w:lvlText w:val="(%2)"/>
      <w:numFmt w:val="lowerLetter"/>
      <w:start w:val="2"/>
    </w:lvl>
  </w:abstractNum>
  <w:abstractNum w:abstractNumId="221">
    <w:nsid w:val="53E31A24"/>
    <w:multiLevelType w:val="hybridMultilevel"/>
    <w:lvl w:ilvl="0">
      <w:lvlJc w:val="left"/>
      <w:lvlText w:val="%1."/>
      <w:numFmt w:val="decimal"/>
      <w:start w:val="6"/>
    </w:lvl>
    <w:lvl w:ilvl="1">
      <w:lvlJc w:val="left"/>
      <w:lvlText w:val="%2"/>
      <w:numFmt w:val="lowerLetter"/>
      <w:start w:val="1"/>
    </w:lvl>
  </w:abstractNum>
  <w:abstractNum w:abstractNumId="222">
    <w:nsid w:val="6DC45E83"/>
    <w:multiLevelType w:val="hybridMultilevel"/>
    <w:lvl w:ilvl="0">
      <w:lvlJc w:val="left"/>
      <w:lvlText w:val="%1."/>
      <w:numFmt w:val="decimal"/>
      <w:start w:val="8"/>
    </w:lvl>
    <w:lvl w:ilvl="1">
      <w:lvlJc w:val="left"/>
      <w:lvlText w:val="(%2)"/>
      <w:numFmt w:val="lowerLetter"/>
      <w:start w:val="1"/>
    </w:lvl>
  </w:abstractNum>
  <w:abstractNum w:abstractNumId="223">
    <w:nsid w:val="17304A67"/>
    <w:multiLevelType w:val="hybridMultilevel"/>
    <w:lvl w:ilvl="0">
      <w:lvlJc w:val="left"/>
      <w:lvlText w:val="%1"/>
      <w:numFmt w:val="decimal"/>
      <w:start w:val="1"/>
    </w:lvl>
    <w:lvl w:ilvl="1">
      <w:lvlJc w:val="left"/>
      <w:lvlText w:val="(%2)"/>
      <w:numFmt w:val="lowerLetter"/>
      <w:start w:val="5"/>
    </w:lvl>
  </w:abstractNum>
  <w:abstractNum w:abstractNumId="224">
    <w:nsid w:val="2BB180D8"/>
    <w:multiLevelType w:val="hybridMultilevel"/>
    <w:lvl w:ilvl="0">
      <w:lvlJc w:val="left"/>
      <w:lvlText w:val="%1."/>
      <w:numFmt w:val="decimal"/>
      <w:start w:val="9"/>
    </w:lvl>
    <w:lvl w:ilvl="1">
      <w:lvlJc w:val="left"/>
      <w:lvlText w:val="(%2)"/>
      <w:numFmt w:val="lowerLetter"/>
      <w:start w:val="1"/>
    </w:lvl>
  </w:abstractNum>
  <w:abstractNum w:abstractNumId="225">
    <w:nsid w:val="556B69ED"/>
    <w:multiLevelType w:val="hybridMultilevel"/>
    <w:lvl w:ilvl="0">
      <w:lvlJc w:val="left"/>
      <w:lvlText w:val="(%1)"/>
      <w:numFmt w:val="lowerLetter"/>
      <w:start w:val="8"/>
    </w:lvl>
  </w:abstractNum>
  <w:abstractNum w:abstractNumId="226">
    <w:nsid w:val="70836196"/>
    <w:multiLevelType w:val="hybridMultilevel"/>
    <w:lvl w:ilvl="0">
      <w:lvlJc w:val="left"/>
      <w:lvlText w:val="%1."/>
      <w:numFmt w:val="decimal"/>
      <w:start w:val="10"/>
    </w:lvl>
  </w:abstractNum>
  <w:abstractNum w:abstractNumId="227">
    <w:nsid w:val="539F7F12"/>
    <w:multiLevelType w:val="hybridMultilevel"/>
    <w:lvl w:ilvl="0">
      <w:lvlJc w:val="left"/>
      <w:lvlText w:val="%1."/>
      <w:numFmt w:val="decimal"/>
      <w:start w:val="11"/>
    </w:lvl>
    <w:lvl w:ilvl="1">
      <w:lvlJc w:val="left"/>
      <w:lvlText w:val="(%2)"/>
      <w:numFmt w:val="lowerLetter"/>
      <w:start w:val="1"/>
    </w:lvl>
  </w:abstractNum>
  <w:abstractNum w:abstractNumId="228">
    <w:nsid w:val="2817E7EC"/>
    <w:multiLevelType w:val="hybridMultilevel"/>
    <w:lvl w:ilvl="0">
      <w:lvlJc w:val="left"/>
      <w:lvlText w:val="(%1)"/>
      <w:numFmt w:val="lowerLetter"/>
      <w:start w:val="7"/>
    </w:lvl>
  </w:abstractNum>
  <w:abstractNum w:abstractNumId="229">
    <w:nsid w:val="71482545"/>
    <w:multiLevelType w:val="hybridMultilevel"/>
    <w:lvl w:ilvl="0">
      <w:lvlJc w:val="left"/>
      <w:lvlText w:val="(%1)"/>
      <w:numFmt w:val="lowerLetter"/>
      <w:start w:val="12"/>
    </w:lvl>
  </w:abstractNum>
  <w:abstractNum w:abstractNumId="230">
    <w:nsid w:val="17D78639"/>
    <w:multiLevelType w:val="hybridMultilevel"/>
    <w:lvl w:ilvl="0">
      <w:lvlJc w:val="left"/>
      <w:lvlText w:val="%1."/>
      <w:numFmt w:val="decimal"/>
      <w:start w:val="1"/>
    </w:lvl>
  </w:abstractNum>
  <w:abstractNum w:abstractNumId="231">
    <w:nsid w:val="141D2302"/>
    <w:multiLevelType w:val="hybridMultilevel"/>
    <w:lvl w:ilvl="0">
      <w:lvlJc w:val="left"/>
      <w:lvlText w:val="%1."/>
      <w:numFmt w:val="decimal"/>
      <w:start w:val="2"/>
    </w:lvl>
  </w:abstractNum>
  <w:abstractNum w:abstractNumId="232">
    <w:nsid w:val="407168D8"/>
    <w:multiLevelType w:val="hybridMultilevel"/>
    <w:lvl w:ilvl="0">
      <w:lvlJc w:val="left"/>
      <w:lvlText w:val="%1."/>
      <w:numFmt w:val="decimal"/>
      <w:start w:val="3"/>
    </w:lvl>
  </w:abstractNum>
  <w:abstractNum w:abstractNumId="233">
    <w:nsid w:val="6A1B45E5"/>
    <w:multiLevelType w:val="hybridMultilevel"/>
    <w:lvl w:ilvl="0">
      <w:lvlJc w:val="left"/>
      <w:lvlText w:val="%1."/>
      <w:numFmt w:val="decimal"/>
      <w:start w:val="4"/>
    </w:lvl>
  </w:abstractNum>
  <w:abstractNum w:abstractNumId="234">
    <w:nsid w:val="567BD50A"/>
    <w:multiLevelType w:val="hybridMultilevel"/>
    <w:lvl w:ilvl="0">
      <w:lvlJc w:val="left"/>
      <w:lvlText w:val="%1."/>
      <w:numFmt w:val="decimal"/>
      <w:start w:val="5"/>
    </w:lvl>
  </w:abstractNum>
  <w:abstractNum w:abstractNumId="235">
    <w:nsid w:val="73BBD7F8"/>
    <w:multiLevelType w:val="hybridMultilevel"/>
    <w:lvl w:ilvl="0">
      <w:lvlJc w:val="left"/>
      <w:lvlText w:val="%1."/>
      <w:numFmt w:val="decimal"/>
      <w:start w:val="6"/>
    </w:lvl>
  </w:abstractNum>
  <w:abstractNum w:abstractNumId="236">
    <w:nsid w:val="1876589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7">
    <w:nsid w:val="327FAC7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38">
    <w:nsid w:val="5A606509"/>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239">
    <w:nsid w:val="6F38E6D1"/>
    <w:multiLevelType w:val="hybridMultilevel"/>
    <w:lvl w:ilvl="0">
      <w:lvlJc w:val="left"/>
      <w:lvlText w:val="(%1)"/>
      <w:numFmt w:val="lowerRoman"/>
      <w:start w:val="2"/>
    </w:lvl>
    <w:lvl w:ilvl="1">
      <w:lvlJc w:val="left"/>
      <w:lvlText w:val="(%2)"/>
      <w:numFmt w:val="upperLetter"/>
      <w:start w:val="1"/>
    </w:lvl>
  </w:abstractNum>
  <w:abstractNum w:abstractNumId="240">
    <w:nsid w:val="46111BA5"/>
    <w:multiLevelType w:val="hybridMultilevel"/>
    <w:lvl w:ilvl="0">
      <w:lvlJc w:val="left"/>
      <w:lvlText w:val="(%1)"/>
      <w:numFmt w:val="upperLetter"/>
      <w:start w:val="2"/>
    </w:lvl>
  </w:abstractNum>
  <w:abstractNum w:abstractNumId="241">
    <w:nsid w:val="5E963896"/>
    <w:multiLevelType w:val="hybridMultilevel"/>
    <w:lvl w:ilvl="0">
      <w:lvlJc w:val="left"/>
      <w:lvlText w:val="%1"/>
      <w:numFmt w:val="decimal"/>
      <w:start w:val="1"/>
    </w:lvl>
    <w:lvl w:ilvl="1">
      <w:lvlJc w:val="left"/>
      <w:lvlText w:val="(%2)"/>
      <w:numFmt w:val="lowerRoman"/>
      <w:start w:val="4"/>
    </w:lvl>
  </w:abstractNum>
  <w:abstractNum w:abstractNumId="242">
    <w:nsid w:val="775BA7C1"/>
    <w:multiLevelType w:val="hybridMultilevel"/>
    <w:lvl w:ilvl="0">
      <w:lvlJc w:val="left"/>
      <w:lvlText w:val="%1."/>
      <w:numFmt w:val="decimal"/>
      <w:start w:val="2"/>
    </w:lvl>
    <w:lvl w:ilvl="1">
      <w:lvlJc w:val="left"/>
      <w:lvlText w:val="%2"/>
      <w:numFmt w:val="lowerRoman"/>
      <w:start w:val="1"/>
    </w:lvl>
  </w:abstractNum>
  <w:abstractNum w:abstractNumId="243">
    <w:nsid w:val="1DD6D6F4"/>
    <w:multiLevelType w:val="hybridMultilevel"/>
    <w:lvl w:ilvl="0">
      <w:lvlJc w:val="left"/>
      <w:lvlText w:val="%1."/>
      <w:numFmt w:val="decimal"/>
      <w:start w:val="3"/>
    </w:lvl>
    <w:lvl w:ilvl="1">
      <w:lvlJc w:val="left"/>
      <w:lvlText w:val="(%2)"/>
      <w:numFmt w:val="lowerLetter"/>
      <w:start w:val="1"/>
    </w:lvl>
  </w:abstractNum>
  <w:abstractNum w:abstractNumId="244">
    <w:nsid w:val="769A091F"/>
    <w:multiLevelType w:val="hybridMultilevel"/>
    <w:lvl w:ilvl="0">
      <w:lvlJc w:val="left"/>
      <w:lvlText w:val="%1"/>
      <w:numFmt w:val="decimal"/>
      <w:start w:val="1"/>
    </w:lvl>
    <w:lvl w:ilvl="1">
      <w:lvlJc w:val="left"/>
      <w:lvlText w:val="(%2)"/>
      <w:numFmt w:val="lowerLetter"/>
      <w:start w:val="1"/>
    </w:lvl>
  </w:abstractNum>
  <w:abstractNum w:abstractNumId="245">
    <w:nsid w:val="4695AE95"/>
    <w:multiLevelType w:val="hybridMultilevel"/>
    <w:lvl w:ilvl="0">
      <w:lvlJc w:val="left"/>
      <w:lvlText w:val="%1."/>
      <w:numFmt w:val="decimal"/>
      <w:start w:val="6"/>
    </w:lvl>
    <w:lvl w:ilvl="1">
      <w:lvlJc w:val="left"/>
      <w:lvlText w:val="%2"/>
      <w:numFmt w:val="lowerLetter"/>
      <w:start w:val="1"/>
    </w:lvl>
  </w:abstractNum>
  <w:abstractNum w:abstractNumId="246">
    <w:nsid w:val="777A4EAA"/>
    <w:multiLevelType w:val="hybridMultilevel"/>
    <w:lvl w:ilvl="0">
      <w:lvlJc w:val="left"/>
      <w:lvlText w:val="%1."/>
      <w:numFmt w:val="decimal"/>
      <w:start w:val="8"/>
    </w:lvl>
    <w:lvl w:ilvl="1">
      <w:lvlJc w:val="left"/>
      <w:lvlText w:val="(%2)"/>
      <w:numFmt w:val="lowerLetter"/>
      <w:start w:val="1"/>
    </w:lvl>
  </w:abstractNum>
  <w:abstractNum w:abstractNumId="247">
    <w:nsid w:val="3F48B982"/>
    <w:multiLevelType w:val="hybridMultilevel"/>
    <w:lvl w:ilvl="0">
      <w:lvlJc w:val="left"/>
      <w:lvlText w:val="%1"/>
      <w:numFmt w:val="decimal"/>
      <w:start w:val="1"/>
    </w:lvl>
    <w:lvl w:ilvl="1">
      <w:lvlJc w:val="left"/>
      <w:lvlText w:val="(%2)"/>
      <w:numFmt w:val="lowerLetter"/>
      <w:start w:val="4"/>
    </w:lvl>
  </w:abstractNum>
  <w:abstractNum w:abstractNumId="248">
    <w:nsid w:val="46BA8FCA"/>
    <w:multiLevelType w:val="hybridMultilevel"/>
    <w:lvl w:ilvl="0">
      <w:lvlJc w:val="left"/>
      <w:lvlText w:val="%1."/>
      <w:numFmt w:val="decimal"/>
      <w:start w:val="9"/>
    </w:lvl>
    <w:lvl w:ilvl="1">
      <w:lvlJc w:val="left"/>
      <w:lvlText w:val="(%2)"/>
      <w:numFmt w:val="lowerLetter"/>
      <w:start w:val="1"/>
    </w:lvl>
  </w:abstractNum>
  <w:abstractNum w:abstractNumId="249">
    <w:nsid w:val="7835626C"/>
    <w:multiLevelType w:val="hybridMultilevel"/>
    <w:lvl w:ilvl="0">
      <w:lvlJc w:val="left"/>
      <w:lvlText w:val="(%1)"/>
      <w:numFmt w:val="lowerLetter"/>
      <w:start w:val="7"/>
    </w:lvl>
  </w:abstractNum>
  <w:abstractNum w:abstractNumId="250">
    <w:nsid w:val="665ACA49"/>
    <w:multiLevelType w:val="hybridMultilevel"/>
    <w:lvl w:ilvl="0">
      <w:lvlJc w:val="left"/>
      <w:lvlText w:val="%1"/>
      <w:numFmt w:val="decimal"/>
      <w:start w:val="1"/>
    </w:lvl>
    <w:lvl w:ilvl="1">
      <w:lvlJc w:val="left"/>
      <w:lvlText w:val="(%2)"/>
      <w:numFmt w:val="lowerLetter"/>
      <w:start w:val="14"/>
    </w:lvl>
  </w:abstractNum>
  <w:abstractNum w:abstractNumId="251">
    <w:nsid w:val="6835B2AE"/>
    <w:multiLevelType w:val="hybridMultilevel"/>
    <w:lvl w:ilvl="0">
      <w:lvlJc w:val="left"/>
      <w:lvlText w:val="%1."/>
      <w:numFmt w:val="decimal"/>
      <w:start w:val="10"/>
    </w:lvl>
    <w:lvl w:ilvl="1">
      <w:lvlJc w:val="left"/>
      <w:lvlText w:val="%2"/>
      <w:numFmt w:val="lowerLetter"/>
      <w:start w:val="1"/>
    </w:lvl>
  </w:abstractNum>
  <w:abstractNum w:abstractNumId="252">
    <w:nsid w:val="4C187C90"/>
    <w:multiLevelType w:val="hybridMultilevel"/>
    <w:lvl w:ilvl="0">
      <w:lvlJc w:val="left"/>
      <w:lvlText w:val="%1."/>
      <w:numFmt w:val="decimal"/>
      <w:start w:val="11"/>
    </w:lvl>
    <w:lvl w:ilvl="1">
      <w:lvlJc w:val="left"/>
      <w:lvlText w:val="(%2)"/>
      <w:numFmt w:val="lowerLetter"/>
      <w:start w:val="1"/>
    </w:lvl>
  </w:abstractNum>
  <w:abstractNum w:abstractNumId="253">
    <w:nsid w:val="541F28CD"/>
    <w:multiLevelType w:val="hybridMultilevel"/>
    <w:lvl w:ilvl="0">
      <w:lvlJc w:val="left"/>
      <w:lvlText w:val="(%1)"/>
      <w:numFmt w:val="lowerLetter"/>
      <w:start w:val="5"/>
    </w:lvl>
  </w:abstractNum>
  <w:abstractNum w:abstractNumId="254">
    <w:nsid w:val="7F65FD16"/>
    <w:multiLevelType w:val="hybridMultilevel"/>
    <w:lvl w:ilvl="0">
      <w:lvlJc w:val="left"/>
      <w:lvlText w:val="(%1)"/>
      <w:numFmt w:val="lowerLetter"/>
      <w:start w:val="11"/>
    </w:lvl>
  </w:abstractNum>
  <w:abstractNum w:abstractNumId="255">
    <w:nsid w:val="77C9FD68"/>
    <w:multiLevelType w:val="hybridMultilevel"/>
    <w:lvl w:ilvl="0">
      <w:lvlJc w:val="left"/>
      <w:lvlText w:val="(%1)"/>
      <w:numFmt w:val="decimal"/>
      <w:start w:val="4"/>
    </w:lvl>
  </w:abstractNum>
  <w:abstractNum w:abstractNumId="256">
    <w:nsid w:val="298A92BA"/>
    <w:multiLevelType w:val="hybridMultilevel"/>
    <w:lvl w:ilvl="0">
      <w:lvlJc w:val="left"/>
      <w:lvlText w:val="(%1)"/>
      <w:numFmt w:val="decimal"/>
      <w:start w:val="4"/>
    </w:lvl>
  </w:abstractNum>
  <w:abstractNum w:abstractNumId="257">
    <w:nsid w:val="6FE95EAC"/>
    <w:multiLevelType w:val="hybridMultilevel"/>
    <w:lvl w:ilvl="0">
      <w:lvlJc w:val="left"/>
      <w:lvlText w:val="%1."/>
      <w:numFmt w:val="decimal"/>
      <w:start w:val="1"/>
    </w:lvl>
  </w:abstractNum>
  <w:abstractNum w:abstractNumId="258">
    <w:nsid w:val="4B697C7A"/>
    <w:multiLevelType w:val="hybridMultilevel"/>
    <w:lvl w:ilvl="0">
      <w:lvlJc w:val="left"/>
      <w:lvlText w:val="%1."/>
      <w:numFmt w:val="decimal"/>
      <w:start w:val="2"/>
    </w:lvl>
  </w:abstractNum>
  <w:abstractNum w:abstractNumId="259">
    <w:nsid w:val="51A27AA6"/>
    <w:multiLevelType w:val="hybridMultilevel"/>
    <w:lvl w:ilvl="0">
      <w:lvlJc w:val="left"/>
      <w:lvlText w:val="%1."/>
      <w:numFmt w:val="decimal"/>
      <w:start w:val="3"/>
    </w:lvl>
  </w:abstractNum>
  <w:abstractNum w:abstractNumId="260">
    <w:nsid w:val="613183F2"/>
    <w:multiLevelType w:val="hybridMultilevel"/>
    <w:lvl w:ilvl="0">
      <w:lvlJc w:val="left"/>
      <w:lvlText w:val="%1."/>
      <w:numFmt w:val="decimal"/>
      <w:start w:val="4"/>
    </w:lvl>
  </w:abstractNum>
  <w:abstractNum w:abstractNumId="261">
    <w:nsid w:val="634102B4"/>
    <w:multiLevelType w:val="hybridMultilevel"/>
    <w:lvl w:ilvl="0">
      <w:lvlJc w:val="left"/>
      <w:lvlText w:val="%1."/>
      <w:numFmt w:val="decimal"/>
      <w:start w:val="5"/>
    </w:lvl>
  </w:abstractNum>
  <w:abstractNum w:abstractNumId="262">
    <w:nsid w:val="65BF9DA8"/>
    <w:multiLevelType w:val="hybridMultilevel"/>
    <w:lvl w:ilvl="0">
      <w:lvlJc w:val="left"/>
      <w:lvlText w:val="%1."/>
      <w:numFmt w:val="decimal"/>
      <w:start w:val="6"/>
    </w:lvl>
  </w:abstractNum>
  <w:abstractNum w:abstractNumId="263">
    <w:nsid w:val="21A2ECCA"/>
    <w:multiLevelType w:val="hybridMultilevel"/>
    <w:lvl w:ilvl="0">
      <w:lvlJc w:val="left"/>
      <w:lvlText w:val="%1."/>
      <w:numFmt w:val="decimal"/>
      <w:start w:val="1"/>
    </w:lvl>
    <w:lvl w:ilvl="1">
      <w:lvlJc w:val="left"/>
      <w:lvlText w:val="(%2)"/>
      <w:numFmt w:val="lowerLetter"/>
      <w:start w:val="1"/>
    </w:lvl>
  </w:abstractNum>
  <w:abstractNum w:abstractNumId="264">
    <w:nsid w:val="4D5C4899"/>
    <w:multiLevelType w:val="hybridMultilevel"/>
    <w:lvl w:ilvl="0">
      <w:lvlJc w:val="left"/>
      <w:lvlText w:val="%1."/>
      <w:numFmt w:val="decimal"/>
      <w:start w:val="1"/>
    </w:lvl>
    <w:lvl w:ilvl="1">
      <w:lvlJc w:val="left"/>
      <w:lvlText w:val="(%2)"/>
      <w:numFmt w:val="lowerLetter"/>
      <w:start w:val="1"/>
    </w:lvl>
  </w:abstractNum>
  <w:abstractNum w:abstractNumId="265">
    <w:nsid w:val="3C3B72B2"/>
    <w:multiLevelType w:val="hybridMultilevel"/>
    <w:lvl w:ilvl="0">
      <w:lvlJc w:val="left"/>
      <w:lvlText w:val="%1."/>
      <w:numFmt w:val="decimal"/>
      <w:start w:val="1"/>
    </w:lvl>
  </w:abstractNum>
  <w:abstractNum w:abstractNumId="266">
    <w:nsid w:val="155EC4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2026-05-08T05:33:33Z</dcterms:created>
  <dcterms:modified xsi:type="dcterms:W3CDTF">2026-05-08T05:33:33Z</dcterms:modified>
</cp:coreProperties>
</file>