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orizontalLine"/>
        <w:jc w:val="center"/>
        <w:rPr/>
      </w:pPr>
      <w:r>
        <w:rPr/>
      </w:r>
    </w:p>
    <w:p>
      <w:pPr>
        <w:pStyle w:val="TextBody"/>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spacing w:before="0" w:after="0"/>
        <w:jc w:val="left"/>
        <w:rPr/>
      </w:pPr>
      <w:r>
        <w:rPr/>
      </w:r>
    </w:p>
    <w:p>
      <w:pPr>
        <w:pStyle w:val="TextBody"/>
        <w:spacing w:before="0" w:after="0"/>
        <w:jc w:val="center"/>
        <w:rPr>
          <w:rFonts w:ascii="Times New Roman" w:hAnsi="Times New Roman"/>
          <w:b/>
          <w:color w:val="000000"/>
          <w:sz w:val="36"/>
        </w:rPr>
      </w:pPr>
      <w:r>
        <w:rPr>
          <w:rFonts w:ascii="Times New Roman" w:hAnsi="Times New Roman"/>
          <w:b/>
          <w:color w:val="000000"/>
          <w:sz w:val="36"/>
        </w:rPr>
        <w:t>FORM 10-Q</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rPr>
                <w:color w:val="000000"/>
              </w:rPr>
            </w:pPr>
            <w:r>
              <w:rPr>
                <w:color w:val="000000"/>
              </w:rPr>
              <w:t>☑</w:t>
            </w:r>
          </w:p>
        </w:tc>
        <w:tc>
          <w:tcPr>
            <w:tcW w:w="9960" w:type="dxa"/>
            <w:tcBorders/>
            <w:shd w:fill="auto" w:val="clear"/>
            <w:vAlign w:val="center"/>
          </w:tcPr>
          <w:p>
            <w:pPr>
              <w:pStyle w:val="TableContents"/>
              <w:spacing w:before="0" w:after="0"/>
              <w:jc w:val="both"/>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 FOR THE QUARTERLY PERIOD ENDED MARCH 31, 2023</w:t>
            </w:r>
          </w:p>
        </w:tc>
      </w:tr>
    </w:tbl>
    <w:p>
      <w:pPr>
        <w:pStyle w:val="TextBody"/>
        <w:spacing w:before="0" w:after="0"/>
        <w:jc w:val="left"/>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OR</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rPr>
                <w:color w:val="000000"/>
              </w:rPr>
            </w:pPr>
            <w:r>
              <w:rPr>
                <w:color w:val="000000"/>
              </w:rPr>
              <w:t>☐</w:t>
            </w:r>
          </w:p>
        </w:tc>
        <w:tc>
          <w:tcPr>
            <w:tcW w:w="9960" w:type="dxa"/>
            <w:tcBorders/>
            <w:shd w:fill="auto" w:val="clear"/>
            <w:vAlign w:val="center"/>
          </w:tcPr>
          <w:p>
            <w:pPr>
              <w:pStyle w:val="TableContents"/>
              <w:spacing w:before="0" w:after="0"/>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 FOR THE TRANSITION PERIOD FROM _____________ TO _____________</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Commission File Number: </w:t>
      </w:r>
      <w:r>
        <w:rPr>
          <w:rFonts w:ascii="Times New Roman" w:hAnsi="Times New Roman"/>
          <w:b/>
          <w:color w:val="000000"/>
          <w:sz w:val="20"/>
        </w:rPr>
        <w:t>001-12421</w:t>
      </w:r>
    </w:p>
    <w:p>
      <w:pPr>
        <w:pStyle w:val="TextBody"/>
        <w:spacing w:before="0" w:after="0"/>
        <w:jc w:val="left"/>
        <w:rPr/>
      </w:pPr>
      <w:r>
        <w:rPr/>
      </w:r>
    </w:p>
    <w:tbl>
      <w:tblPr>
        <w:tblW w:w="6815" w:type="dxa"/>
        <w:jc w:val="left"/>
        <w:tblInd w:w="0" w:type="dxa"/>
        <w:tblCellMar>
          <w:top w:w="0" w:type="dxa"/>
          <w:left w:w="0" w:type="dxa"/>
          <w:bottom w:w="0" w:type="dxa"/>
          <w:right w:w="0" w:type="dxa"/>
        </w:tblCellMar>
      </w:tblPr>
      <w:tblGrid>
        <w:gridCol w:w="75"/>
        <w:gridCol w:w="6665"/>
        <w:gridCol w:w="75"/>
      </w:tblGrid>
      <w:tr>
        <w:trPr/>
        <w:tc>
          <w:tcPr>
            <w:tcW w:w="75" w:type="dxa"/>
            <w:tcBorders/>
            <w:shd w:fill="auto" w:val="clear"/>
            <w:vAlign w:val="center"/>
          </w:tcPr>
          <w:p>
            <w:pPr>
              <w:pStyle w:val="TableContents"/>
              <w:spacing w:before="0" w:after="283"/>
              <w:rPr/>
            </w:pPr>
            <w:r>
              <w:rPr/>
              <w:t> </w:t>
            </w:r>
          </w:p>
        </w:tc>
        <w:tc>
          <w:tcPr>
            <w:tcW w:w="666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48"/>
              </w:rPr>
            </w:pPr>
            <w:r>
              <w:rPr>
                <w:rFonts w:ascii="Times New Roman" w:hAnsi="Times New Roman"/>
                <w:b/>
                <w:color w:val="000000"/>
                <w:sz w:val="48"/>
              </w:rPr>
              <w:t>NU SKIN ENTERPRISES, INC.</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665" w:type="dxa"/>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c>
        <w:tc>
          <w:tcPr>
            <w:tcW w:w="75" w:type="dxa"/>
            <w:tcBorders/>
            <w:shd w:fill="auto" w:val="clear"/>
            <w:vAlign w:val="center"/>
          </w:tcPr>
          <w:p>
            <w:pPr>
              <w:pStyle w:val="TableContents"/>
              <w:spacing w:before="0" w:after="283"/>
              <w:rPr/>
            </w:pPr>
            <w:r>
              <w:rPr/>
              <w:t> </w:t>
            </w:r>
          </w:p>
        </w:tc>
      </w:tr>
    </w:tbl>
    <w:p>
      <w:pPr>
        <w:pStyle w:val="TextBody"/>
        <w:spacing w:before="0" w:after="0"/>
        <w:rPr/>
      </w:pPr>
      <w:r>
        <w:rPr/>
      </w:r>
    </w:p>
    <w:tbl>
      <w:tblPr>
        <w:tblW w:w="7690" w:type="dxa"/>
        <w:jc w:val="left"/>
        <w:tblInd w:w="0" w:type="dxa"/>
        <w:tblCellMar>
          <w:top w:w="0" w:type="dxa"/>
          <w:left w:w="0" w:type="dxa"/>
          <w:bottom w:w="28" w:type="dxa"/>
          <w:right w:w="0" w:type="dxa"/>
        </w:tblCellMar>
      </w:tblPr>
      <w:tblGrid>
        <w:gridCol w:w="4865"/>
        <w:gridCol w:w="60"/>
        <w:gridCol w:w="2765"/>
      </w:tblGrid>
      <w:tr>
        <w:trPr/>
        <w:tc>
          <w:tcPr>
            <w:tcW w:w="4865"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shd w:fill="auto" w:val="clear"/>
            <w:tcMar>
              <w:bottom w:w="0" w:type="dxa"/>
            </w:tcMar>
            <w:vAlign w:val="center"/>
          </w:tcPr>
          <w:p>
            <w:pPr>
              <w:pStyle w:val="TableContents"/>
              <w:spacing w:before="0" w:after="283"/>
              <w:rPr/>
            </w:pPr>
            <w:r>
              <w:rPr/>
              <w:t> </w:t>
            </w:r>
          </w:p>
        </w:tc>
        <w:tc>
          <w:tcPr>
            <w:tcW w:w="2765"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87-0565309</w:t>
            </w:r>
          </w:p>
        </w:tc>
      </w:tr>
      <w:tr>
        <w:trPr/>
        <w:tc>
          <w:tcPr>
            <w:tcW w:w="4865" w:type="dxa"/>
            <w:tcBorders/>
            <w:shd w:fill="auto" w:val="clear"/>
            <w:tcMar>
              <w:bottom w:w="0" w:type="dxa"/>
            </w:tcM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60" w:type="dxa"/>
            <w:tcBorders/>
            <w:shd w:fill="auto" w:val="clear"/>
            <w:tcMar>
              <w:bottom w:w="0" w:type="dxa"/>
            </w:tcMar>
            <w:vAlign w:val="center"/>
          </w:tcPr>
          <w:p>
            <w:pPr>
              <w:pStyle w:val="TableContents"/>
              <w:spacing w:before="0" w:after="283"/>
              <w:rPr/>
            </w:pPr>
            <w:r>
              <w:rPr/>
              <w:t> </w:t>
            </w:r>
          </w:p>
        </w:tc>
        <w:tc>
          <w:tcPr>
            <w:tcW w:w="2765" w:type="dxa"/>
            <w:tcBorders/>
            <w:shd w:fill="auto" w:val="clear"/>
            <w:tcMar>
              <w:bottom w:w="0" w:type="dxa"/>
            </w:tcM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spacing w:before="0" w:after="0"/>
        <w:rPr/>
      </w:pPr>
      <w:r>
        <w:rPr/>
      </w:r>
    </w:p>
    <w:tbl>
      <w:tblPr>
        <w:tblW w:w="4970" w:type="dxa"/>
        <w:jc w:val="left"/>
        <w:tblInd w:w="0" w:type="dxa"/>
        <w:tblCellMar>
          <w:top w:w="0" w:type="dxa"/>
          <w:left w:w="0" w:type="dxa"/>
          <w:bottom w:w="0" w:type="dxa"/>
          <w:right w:w="0" w:type="dxa"/>
        </w:tblCellMar>
      </w:tblPr>
      <w:tblGrid>
        <w:gridCol w:w="75"/>
        <w:gridCol w:w="4820"/>
        <w:gridCol w:w="75"/>
      </w:tblGrid>
      <w:tr>
        <w:trPr/>
        <w:tc>
          <w:tcPr>
            <w:tcW w:w="75" w:type="dxa"/>
            <w:tcBorders/>
            <w:shd w:fill="auto" w:val="clear"/>
            <w:vAlign w:val="center"/>
          </w:tcPr>
          <w:p>
            <w:pPr>
              <w:pStyle w:val="TableContents"/>
              <w:spacing w:before="0" w:after="283"/>
              <w:rPr/>
            </w:pPr>
            <w:r>
              <w:rPr/>
              <w:t> </w:t>
            </w:r>
          </w:p>
        </w:tc>
        <w:tc>
          <w:tcPr>
            <w:tcW w:w="482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75 West Center Street</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Provo, Utah 84601</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820" w:type="dxa"/>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(Address of principal executive offices, including zip code)</w:t>
            </w:r>
          </w:p>
        </w:tc>
        <w:tc>
          <w:tcPr>
            <w:tcW w:w="75" w:type="dxa"/>
            <w:tcBorders/>
            <w:shd w:fill="auto" w:val="clear"/>
            <w:vAlign w:val="center"/>
          </w:tcPr>
          <w:p>
            <w:pPr>
              <w:pStyle w:val="TableContents"/>
              <w:spacing w:before="0" w:after="283"/>
              <w:rPr/>
            </w:pPr>
            <w:r>
              <w:rPr/>
              <w:t> </w:t>
            </w:r>
          </w:p>
        </w:tc>
      </w:tr>
    </w:tbl>
    <w:tbl>
      <w:tblPr>
        <w:tblW w:w="4475" w:type="dxa"/>
        <w:jc w:val="left"/>
        <w:tblInd w:w="0" w:type="dxa"/>
        <w:tblCellMar>
          <w:top w:w="0" w:type="dxa"/>
          <w:left w:w="0" w:type="dxa"/>
          <w:bottom w:w="0" w:type="dxa"/>
          <w:right w:w="0" w:type="dxa"/>
        </w:tblCellMar>
      </w:tblPr>
      <w:tblGrid>
        <w:gridCol w:w="75"/>
        <w:gridCol w:w="4325"/>
        <w:gridCol w:w="75"/>
      </w:tblGrid>
      <w:tr>
        <w:trPr/>
        <w:tc>
          <w:tcPr>
            <w:tcW w:w="75" w:type="dxa"/>
            <w:tcBorders/>
            <w:shd w:fill="auto" w:val="clear"/>
            <w:vAlign w:val="center"/>
          </w:tcPr>
          <w:p>
            <w:pPr>
              <w:pStyle w:val="TableContents"/>
              <w:spacing w:before="0" w:after="283"/>
              <w:rPr/>
            </w:pPr>
            <w:r>
              <w:rPr/>
              <w:t> </w:t>
            </w:r>
          </w:p>
        </w:tc>
        <w:tc>
          <w:tcPr>
            <w:tcW w:w="432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(801) 345-1000</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spacing w:before="0" w:after="0"/>
        <w:jc w:val="left"/>
        <w:rPr/>
      </w:pPr>
      <w:r>
        <w:rPr/>
      </w:r>
    </w:p>
    <w:tbl>
      <w:tblPr>
        <w:tblW w:w="8550" w:type="dxa"/>
        <w:jc w:val="left"/>
        <w:tblInd w:w="0" w:type="dxa"/>
        <w:tblCellMar>
          <w:top w:w="0" w:type="dxa"/>
          <w:left w:w="0" w:type="dxa"/>
          <w:bottom w:w="28" w:type="dxa"/>
          <w:right w:w="0" w:type="dxa"/>
        </w:tblCellMar>
      </w:tblPr>
      <w:tblGrid>
        <w:gridCol w:w="3305"/>
        <w:gridCol w:w="60"/>
        <w:gridCol w:w="1535"/>
        <w:gridCol w:w="60"/>
        <w:gridCol w:w="3590"/>
      </w:tblGrid>
      <w:tr>
        <w:trPr/>
        <w:tc>
          <w:tcPr>
            <w:tcW w:w="3305" w:type="dxa"/>
            <w:tcBorders>
              <w:bottom w:val="single" w:sz="12" w:space="0" w:color="000000"/>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535" w:type="dxa"/>
            <w:tcBorders>
              <w:bottom w:val="single" w:sz="12" w:space="0" w:color="000000"/>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Trading Symbol(s)</w:t>
            </w:r>
          </w:p>
        </w:tc>
        <w:tc>
          <w:tcPr>
            <w:tcW w:w="60" w:type="dxa"/>
            <w:tcBorders/>
            <w:shd w:fill="auto" w:val="clear"/>
            <w:tcMar>
              <w:bottom w:w="0" w:type="dxa"/>
            </w:tcMar>
            <w:vAlign w:val="center"/>
          </w:tcPr>
          <w:p>
            <w:pPr>
              <w:pStyle w:val="TableContents"/>
              <w:spacing w:before="0" w:after="283"/>
              <w:rPr/>
            </w:pPr>
            <w:r>
              <w:rPr/>
              <w:t> </w:t>
            </w:r>
          </w:p>
        </w:tc>
        <w:tc>
          <w:tcPr>
            <w:tcW w:w="3590" w:type="dxa"/>
            <w:tcBorders>
              <w:bottom w:val="single" w:sz="12" w:space="0" w:color="000000"/>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305" w:type="dxa"/>
            <w:tcBorders>
              <w:top w:val="single" w:sz="12" w:space="0" w:color="000000"/>
            </w:tcBorders>
            <w:shd w:fill="auto" w:val="clear"/>
            <w:tcMar>
              <w:top w:w="28" w:type="dxa"/>
              <w:bottom w:w="0" w:type="dxa"/>
            </w:tcM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Class A Common Stock, $.001 par value</w:t>
            </w:r>
          </w:p>
        </w:tc>
        <w:tc>
          <w:tcPr>
            <w:tcW w:w="60" w:type="dxa"/>
            <w:tcBorders/>
            <w:shd w:fill="auto" w:val="clear"/>
            <w:tcMar>
              <w:bottom w:w="0" w:type="dxa"/>
            </w:tcMar>
            <w:vAlign w:val="center"/>
          </w:tcPr>
          <w:p>
            <w:pPr>
              <w:pStyle w:val="TableContents"/>
              <w:spacing w:before="0" w:after="283"/>
              <w:rPr/>
            </w:pPr>
            <w:r>
              <w:rPr/>
              <w:t> </w:t>
            </w:r>
          </w:p>
        </w:tc>
        <w:tc>
          <w:tcPr>
            <w:tcW w:w="1535" w:type="dxa"/>
            <w:tcBorders>
              <w:top w:val="single" w:sz="12" w:space="0" w:color="000000"/>
            </w:tcBorders>
            <w:shd w:fill="auto" w:val="clear"/>
            <w:tcMar>
              <w:top w:w="28" w:type="dxa"/>
              <w:bottom w:w="0" w:type="dxa"/>
            </w:tcM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NUS</w:t>
            </w:r>
          </w:p>
        </w:tc>
        <w:tc>
          <w:tcPr>
            <w:tcW w:w="60" w:type="dxa"/>
            <w:tcBorders/>
            <w:shd w:fill="auto" w:val="clear"/>
            <w:tcMar>
              <w:bottom w:w="0" w:type="dxa"/>
            </w:tcMar>
            <w:vAlign w:val="center"/>
          </w:tcPr>
          <w:p>
            <w:pPr>
              <w:pStyle w:val="TableContents"/>
              <w:spacing w:before="0" w:after="283"/>
              <w:rPr/>
            </w:pPr>
            <w:r>
              <w:rPr/>
              <w:t> </w:t>
            </w:r>
          </w:p>
        </w:tc>
        <w:tc>
          <w:tcPr>
            <w:tcW w:w="3590" w:type="dxa"/>
            <w:tcBorders>
              <w:top w:val="single" w:sz="12" w:space="0" w:color="000000"/>
            </w:tcBorders>
            <w:shd w:fill="auto" w:val="clear"/>
            <w:tcMar>
              <w:top w:w="28" w:type="dxa"/>
              <w:bottom w:w="0" w:type="dxa"/>
            </w:tcM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r>
    </w:p>
    <w:tbl>
      <w:tblPr>
        <w:tblW w:w="4705" w:type="dxa"/>
        <w:jc w:val="left"/>
        <w:tblInd w:w="0" w:type="dxa"/>
        <w:tblCellMar>
          <w:top w:w="0" w:type="dxa"/>
          <w:left w:w="0" w:type="dxa"/>
          <w:bottom w:w="0" w:type="dxa"/>
          <w:right w:w="0" w:type="dxa"/>
        </w:tblCellMar>
      </w:tblPr>
      <w:tblGrid>
        <w:gridCol w:w="2150"/>
        <w:gridCol w:w="2555"/>
      </w:tblGrid>
      <w:tr>
        <w:trPr/>
        <w:tc>
          <w:tcPr>
            <w:tcW w:w="215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Large accelerated filer   ☑</w:t>
            </w:r>
          </w:p>
        </w:tc>
        <w:tc>
          <w:tcPr>
            <w:tcW w:w="255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Accelerated filer   ☐</w:t>
            </w:r>
          </w:p>
        </w:tc>
      </w:tr>
      <w:tr>
        <w:trPr/>
        <w:tc>
          <w:tcPr>
            <w:tcW w:w="215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Non-accelerated filer   ☐</w:t>
            </w:r>
          </w:p>
        </w:tc>
        <w:tc>
          <w:tcPr>
            <w:tcW w:w="255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Smaller reporting company   ☐</w:t>
            </w:r>
          </w:p>
        </w:tc>
      </w:tr>
      <w:tr>
        <w:trPr/>
        <w:tc>
          <w:tcPr>
            <w:tcW w:w="2150"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Emerging growth company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As of April 30, 2023, 49,905,275 shares of the registrant’s Class A common stock, $.001 par value per share, were outstanding.</w:t>
      </w:r>
    </w:p>
    <w:p>
      <w:pPr>
        <w:pStyle w:val="TextBody"/>
        <w:spacing w:before="0" w:after="0"/>
        <w:jc w:val="left"/>
        <w:rPr/>
      </w:pPr>
      <w:r>
        <w:rPr/>
      </w:r>
    </w:p>
    <w:p>
      <w:pPr>
        <w:pStyle w:val="HorizontalLine"/>
        <w:jc w:val="left"/>
        <w:rPr/>
      </w:pPr>
      <w:r>
        <w:rPr/>
      </w:r>
    </w:p>
    <w:p>
      <w:pPr>
        <w:pStyle w:val="HorizontalLine"/>
        <w:spacing w:before="200" w:after="20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NU SKIN ENTERPRISES, INC. </w:t>
      </w:r>
    </w:p>
    <w:p>
      <w:pPr>
        <w:pStyle w:val="TextBody"/>
        <w:spacing w:before="0" w:after="0"/>
        <w:ind w:left="0" w:right="0" w:hanging="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r>
    </w:p>
    <w:p>
      <w:pPr>
        <w:pStyle w:val="TextBody"/>
        <w:spacing w:before="0" w:after="0"/>
        <w:ind w:left="0" w:right="0" w:hanging="0"/>
        <w:jc w:val="center"/>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QUARTERLY REPORT ON FORM 10-Q – FIRST QUARTER 2023</w:t>
      </w:r>
    </w:p>
    <w:p>
      <w:pPr>
        <w:pStyle w:val="TextBody"/>
        <w:spacing w:before="0" w:after="0"/>
        <w:ind w:left="0" w:right="0" w:hanging="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r>
    </w:p>
    <w:p>
      <w:pPr>
        <w:pStyle w:val="TextBody"/>
        <w:spacing w:before="0" w:after="0"/>
        <w:ind w:left="0" w:right="0" w:hanging="0"/>
        <w:jc w:val="center"/>
        <w:rPr>
          <w:rFonts w:ascii="Times New Roman" w:hAnsi="Times New Roman"/>
          <w:b/>
          <w:i w:val="false"/>
          <w:caps w:val="false"/>
          <w:smallCaps w:val="false"/>
          <w:color w:val="000000"/>
          <w:spacing w:val="0"/>
          <w:sz w:val="20"/>
          <w:highlight w:val="white"/>
        </w:rPr>
      </w:pPr>
      <w:bookmarkStart w:id="0" w:name="TABLEOFCONTENTS"/>
      <w:bookmarkEnd w:id="0"/>
      <w:r>
        <w:rPr>
          <w:rFonts w:ascii="Times New Roman" w:hAnsi="Times New Roman"/>
          <w:b/>
          <w:i w:val="false"/>
          <w:caps w:val="false"/>
          <w:smallCaps w:val="false"/>
          <w:color w:val="000000"/>
          <w:spacing w:val="0"/>
          <w:sz w:val="20"/>
          <w:highlight w:val="white"/>
        </w:rPr>
        <w:t>TABLE OF CONTENTS</w:t>
      </w:r>
    </w:p>
    <w:p>
      <w:pPr>
        <w:pStyle w:val="TextBody"/>
        <w:spacing w:before="0" w:after="0"/>
        <w:ind w:left="0" w:right="0" w:hanging="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r>
    </w:p>
    <w:tbl>
      <w:tblPr>
        <w:tblW w:w="10205" w:type="dxa"/>
        <w:jc w:val="center"/>
        <w:tblInd w:w="0" w:type="dxa"/>
        <w:shd w:fill="FFFFFF" w:val="clear"/>
        <w:tblCellMar>
          <w:top w:w="0" w:type="dxa"/>
          <w:left w:w="0" w:type="dxa"/>
          <w:bottom w:w="0" w:type="dxa"/>
          <w:right w:w="0" w:type="dxa"/>
        </w:tblCellMar>
      </w:tblPr>
      <w:tblGrid>
        <w:gridCol w:w="754"/>
        <w:gridCol w:w="837"/>
        <w:gridCol w:w="8127"/>
        <w:gridCol w:w="487"/>
      </w:tblGrid>
      <w:tr>
        <w:trPr/>
        <w:tc>
          <w:tcPr>
            <w:tcW w:w="754" w:type="dxa"/>
            <w:tcBorders/>
            <w:shd w:fill="FFFFFF" w:val="clear"/>
            <w:vAlign w:val="center"/>
          </w:tcPr>
          <w:p>
            <w:pPr>
              <w:pStyle w:val="TableContents"/>
              <w:spacing w:before="0" w:after="283"/>
              <w:rPr/>
            </w:pPr>
            <w:r>
              <w:rPr/>
              <w:t> </w:t>
            </w:r>
          </w:p>
        </w:tc>
        <w:tc>
          <w:tcPr>
            <w:tcW w:w="8964" w:type="dxa"/>
            <w:gridSpan w:val="2"/>
            <w:tcBorders/>
            <w:shd w:fill="FFFFFF" w:val="clear"/>
            <w:vAlign w:val="center"/>
          </w:tcPr>
          <w:p>
            <w:pPr>
              <w:pStyle w:val="TableContents"/>
              <w:spacing w:before="0" w:after="283"/>
              <w:rPr/>
            </w:pPr>
            <w:r>
              <w:rPr/>
              <w:t> </w:t>
            </w:r>
          </w:p>
        </w:tc>
        <w:tc>
          <w:tcPr>
            <w:tcW w:w="487" w:type="dxa"/>
            <w:tcBorders>
              <w:bottom w:val="single" w:sz="12" w:space="0" w:color="000000"/>
            </w:tcBorders>
            <w:shd w:fill="FFFFFF" w:val="clear"/>
            <w:tcMar>
              <w:bottom w:w="28" w:type="dxa"/>
            </w:tcMar>
            <w:vAlign w:val="center"/>
          </w:tcPr>
          <w:p>
            <w:pPr>
              <w:pStyle w:val="TableContents"/>
              <w:spacing w:before="0" w:after="0"/>
              <w:jc w:val="center"/>
              <w:rPr>
                <w:rFonts w:ascii="Times New Roman" w:hAnsi="Times New Roman"/>
              </w:rPr>
            </w:pPr>
            <w:r>
              <w:rPr>
                <w:rFonts w:ascii="Times New Roman" w:hAnsi="Times New Roman"/>
              </w:rPr>
              <w:t>Page</w:t>
            </w:r>
          </w:p>
        </w:tc>
      </w:tr>
      <w:tr>
        <w:trPr/>
        <w:tc>
          <w:tcPr>
            <w:tcW w:w="754" w:type="dxa"/>
            <w:tcBorders/>
            <w:shd w:fill="CCEEFF" w:val="clear"/>
            <w:vAlign w:val="center"/>
          </w:tcPr>
          <w:p>
            <w:pPr>
              <w:pStyle w:val="TableContents"/>
              <w:spacing w:before="0" w:after="0"/>
              <w:rPr>
                <w:rFonts w:ascii="Times New Roman" w:hAnsi="Times New Roman"/>
                <w:b/>
              </w:rPr>
            </w:pPr>
            <w:r>
              <w:rPr>
                <w:rFonts w:ascii="Times New Roman" w:hAnsi="Times New Roman"/>
                <w:b/>
              </w:rPr>
              <w:t>Part I.</w:t>
            </w:r>
          </w:p>
        </w:tc>
        <w:tc>
          <w:tcPr>
            <w:tcW w:w="8964" w:type="dxa"/>
            <w:gridSpan w:val="2"/>
            <w:tcBorders/>
            <w:shd w:fill="CCEEFF" w:val="clear"/>
            <w:vAlign w:val="center"/>
          </w:tcPr>
          <w:p>
            <w:pPr>
              <w:pStyle w:val="TableContents"/>
              <w:spacing w:before="0" w:after="0"/>
              <w:rPr>
                <w:rFonts w:ascii="Times New Roman" w:hAnsi="Times New Roman"/>
                <w:b/>
              </w:rPr>
            </w:pPr>
            <w:r>
              <w:rPr>
                <w:rFonts w:ascii="Times New Roman" w:hAnsi="Times New Roman"/>
                <w:b/>
              </w:rPr>
              <w:t>Financial Information</w:t>
            </w:r>
          </w:p>
        </w:tc>
        <w:tc>
          <w:tcPr>
            <w:tcW w:w="487" w:type="dxa"/>
            <w:tcBorders/>
            <w:shd w:fill="CCEEFF" w:val="clear"/>
            <w:vAlign w:val="center"/>
          </w:tcPr>
          <w:p>
            <w:pPr>
              <w:pStyle w:val="TableContents"/>
              <w:spacing w:before="0" w:after="283"/>
              <w:jc w:val="center"/>
              <w:rPr/>
            </w:pPr>
            <w:r>
              <w:rPr/>
              <w:t> </w:t>
            </w:r>
          </w:p>
        </w:tc>
      </w:tr>
      <w:tr>
        <w:trPr/>
        <w:tc>
          <w:tcPr>
            <w:tcW w:w="754"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0"/>
              <w:rPr>
                <w:rFonts w:ascii="Times New Roman" w:hAnsi="Times New Roman"/>
              </w:rPr>
            </w:pPr>
            <w:r>
              <w:rPr>
                <w:rFonts w:ascii="Times New Roman" w:hAnsi="Times New Roman"/>
              </w:rPr>
              <w:t>Item 1.</w:t>
            </w:r>
          </w:p>
        </w:tc>
        <w:tc>
          <w:tcPr>
            <w:tcW w:w="8127" w:type="dxa"/>
            <w:tcBorders/>
            <w:shd w:fill="FFFFFF" w:val="clear"/>
            <w:vAlign w:val="center"/>
          </w:tcPr>
          <w:p>
            <w:pPr>
              <w:pStyle w:val="TableContents"/>
              <w:spacing w:before="0" w:after="0"/>
              <w:rPr/>
            </w:pPr>
            <w:hyperlink w:anchor="FINANCIALSTATEMENTS">
              <w:r>
                <w:rPr>
                  <w:rStyle w:val="InternetLink"/>
                  <w:rFonts w:ascii="Times New Roman" w:hAnsi="Times New Roman"/>
                </w:rPr>
                <w:t>Financial Statements (Unaudited):</w:t>
              </w:r>
            </w:hyperlink>
          </w:p>
        </w:tc>
        <w:tc>
          <w:tcPr>
            <w:tcW w:w="487" w:type="dxa"/>
            <w:tcBorders/>
            <w:shd w:fill="FFFFFF" w:val="clear"/>
            <w:vAlign w:val="center"/>
          </w:tcPr>
          <w:p>
            <w:pPr>
              <w:pStyle w:val="TableContents"/>
              <w:spacing w:before="0" w:after="283"/>
              <w:jc w:val="center"/>
              <w:rPr/>
            </w:pPr>
            <w:r>
              <w:rPr/>
              <w:t> </w:t>
            </w:r>
          </w:p>
        </w:tc>
      </w:tr>
      <w:tr>
        <w:trPr/>
        <w:tc>
          <w:tcPr>
            <w:tcW w:w="754"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rPr/>
            </w:pPr>
            <w:r>
              <w:rPr/>
              <w:t> </w:t>
            </w:r>
          </w:p>
        </w:tc>
        <w:tc>
          <w:tcPr>
            <w:tcW w:w="8127" w:type="dxa"/>
            <w:tcBorders/>
            <w:shd w:fill="CCEEFF" w:val="clear"/>
            <w:vAlign w:val="center"/>
          </w:tcPr>
          <w:p>
            <w:pPr>
              <w:pStyle w:val="TableContents"/>
              <w:spacing w:before="0" w:after="0"/>
              <w:rPr/>
            </w:pPr>
            <w:hyperlink w:anchor="BalanceSheets">
              <w:r>
                <w:rPr>
                  <w:rStyle w:val="InternetLink"/>
                  <w:rFonts w:ascii="Times New Roman" w:hAnsi="Times New Roman"/>
                </w:rPr>
                <w:t>Consolidated Balance Sheets</w:t>
              </w:r>
            </w:hyperlink>
          </w:p>
        </w:tc>
        <w:tc>
          <w:tcPr>
            <w:tcW w:w="487" w:type="dxa"/>
            <w:tcBorders/>
            <w:shd w:fill="CCEEFF" w:val="clear"/>
            <w:vAlign w:val="center"/>
          </w:tcPr>
          <w:p>
            <w:pPr>
              <w:pStyle w:val="TableContents"/>
              <w:spacing w:before="0" w:after="0"/>
              <w:jc w:val="center"/>
              <w:rPr>
                <w:rFonts w:ascii="Times New Roman" w:hAnsi="Times New Roman"/>
              </w:rPr>
            </w:pPr>
            <w:r>
              <w:rPr>
                <w:rFonts w:ascii="Times New Roman" w:hAnsi="Times New Roman"/>
              </w:rPr>
              <w:t>1</w:t>
            </w:r>
          </w:p>
        </w:tc>
      </w:tr>
      <w:tr>
        <w:trPr/>
        <w:tc>
          <w:tcPr>
            <w:tcW w:w="754"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rPr/>
            </w:pPr>
            <w:r>
              <w:rPr/>
              <w:t> </w:t>
            </w:r>
          </w:p>
        </w:tc>
        <w:tc>
          <w:tcPr>
            <w:tcW w:w="8127" w:type="dxa"/>
            <w:tcBorders/>
            <w:shd w:fill="FFFFFF" w:val="clear"/>
            <w:vAlign w:val="center"/>
          </w:tcPr>
          <w:p>
            <w:pPr>
              <w:pStyle w:val="TableContents"/>
              <w:spacing w:before="0" w:after="0"/>
              <w:rPr/>
            </w:pPr>
            <w:hyperlink w:anchor="StatementsofIncome">
              <w:r>
                <w:rPr>
                  <w:rStyle w:val="InternetLink"/>
                  <w:rFonts w:ascii="Times New Roman" w:hAnsi="Times New Roman"/>
                </w:rPr>
                <w:t>Consolidated Statements of Income</w:t>
              </w:r>
            </w:hyperlink>
          </w:p>
        </w:tc>
        <w:tc>
          <w:tcPr>
            <w:tcW w:w="487" w:type="dxa"/>
            <w:tcBorders/>
            <w:shd w:fill="FFFFFF" w:val="clear"/>
            <w:vAlign w:val="center"/>
          </w:tcPr>
          <w:p>
            <w:pPr>
              <w:pStyle w:val="TableContents"/>
              <w:spacing w:before="0" w:after="0"/>
              <w:jc w:val="center"/>
              <w:rPr>
                <w:rFonts w:ascii="Times New Roman" w:hAnsi="Times New Roman"/>
              </w:rPr>
            </w:pPr>
            <w:r>
              <w:rPr>
                <w:rFonts w:ascii="Times New Roman" w:hAnsi="Times New Roman"/>
              </w:rPr>
              <w:t>2</w:t>
            </w:r>
          </w:p>
        </w:tc>
      </w:tr>
      <w:tr>
        <w:trPr/>
        <w:tc>
          <w:tcPr>
            <w:tcW w:w="754"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rPr/>
            </w:pPr>
            <w:r>
              <w:rPr/>
              <w:t> </w:t>
            </w:r>
          </w:p>
        </w:tc>
        <w:tc>
          <w:tcPr>
            <w:tcW w:w="8127" w:type="dxa"/>
            <w:tcBorders/>
            <w:shd w:fill="CCEEFF" w:val="clear"/>
            <w:vAlign w:val="center"/>
          </w:tcPr>
          <w:p>
            <w:pPr>
              <w:pStyle w:val="TableContents"/>
              <w:spacing w:before="0" w:after="0"/>
              <w:rPr/>
            </w:pPr>
            <w:hyperlink w:anchor="ComprehensiveIncome">
              <w:r>
                <w:rPr>
                  <w:rStyle w:val="InternetLink"/>
                  <w:rFonts w:ascii="Times New Roman" w:hAnsi="Times New Roman"/>
                </w:rPr>
                <w:t>Consolidated Statements of Comprehensive Income</w:t>
              </w:r>
            </w:hyperlink>
          </w:p>
        </w:tc>
        <w:tc>
          <w:tcPr>
            <w:tcW w:w="487" w:type="dxa"/>
            <w:tcBorders/>
            <w:shd w:fill="CCEEFF" w:val="clear"/>
            <w:vAlign w:val="center"/>
          </w:tcPr>
          <w:p>
            <w:pPr>
              <w:pStyle w:val="TableContents"/>
              <w:spacing w:before="0" w:after="0"/>
              <w:jc w:val="center"/>
              <w:rPr>
                <w:rFonts w:ascii="Times New Roman" w:hAnsi="Times New Roman"/>
              </w:rPr>
            </w:pPr>
            <w:r>
              <w:rPr>
                <w:rFonts w:ascii="Times New Roman" w:hAnsi="Times New Roman"/>
              </w:rPr>
              <w:t>3</w:t>
            </w:r>
          </w:p>
        </w:tc>
      </w:tr>
      <w:tr>
        <w:trPr/>
        <w:tc>
          <w:tcPr>
            <w:tcW w:w="754"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rPr/>
            </w:pPr>
            <w:r>
              <w:rPr/>
              <w:t> </w:t>
            </w:r>
          </w:p>
        </w:tc>
        <w:tc>
          <w:tcPr>
            <w:tcW w:w="8127" w:type="dxa"/>
            <w:tcBorders/>
            <w:shd w:fill="FFFFFF" w:val="clear"/>
            <w:vAlign w:val="center"/>
          </w:tcPr>
          <w:p>
            <w:pPr>
              <w:pStyle w:val="TableContents"/>
              <w:spacing w:before="0" w:after="0"/>
              <w:rPr/>
            </w:pPr>
            <w:hyperlink w:anchor="StockholdersEquity">
              <w:r>
                <w:rPr>
                  <w:rStyle w:val="InternetLink"/>
                  <w:rFonts w:ascii="Times New Roman" w:hAnsi="Times New Roman"/>
                </w:rPr>
                <w:t>Consolidated Statements of Stockholders’ Equity</w:t>
              </w:r>
            </w:hyperlink>
          </w:p>
        </w:tc>
        <w:tc>
          <w:tcPr>
            <w:tcW w:w="487" w:type="dxa"/>
            <w:tcBorders/>
            <w:shd w:fill="FFFFFF" w:val="clear"/>
            <w:vAlign w:val="center"/>
          </w:tcPr>
          <w:p>
            <w:pPr>
              <w:pStyle w:val="TableContents"/>
              <w:spacing w:before="0" w:after="0"/>
              <w:jc w:val="center"/>
              <w:rPr>
                <w:rFonts w:ascii="Times New Roman" w:hAnsi="Times New Roman"/>
              </w:rPr>
            </w:pPr>
            <w:r>
              <w:rPr>
                <w:rFonts w:ascii="Times New Roman" w:hAnsi="Times New Roman"/>
              </w:rPr>
              <w:t>4</w:t>
            </w:r>
          </w:p>
        </w:tc>
      </w:tr>
      <w:tr>
        <w:trPr/>
        <w:tc>
          <w:tcPr>
            <w:tcW w:w="754"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rPr/>
            </w:pPr>
            <w:r>
              <w:rPr/>
              <w:t> </w:t>
            </w:r>
          </w:p>
        </w:tc>
        <w:tc>
          <w:tcPr>
            <w:tcW w:w="8127" w:type="dxa"/>
            <w:tcBorders/>
            <w:shd w:fill="CCEEFF" w:val="clear"/>
            <w:vAlign w:val="center"/>
          </w:tcPr>
          <w:p>
            <w:pPr>
              <w:pStyle w:val="TableContents"/>
              <w:spacing w:before="0" w:after="0"/>
              <w:rPr/>
            </w:pPr>
            <w:hyperlink w:anchor="CashFlows">
              <w:r>
                <w:rPr>
                  <w:rStyle w:val="InternetLink"/>
                  <w:rFonts w:ascii="Times New Roman" w:hAnsi="Times New Roman"/>
                </w:rPr>
                <w:t>Consolidated Statements of Cash Flows</w:t>
              </w:r>
            </w:hyperlink>
          </w:p>
        </w:tc>
        <w:tc>
          <w:tcPr>
            <w:tcW w:w="487" w:type="dxa"/>
            <w:tcBorders/>
            <w:shd w:fill="CCEEFF" w:val="clear"/>
            <w:vAlign w:val="center"/>
          </w:tcPr>
          <w:p>
            <w:pPr>
              <w:pStyle w:val="TableContents"/>
              <w:spacing w:before="0" w:after="0"/>
              <w:jc w:val="center"/>
              <w:rPr>
                <w:rFonts w:ascii="Times New Roman" w:hAnsi="Times New Roman"/>
              </w:rPr>
            </w:pPr>
            <w:r>
              <w:rPr>
                <w:rFonts w:ascii="Times New Roman" w:hAnsi="Times New Roman"/>
              </w:rPr>
              <w:t>5</w:t>
            </w:r>
          </w:p>
        </w:tc>
      </w:tr>
      <w:tr>
        <w:trPr/>
        <w:tc>
          <w:tcPr>
            <w:tcW w:w="754"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rPr/>
            </w:pPr>
            <w:r>
              <w:rPr/>
              <w:t> </w:t>
            </w:r>
          </w:p>
        </w:tc>
        <w:tc>
          <w:tcPr>
            <w:tcW w:w="8127" w:type="dxa"/>
            <w:tcBorders/>
            <w:shd w:fill="FFFFFF" w:val="clear"/>
            <w:vAlign w:val="center"/>
          </w:tcPr>
          <w:p>
            <w:pPr>
              <w:pStyle w:val="TableContents"/>
              <w:spacing w:before="0" w:after="0"/>
              <w:rPr/>
            </w:pPr>
            <w:hyperlink w:anchor="Notes">
              <w:r>
                <w:rPr>
                  <w:rStyle w:val="InternetLink"/>
                  <w:rFonts w:ascii="Times New Roman" w:hAnsi="Times New Roman"/>
                </w:rPr>
                <w:t>Notes to Consolidated Financial Statements</w:t>
              </w:r>
            </w:hyperlink>
          </w:p>
        </w:tc>
        <w:tc>
          <w:tcPr>
            <w:tcW w:w="487" w:type="dxa"/>
            <w:tcBorders/>
            <w:shd w:fill="FFFFFF" w:val="clear"/>
            <w:vAlign w:val="center"/>
          </w:tcPr>
          <w:p>
            <w:pPr>
              <w:pStyle w:val="TableContents"/>
              <w:spacing w:before="0" w:after="0"/>
              <w:jc w:val="center"/>
              <w:rPr>
                <w:rFonts w:ascii="Times New Roman" w:hAnsi="Times New Roman"/>
              </w:rPr>
            </w:pPr>
            <w:r>
              <w:rPr>
                <w:rFonts w:ascii="Times New Roman" w:hAnsi="Times New Roman"/>
              </w:rPr>
              <w:t>6</w:t>
            </w:r>
          </w:p>
        </w:tc>
      </w:tr>
      <w:tr>
        <w:trPr/>
        <w:tc>
          <w:tcPr>
            <w:tcW w:w="754"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0"/>
              <w:rPr>
                <w:rFonts w:ascii="Times New Roman" w:hAnsi="Times New Roman"/>
              </w:rPr>
            </w:pPr>
            <w:r>
              <w:rPr>
                <w:rFonts w:ascii="Times New Roman" w:hAnsi="Times New Roman"/>
              </w:rPr>
              <w:t>Item 2.</w:t>
            </w:r>
          </w:p>
        </w:tc>
        <w:tc>
          <w:tcPr>
            <w:tcW w:w="8127" w:type="dxa"/>
            <w:tcBorders/>
            <w:shd w:fill="CCEEFF" w:val="clear"/>
            <w:vAlign w:val="center"/>
          </w:tcPr>
          <w:p>
            <w:pPr>
              <w:pStyle w:val="TableContents"/>
              <w:spacing w:before="0" w:after="0"/>
              <w:rPr/>
            </w:pPr>
            <w:hyperlink w:anchor="MANAGEMENTSDISCUSSIONANDA">
              <w:r>
                <w:rPr>
                  <w:rStyle w:val="InternetLink"/>
                  <w:rFonts w:ascii="Times New Roman" w:hAnsi="Times New Roman"/>
                </w:rPr>
                <w:t>Management’s Discussion and Analysis of Financial Condition and Results of Operations</w:t>
              </w:r>
            </w:hyperlink>
          </w:p>
        </w:tc>
        <w:tc>
          <w:tcPr>
            <w:tcW w:w="487" w:type="dxa"/>
            <w:tcBorders/>
            <w:shd w:fill="CCEEFF" w:val="clear"/>
            <w:vAlign w:val="center"/>
          </w:tcPr>
          <w:p>
            <w:pPr>
              <w:pStyle w:val="TableContents"/>
              <w:spacing w:before="0" w:after="283"/>
              <w:jc w:val="center"/>
              <w:rPr/>
            </w:pPr>
            <w:r>
              <w:rPr/>
              <w:t>17</w:t>
            </w:r>
          </w:p>
        </w:tc>
      </w:tr>
      <w:tr>
        <w:trPr/>
        <w:tc>
          <w:tcPr>
            <w:tcW w:w="754"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0"/>
              <w:rPr>
                <w:rFonts w:ascii="Times New Roman" w:hAnsi="Times New Roman"/>
              </w:rPr>
            </w:pPr>
            <w:r>
              <w:rPr>
                <w:rFonts w:ascii="Times New Roman" w:hAnsi="Times New Roman"/>
              </w:rPr>
              <w:t>Item 3.</w:t>
            </w:r>
          </w:p>
        </w:tc>
        <w:tc>
          <w:tcPr>
            <w:tcW w:w="8127" w:type="dxa"/>
            <w:tcBorders/>
            <w:shd w:fill="FFFFFF" w:val="clear"/>
            <w:vAlign w:val="center"/>
          </w:tcPr>
          <w:p>
            <w:pPr>
              <w:pStyle w:val="TableContents"/>
              <w:spacing w:before="0" w:after="0"/>
              <w:rPr/>
            </w:pPr>
            <w:hyperlink w:anchor="QUANTITATIVEANDQUALITATIV">
              <w:r>
                <w:rPr>
                  <w:rStyle w:val="InternetLink"/>
                  <w:rFonts w:ascii="Times New Roman" w:hAnsi="Times New Roman"/>
                </w:rPr>
                <w:t>Quantitative and Qualitative Disclosures about Market Risk</w:t>
              </w:r>
            </w:hyperlink>
          </w:p>
        </w:tc>
        <w:tc>
          <w:tcPr>
            <w:tcW w:w="487" w:type="dxa"/>
            <w:tcBorders/>
            <w:shd w:fill="FFFFFF" w:val="clear"/>
            <w:vAlign w:val="center"/>
          </w:tcPr>
          <w:p>
            <w:pPr>
              <w:pStyle w:val="TableContents"/>
              <w:spacing w:before="0" w:after="283"/>
              <w:jc w:val="center"/>
              <w:rPr/>
            </w:pPr>
            <w:r>
              <w:rPr/>
              <w:t>25</w:t>
            </w:r>
          </w:p>
        </w:tc>
      </w:tr>
      <w:tr>
        <w:trPr/>
        <w:tc>
          <w:tcPr>
            <w:tcW w:w="754"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0"/>
              <w:rPr>
                <w:rFonts w:ascii="Times New Roman" w:hAnsi="Times New Roman"/>
              </w:rPr>
            </w:pPr>
            <w:r>
              <w:rPr>
                <w:rFonts w:ascii="Times New Roman" w:hAnsi="Times New Roman"/>
              </w:rPr>
              <w:t>Item 4.</w:t>
            </w:r>
          </w:p>
        </w:tc>
        <w:tc>
          <w:tcPr>
            <w:tcW w:w="8127" w:type="dxa"/>
            <w:tcBorders/>
            <w:shd w:fill="CCEEFF" w:val="clear"/>
            <w:vAlign w:val="center"/>
          </w:tcPr>
          <w:p>
            <w:pPr>
              <w:pStyle w:val="TableContents"/>
              <w:spacing w:before="0" w:after="0"/>
              <w:rPr/>
            </w:pPr>
            <w:hyperlink w:anchor="CONTROLSANDPROCEDURES">
              <w:r>
                <w:rPr>
                  <w:rStyle w:val="InternetLink"/>
                  <w:rFonts w:ascii="Times New Roman" w:hAnsi="Times New Roman"/>
                </w:rPr>
                <w:t>Controls and Procedures</w:t>
              </w:r>
            </w:hyperlink>
          </w:p>
        </w:tc>
        <w:tc>
          <w:tcPr>
            <w:tcW w:w="487" w:type="dxa"/>
            <w:tcBorders/>
            <w:shd w:fill="CCEEFF" w:val="clear"/>
            <w:vAlign w:val="center"/>
          </w:tcPr>
          <w:p>
            <w:pPr>
              <w:pStyle w:val="TableContents"/>
              <w:spacing w:before="0" w:after="283"/>
              <w:jc w:val="center"/>
              <w:rPr/>
            </w:pPr>
            <w:r>
              <w:rPr/>
              <w:t>25</w:t>
            </w:r>
          </w:p>
        </w:tc>
      </w:tr>
      <w:tr>
        <w:trPr/>
        <w:tc>
          <w:tcPr>
            <w:tcW w:w="754"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283"/>
              <w:rPr/>
            </w:pPr>
            <w:r>
              <w:rPr/>
              <w:t> </w:t>
            </w:r>
          </w:p>
        </w:tc>
        <w:tc>
          <w:tcPr>
            <w:tcW w:w="8127" w:type="dxa"/>
            <w:tcBorders/>
            <w:shd w:fill="FFFFFF" w:val="clear"/>
            <w:vAlign w:val="center"/>
          </w:tcPr>
          <w:p>
            <w:pPr>
              <w:pStyle w:val="TableContents"/>
              <w:spacing w:before="0" w:after="283"/>
              <w:rPr/>
            </w:pPr>
            <w:r>
              <w:rPr/>
              <w:t> </w:t>
            </w:r>
          </w:p>
        </w:tc>
        <w:tc>
          <w:tcPr>
            <w:tcW w:w="487" w:type="dxa"/>
            <w:tcBorders/>
            <w:shd w:fill="FFFFFF" w:val="clear"/>
            <w:vAlign w:val="center"/>
          </w:tcPr>
          <w:p>
            <w:pPr>
              <w:pStyle w:val="TableContents"/>
              <w:spacing w:before="0" w:after="283"/>
              <w:jc w:val="center"/>
              <w:rPr/>
            </w:pPr>
            <w:r>
              <w:rPr/>
              <w:t> </w:t>
            </w:r>
          </w:p>
        </w:tc>
      </w:tr>
      <w:tr>
        <w:trPr/>
        <w:tc>
          <w:tcPr>
            <w:tcW w:w="754" w:type="dxa"/>
            <w:tcBorders/>
            <w:shd w:fill="CCEEFF" w:val="clear"/>
            <w:vAlign w:val="center"/>
          </w:tcPr>
          <w:p>
            <w:pPr>
              <w:pStyle w:val="TableContents"/>
              <w:spacing w:before="0" w:after="0"/>
              <w:rPr>
                <w:rFonts w:ascii="Times New Roman" w:hAnsi="Times New Roman"/>
                <w:b/>
              </w:rPr>
            </w:pPr>
            <w:r>
              <w:rPr>
                <w:rFonts w:ascii="Times New Roman" w:hAnsi="Times New Roman"/>
                <w:b/>
              </w:rPr>
              <w:t>Part II.</w:t>
            </w:r>
          </w:p>
        </w:tc>
        <w:tc>
          <w:tcPr>
            <w:tcW w:w="8964" w:type="dxa"/>
            <w:gridSpan w:val="2"/>
            <w:tcBorders/>
            <w:shd w:fill="CCEEFF" w:val="clear"/>
            <w:vAlign w:val="center"/>
          </w:tcPr>
          <w:p>
            <w:pPr>
              <w:pStyle w:val="TableContents"/>
              <w:spacing w:before="0" w:after="0"/>
              <w:rPr>
                <w:rFonts w:ascii="Times New Roman" w:hAnsi="Times New Roman"/>
                <w:b/>
              </w:rPr>
            </w:pPr>
            <w:r>
              <w:rPr>
                <w:rFonts w:ascii="Times New Roman" w:hAnsi="Times New Roman"/>
                <w:b/>
              </w:rPr>
              <w:t>Other Information</w:t>
            </w:r>
          </w:p>
        </w:tc>
        <w:tc>
          <w:tcPr>
            <w:tcW w:w="487" w:type="dxa"/>
            <w:tcBorders/>
            <w:shd w:fill="CCEEFF" w:val="clear"/>
            <w:vAlign w:val="center"/>
          </w:tcPr>
          <w:p>
            <w:pPr>
              <w:pStyle w:val="TableContents"/>
              <w:spacing w:before="0" w:after="283"/>
              <w:jc w:val="center"/>
              <w:rPr/>
            </w:pPr>
            <w:r>
              <w:rPr/>
              <w:t> </w:t>
            </w:r>
          </w:p>
        </w:tc>
      </w:tr>
      <w:tr>
        <w:trPr/>
        <w:tc>
          <w:tcPr>
            <w:tcW w:w="754"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0"/>
              <w:rPr>
                <w:rFonts w:ascii="Times New Roman" w:hAnsi="Times New Roman"/>
              </w:rPr>
            </w:pPr>
            <w:r>
              <w:rPr>
                <w:rFonts w:ascii="Times New Roman" w:hAnsi="Times New Roman"/>
              </w:rPr>
              <w:t>Item 1.</w:t>
            </w:r>
          </w:p>
        </w:tc>
        <w:tc>
          <w:tcPr>
            <w:tcW w:w="8127" w:type="dxa"/>
            <w:tcBorders/>
            <w:shd w:fill="FFFFFF" w:val="clear"/>
            <w:vAlign w:val="center"/>
          </w:tcPr>
          <w:p>
            <w:pPr>
              <w:pStyle w:val="TableContents"/>
              <w:spacing w:before="0" w:after="0"/>
              <w:rPr/>
            </w:pPr>
            <w:hyperlink w:anchor="LEGALPROCEEDINGS">
              <w:r>
                <w:rPr>
                  <w:rStyle w:val="InternetLink"/>
                  <w:rFonts w:ascii="Times New Roman" w:hAnsi="Times New Roman"/>
                </w:rPr>
                <w:t>Legal Proceedings</w:t>
              </w:r>
            </w:hyperlink>
          </w:p>
        </w:tc>
        <w:tc>
          <w:tcPr>
            <w:tcW w:w="487" w:type="dxa"/>
            <w:tcBorders/>
            <w:shd w:fill="FFFFFF" w:val="clear"/>
            <w:vAlign w:val="center"/>
          </w:tcPr>
          <w:p>
            <w:pPr>
              <w:pStyle w:val="TableContents"/>
              <w:spacing w:before="0" w:after="283"/>
              <w:jc w:val="center"/>
              <w:rPr/>
            </w:pPr>
            <w:r>
              <w:rPr/>
              <w:t>26</w:t>
            </w:r>
          </w:p>
        </w:tc>
      </w:tr>
      <w:tr>
        <w:trPr/>
        <w:tc>
          <w:tcPr>
            <w:tcW w:w="754"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0"/>
              <w:rPr>
                <w:rFonts w:ascii="Times New Roman" w:hAnsi="Times New Roman"/>
              </w:rPr>
            </w:pPr>
            <w:r>
              <w:rPr>
                <w:rFonts w:ascii="Times New Roman" w:hAnsi="Times New Roman"/>
              </w:rPr>
              <w:t>Item 1A.</w:t>
            </w:r>
          </w:p>
        </w:tc>
        <w:tc>
          <w:tcPr>
            <w:tcW w:w="8127" w:type="dxa"/>
            <w:tcBorders/>
            <w:shd w:fill="CCEEFF" w:val="clear"/>
            <w:vAlign w:val="center"/>
          </w:tcPr>
          <w:p>
            <w:pPr>
              <w:pStyle w:val="TableContents"/>
              <w:spacing w:before="0" w:after="0"/>
              <w:rPr/>
            </w:pPr>
            <w:hyperlink w:anchor="RISKFACTORS">
              <w:r>
                <w:rPr>
                  <w:rStyle w:val="InternetLink"/>
                  <w:rFonts w:ascii="Times New Roman" w:hAnsi="Times New Roman"/>
                </w:rPr>
                <w:t>Risk Factors</w:t>
              </w:r>
            </w:hyperlink>
          </w:p>
        </w:tc>
        <w:tc>
          <w:tcPr>
            <w:tcW w:w="487" w:type="dxa"/>
            <w:tcBorders/>
            <w:shd w:fill="CCEEFF" w:val="clear"/>
            <w:vAlign w:val="center"/>
          </w:tcPr>
          <w:p>
            <w:pPr>
              <w:pStyle w:val="TableContents"/>
              <w:spacing w:before="0" w:after="283"/>
              <w:jc w:val="center"/>
              <w:rPr/>
            </w:pPr>
            <w:r>
              <w:rPr/>
              <w:t>26</w:t>
            </w:r>
          </w:p>
        </w:tc>
      </w:tr>
      <w:tr>
        <w:trPr/>
        <w:tc>
          <w:tcPr>
            <w:tcW w:w="754"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0"/>
              <w:rPr>
                <w:rFonts w:ascii="Times New Roman" w:hAnsi="Times New Roman"/>
              </w:rPr>
            </w:pPr>
            <w:r>
              <w:rPr>
                <w:rFonts w:ascii="Times New Roman" w:hAnsi="Times New Roman"/>
              </w:rPr>
              <w:t>Item 2.</w:t>
            </w:r>
          </w:p>
        </w:tc>
        <w:tc>
          <w:tcPr>
            <w:tcW w:w="8127" w:type="dxa"/>
            <w:tcBorders/>
            <w:shd w:fill="FFFFFF" w:val="clear"/>
            <w:vAlign w:val="center"/>
          </w:tcPr>
          <w:p>
            <w:pPr>
              <w:pStyle w:val="TableContents"/>
              <w:spacing w:before="0" w:after="0"/>
              <w:rPr/>
            </w:pPr>
            <w:hyperlink w:anchor="UNREGISTEREDSALESOFEQUITY">
              <w:r>
                <w:rPr>
                  <w:rStyle w:val="InternetLink"/>
                  <w:rFonts w:ascii="Times New Roman" w:hAnsi="Times New Roman"/>
                </w:rPr>
                <w:t>Unregistered Sales of Equity Securities and Use of Proceeds</w:t>
              </w:r>
            </w:hyperlink>
          </w:p>
        </w:tc>
        <w:tc>
          <w:tcPr>
            <w:tcW w:w="487" w:type="dxa"/>
            <w:tcBorders/>
            <w:shd w:fill="FFFFFF" w:val="clear"/>
            <w:vAlign w:val="center"/>
          </w:tcPr>
          <w:p>
            <w:pPr>
              <w:pStyle w:val="TableContents"/>
              <w:spacing w:before="0" w:after="283"/>
              <w:jc w:val="center"/>
              <w:rPr/>
            </w:pPr>
            <w:r>
              <w:rPr/>
              <w:t>26</w:t>
            </w:r>
          </w:p>
        </w:tc>
      </w:tr>
      <w:tr>
        <w:trPr/>
        <w:tc>
          <w:tcPr>
            <w:tcW w:w="754"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0"/>
              <w:rPr>
                <w:rFonts w:ascii="Times New Roman" w:hAnsi="Times New Roman"/>
              </w:rPr>
            </w:pPr>
            <w:r>
              <w:rPr>
                <w:rFonts w:ascii="Times New Roman" w:hAnsi="Times New Roman"/>
              </w:rPr>
              <w:t>Item 3.</w:t>
            </w:r>
          </w:p>
        </w:tc>
        <w:tc>
          <w:tcPr>
            <w:tcW w:w="8127" w:type="dxa"/>
            <w:tcBorders/>
            <w:shd w:fill="CCEEFF" w:val="clear"/>
            <w:vAlign w:val="center"/>
          </w:tcPr>
          <w:p>
            <w:pPr>
              <w:pStyle w:val="TableContents"/>
              <w:spacing w:before="0" w:after="0"/>
              <w:rPr/>
            </w:pPr>
            <w:hyperlink w:anchor="DEFAULTSUPONSENIORSECURIT">
              <w:r>
                <w:rPr>
                  <w:rStyle w:val="InternetLink"/>
                  <w:rFonts w:ascii="Times New Roman" w:hAnsi="Times New Roman"/>
                </w:rPr>
                <w:t>Defaults Upon Senior Securities</w:t>
              </w:r>
            </w:hyperlink>
          </w:p>
        </w:tc>
        <w:tc>
          <w:tcPr>
            <w:tcW w:w="487" w:type="dxa"/>
            <w:tcBorders/>
            <w:shd w:fill="CCEEFF" w:val="clear"/>
            <w:vAlign w:val="center"/>
          </w:tcPr>
          <w:p>
            <w:pPr>
              <w:pStyle w:val="TableContents"/>
              <w:spacing w:before="0" w:after="283"/>
              <w:jc w:val="center"/>
              <w:rPr/>
            </w:pPr>
            <w:r>
              <w:rPr/>
              <w:t>26</w:t>
            </w:r>
          </w:p>
        </w:tc>
      </w:tr>
      <w:tr>
        <w:trPr/>
        <w:tc>
          <w:tcPr>
            <w:tcW w:w="754"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0"/>
              <w:rPr>
                <w:rFonts w:ascii="Times New Roman" w:hAnsi="Times New Roman"/>
              </w:rPr>
            </w:pPr>
            <w:r>
              <w:rPr>
                <w:rFonts w:ascii="Times New Roman" w:hAnsi="Times New Roman"/>
              </w:rPr>
              <w:t>Item 4.</w:t>
            </w:r>
          </w:p>
        </w:tc>
        <w:tc>
          <w:tcPr>
            <w:tcW w:w="8127" w:type="dxa"/>
            <w:tcBorders/>
            <w:shd w:fill="FFFFFF" w:val="clear"/>
            <w:vAlign w:val="center"/>
          </w:tcPr>
          <w:p>
            <w:pPr>
              <w:pStyle w:val="TableContents"/>
              <w:spacing w:before="0" w:after="0"/>
              <w:rPr/>
            </w:pPr>
            <w:hyperlink w:anchor="MINESAFETYDISCLOSURES">
              <w:r>
                <w:rPr>
                  <w:rStyle w:val="InternetLink"/>
                  <w:rFonts w:ascii="Times New Roman" w:hAnsi="Times New Roman"/>
                </w:rPr>
                <w:t>Mine Safety Disclosures</w:t>
              </w:r>
            </w:hyperlink>
          </w:p>
        </w:tc>
        <w:tc>
          <w:tcPr>
            <w:tcW w:w="487" w:type="dxa"/>
            <w:tcBorders/>
            <w:shd w:fill="FFFFFF" w:val="clear"/>
            <w:vAlign w:val="center"/>
          </w:tcPr>
          <w:p>
            <w:pPr>
              <w:pStyle w:val="TableContents"/>
              <w:spacing w:before="0" w:after="283"/>
              <w:jc w:val="center"/>
              <w:rPr/>
            </w:pPr>
            <w:r>
              <w:rPr/>
              <w:t>26</w:t>
            </w:r>
          </w:p>
        </w:tc>
      </w:tr>
      <w:tr>
        <w:trPr/>
        <w:tc>
          <w:tcPr>
            <w:tcW w:w="754"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0"/>
              <w:rPr>
                <w:rFonts w:ascii="Times New Roman" w:hAnsi="Times New Roman"/>
              </w:rPr>
            </w:pPr>
            <w:r>
              <w:rPr>
                <w:rFonts w:ascii="Times New Roman" w:hAnsi="Times New Roman"/>
              </w:rPr>
              <w:t>Item 5.</w:t>
            </w:r>
          </w:p>
        </w:tc>
        <w:tc>
          <w:tcPr>
            <w:tcW w:w="8127" w:type="dxa"/>
            <w:tcBorders/>
            <w:shd w:fill="CCEEFF" w:val="clear"/>
            <w:vAlign w:val="center"/>
          </w:tcPr>
          <w:p>
            <w:pPr>
              <w:pStyle w:val="TableContents"/>
              <w:spacing w:before="0" w:after="0"/>
              <w:rPr/>
            </w:pPr>
            <w:hyperlink w:anchor="OTHERINFORMATION">
              <w:r>
                <w:rPr>
                  <w:rStyle w:val="InternetLink"/>
                  <w:rFonts w:ascii="Times New Roman" w:hAnsi="Times New Roman"/>
                </w:rPr>
                <w:t>Other Information</w:t>
              </w:r>
            </w:hyperlink>
          </w:p>
        </w:tc>
        <w:tc>
          <w:tcPr>
            <w:tcW w:w="487" w:type="dxa"/>
            <w:tcBorders/>
            <w:shd w:fill="CCEEFF" w:val="clear"/>
            <w:vAlign w:val="center"/>
          </w:tcPr>
          <w:p>
            <w:pPr>
              <w:pStyle w:val="TableContents"/>
              <w:spacing w:before="0" w:after="283"/>
              <w:jc w:val="center"/>
              <w:rPr/>
            </w:pPr>
            <w:r>
              <w:rPr/>
              <w:t>26</w:t>
            </w:r>
          </w:p>
        </w:tc>
      </w:tr>
      <w:tr>
        <w:trPr/>
        <w:tc>
          <w:tcPr>
            <w:tcW w:w="754" w:type="dxa"/>
            <w:tcBorders/>
            <w:shd w:fill="FFFFFF" w:val="clear"/>
            <w:vAlign w:val="center"/>
          </w:tcPr>
          <w:p>
            <w:pPr>
              <w:pStyle w:val="TableContents"/>
              <w:spacing w:before="0" w:after="283"/>
              <w:rPr/>
            </w:pPr>
            <w:r>
              <w:rPr/>
              <w:t> </w:t>
            </w:r>
          </w:p>
        </w:tc>
        <w:tc>
          <w:tcPr>
            <w:tcW w:w="837" w:type="dxa"/>
            <w:tcBorders/>
            <w:shd w:fill="FFFFFF" w:val="clear"/>
            <w:vAlign w:val="center"/>
          </w:tcPr>
          <w:p>
            <w:pPr>
              <w:pStyle w:val="TableContents"/>
              <w:spacing w:before="0" w:after="0"/>
              <w:rPr>
                <w:rFonts w:ascii="Times New Roman" w:hAnsi="Times New Roman"/>
              </w:rPr>
            </w:pPr>
            <w:r>
              <w:rPr>
                <w:rFonts w:ascii="Times New Roman" w:hAnsi="Times New Roman"/>
              </w:rPr>
              <w:t>Item 6.</w:t>
            </w:r>
          </w:p>
        </w:tc>
        <w:tc>
          <w:tcPr>
            <w:tcW w:w="8127" w:type="dxa"/>
            <w:tcBorders/>
            <w:shd w:fill="FFFFFF" w:val="clear"/>
            <w:vAlign w:val="center"/>
          </w:tcPr>
          <w:p>
            <w:pPr>
              <w:pStyle w:val="TableContents"/>
              <w:spacing w:before="0" w:after="0"/>
              <w:rPr/>
            </w:pPr>
            <w:hyperlink w:anchor="EXHIBITS">
              <w:r>
                <w:rPr>
                  <w:rStyle w:val="InternetLink"/>
                  <w:rFonts w:ascii="Times New Roman" w:hAnsi="Times New Roman"/>
                </w:rPr>
                <w:t>Exhibits</w:t>
              </w:r>
            </w:hyperlink>
          </w:p>
        </w:tc>
        <w:tc>
          <w:tcPr>
            <w:tcW w:w="487" w:type="dxa"/>
            <w:tcBorders/>
            <w:shd w:fill="FFFFFF" w:val="clear"/>
            <w:vAlign w:val="center"/>
          </w:tcPr>
          <w:p>
            <w:pPr>
              <w:pStyle w:val="TableContents"/>
              <w:spacing w:before="0" w:after="283"/>
              <w:jc w:val="center"/>
              <w:rPr/>
            </w:pPr>
            <w:r>
              <w:rPr/>
              <w:t>27</w:t>
            </w:r>
          </w:p>
        </w:tc>
      </w:tr>
      <w:tr>
        <w:trPr/>
        <w:tc>
          <w:tcPr>
            <w:tcW w:w="754" w:type="dxa"/>
            <w:tcBorders/>
            <w:shd w:fill="CCEEFF" w:val="clear"/>
            <w:vAlign w:val="center"/>
          </w:tcPr>
          <w:p>
            <w:pPr>
              <w:pStyle w:val="TableContents"/>
              <w:spacing w:before="0" w:after="283"/>
              <w:rPr/>
            </w:pPr>
            <w:r>
              <w:rPr/>
              <w:t> </w:t>
            </w:r>
          </w:p>
        </w:tc>
        <w:tc>
          <w:tcPr>
            <w:tcW w:w="837" w:type="dxa"/>
            <w:tcBorders/>
            <w:shd w:fill="CCEEFF" w:val="clear"/>
            <w:vAlign w:val="center"/>
          </w:tcPr>
          <w:p>
            <w:pPr>
              <w:pStyle w:val="TableContents"/>
              <w:spacing w:before="0" w:after="283"/>
              <w:rPr/>
            </w:pPr>
            <w:r>
              <w:rPr/>
              <w:t> </w:t>
            </w:r>
          </w:p>
        </w:tc>
        <w:tc>
          <w:tcPr>
            <w:tcW w:w="8127" w:type="dxa"/>
            <w:tcBorders/>
            <w:shd w:fill="CCEEFF" w:val="clear"/>
            <w:vAlign w:val="center"/>
          </w:tcPr>
          <w:p>
            <w:pPr>
              <w:pStyle w:val="TableContents"/>
              <w:spacing w:before="0" w:after="283"/>
              <w:rPr/>
            </w:pPr>
            <w:r>
              <w:rPr/>
              <w:t> </w:t>
            </w:r>
          </w:p>
        </w:tc>
        <w:tc>
          <w:tcPr>
            <w:tcW w:w="487" w:type="dxa"/>
            <w:tcBorders/>
            <w:shd w:fill="CCEEFF" w:val="clear"/>
            <w:vAlign w:val="center"/>
          </w:tcPr>
          <w:p>
            <w:pPr>
              <w:pStyle w:val="TableContents"/>
              <w:spacing w:before="0" w:after="283"/>
              <w:jc w:val="center"/>
              <w:rPr/>
            </w:pPr>
            <w:r>
              <w:rPr/>
              <w:t> </w:t>
            </w:r>
          </w:p>
        </w:tc>
      </w:tr>
      <w:tr>
        <w:trPr/>
        <w:tc>
          <w:tcPr>
            <w:tcW w:w="754" w:type="dxa"/>
            <w:tcBorders/>
            <w:shd w:fill="FFFFFF" w:val="clear"/>
            <w:vAlign w:val="center"/>
          </w:tcPr>
          <w:p>
            <w:pPr>
              <w:pStyle w:val="TableContents"/>
              <w:spacing w:before="0" w:after="283"/>
              <w:rPr/>
            </w:pPr>
            <w:r>
              <w:rPr/>
              <w:t> </w:t>
            </w:r>
          </w:p>
        </w:tc>
        <w:tc>
          <w:tcPr>
            <w:tcW w:w="8964" w:type="dxa"/>
            <w:gridSpan w:val="2"/>
            <w:tcBorders/>
            <w:shd w:fill="FFFFFF" w:val="clear"/>
            <w:vAlign w:val="center"/>
          </w:tcPr>
          <w:p>
            <w:pPr>
              <w:pStyle w:val="TableContents"/>
              <w:spacing w:before="0" w:after="0"/>
              <w:rPr/>
            </w:pPr>
            <w:hyperlink w:anchor="SIGNATURE">
              <w:r>
                <w:rPr>
                  <w:rStyle w:val="InternetLink"/>
                  <w:rFonts w:ascii="Times New Roman" w:hAnsi="Times New Roman"/>
                </w:rPr>
                <w:t>Signature</w:t>
              </w:r>
            </w:hyperlink>
          </w:p>
        </w:tc>
        <w:tc>
          <w:tcPr>
            <w:tcW w:w="487" w:type="dxa"/>
            <w:tcBorders/>
            <w:shd w:fill="FFFFFF" w:val="clear"/>
            <w:vAlign w:val="center"/>
          </w:tcPr>
          <w:p>
            <w:pPr>
              <w:pStyle w:val="TableContents"/>
              <w:spacing w:before="0" w:after="283"/>
              <w:jc w:val="center"/>
              <w:rPr/>
            </w:pPr>
            <w:r>
              <w:rPr/>
              <w:t>28</w:t>
            </w:r>
          </w:p>
        </w:tc>
      </w:tr>
    </w:tbl>
    <w:p>
      <w:pPr>
        <w:pStyle w:val="TextBody"/>
        <w:spacing w:before="0" w:after="0"/>
        <w:ind w:left="0" w:right="0" w:hanging="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In this Quarterly Report on Form 10-Q, references to “dollars” and “$” are to United States (“U.S.”) dollars.</w:t>
      </w:r>
    </w:p>
    <w:p>
      <w:pPr>
        <w:pStyle w:val="TextBody"/>
        <w:spacing w:before="0" w:after="0"/>
        <w:ind w:left="0" w:right="0" w:hanging="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Nu Skin, Pharmanex, and ageLOC are our trademarks. The italicized product names used in this Quarterly Report on Form 10-Q are product names and also, in certain cases, our trademarks.</w:t>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r>
    </w:p>
    <w:p>
      <w:pPr>
        <w:pStyle w:val="HorizontalLine"/>
        <w:spacing w:before="200" w:after="200"/>
        <w:jc w:val="center"/>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288" w:right="0" w:hanging="144"/>
        <w:jc w:val="center"/>
        <w:rPr>
          <w:rFonts w:ascii="Times New Roman" w:hAnsi="Times New Roman"/>
          <w:b/>
          <w:color w:val="000000"/>
          <w:sz w:val="20"/>
        </w:rPr>
      </w:pPr>
      <w:r>
        <w:rPr>
          <w:rFonts w:ascii="Times New Roman" w:hAnsi="Times New Roman"/>
          <w:b/>
          <w:color w:val="000000"/>
          <w:sz w:val="20"/>
        </w:rPr>
        <w:t>PART I.  FINANCIAL INFORMATION</w:t>
      </w:r>
    </w:p>
    <w:p>
      <w:pPr>
        <w:pStyle w:val="TextBody"/>
        <w:spacing w:before="0" w:after="0"/>
        <w:jc w:val="left"/>
        <w:rPr/>
      </w:pPr>
      <w:r>
        <w:rPr/>
      </w:r>
    </w:p>
    <w:p>
      <w:pPr>
        <w:pStyle w:val="Normal"/>
        <w:spacing w:before="0" w:after="0"/>
        <w:jc w:val="left"/>
        <w:rPr>
          <w:sz w:val="4"/>
          <w:szCs w:val="4"/>
        </w:rPr>
      </w:pPr>
      <w:r>
        <w:rPr>
          <w:sz w:val="4"/>
          <w:szCs w:val="4"/>
        </w:rPr>
      </w:r>
      <w:bookmarkStart w:id="1" w:name="FINANCIALSTATEMENTS"/>
      <w:bookmarkStart w:id="2" w:name="FINANCIALSTATEMENTS"/>
      <w:bookmarkEnd w:id="2"/>
    </w:p>
    <w:tbl>
      <w:tblPr>
        <w:tblW w:w="3250" w:type="dxa"/>
        <w:jc w:val="left"/>
        <w:tblInd w:w="0" w:type="dxa"/>
        <w:tblCellMar>
          <w:top w:w="0" w:type="dxa"/>
          <w:left w:w="0" w:type="dxa"/>
          <w:bottom w:w="0" w:type="dxa"/>
          <w:right w:w="0" w:type="dxa"/>
        </w:tblCellMar>
      </w:tblPr>
      <w:tblGrid>
        <w:gridCol w:w="755"/>
        <w:gridCol w:w="2495"/>
      </w:tblGrid>
      <w:tr>
        <w:trPr/>
        <w:tc>
          <w:tcPr>
            <w:tcW w:w="755" w:type="dxa"/>
            <w:tcBorders/>
            <w:shd w:fill="auto" w:val="clear"/>
            <w:vAlign w:val="center"/>
          </w:tcPr>
          <w:p>
            <w:pPr>
              <w:pStyle w:val="TableContents"/>
              <w:spacing w:before="0" w:after="0"/>
              <w:jc w:val="both"/>
              <w:rPr>
                <w:rFonts w:ascii="Times New Roman" w:hAnsi="Times New Roman"/>
                <w:b/>
                <w:color w:val="000000"/>
                <w:sz w:val="20"/>
              </w:rPr>
            </w:pPr>
            <w:r>
              <w:rPr>
                <w:rFonts w:ascii="Times New Roman" w:hAnsi="Times New Roman"/>
                <w:b/>
                <w:color w:val="000000"/>
                <w:sz w:val="20"/>
              </w:rPr>
              <w:t>ITEM 1.</w:t>
            </w:r>
          </w:p>
        </w:tc>
        <w:tc>
          <w:tcPr>
            <w:tcW w:w="2495" w:type="dxa"/>
            <w:tcBorders/>
            <w:shd w:fill="auto" w:val="clear"/>
            <w:vAlign w:val="center"/>
          </w:tcPr>
          <w:p>
            <w:pPr>
              <w:pStyle w:val="TableContents"/>
              <w:spacing w:before="0" w:after="0"/>
              <w:jc w:val="both"/>
              <w:rPr>
                <w:rFonts w:ascii="Times New Roman" w:hAnsi="Times New Roman"/>
                <w:b/>
                <w:color w:val="000000"/>
                <w:sz w:val="20"/>
                <w:u w:val="single"/>
              </w:rPr>
            </w:pPr>
            <w:r>
              <w:rPr>
                <w:rFonts w:ascii="Times New Roman" w:hAnsi="Times New Roman"/>
                <w:b/>
                <w:color w:val="000000"/>
                <w:sz w:val="20"/>
                <w:u w:val="single"/>
              </w:rPr>
              <w:t>FINANCIAL STATEMENTS</w:t>
            </w:r>
          </w:p>
        </w:tc>
      </w:tr>
    </w:tbl>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NU SKIN ENTERPRISES, INC.</w:t>
      </w:r>
    </w:p>
    <w:p>
      <w:pPr>
        <w:pStyle w:val="TextBody"/>
        <w:spacing w:before="0" w:after="0"/>
        <w:jc w:val="left"/>
        <w:rPr>
          <w:rFonts w:ascii="Times New Roman" w:hAnsi="Times New Roman"/>
          <w:b/>
          <w:color w:val="000000"/>
          <w:sz w:val="20"/>
        </w:rPr>
      </w:pPr>
      <w:r>
        <w:rPr>
          <w:rFonts w:ascii="Times New Roman" w:hAnsi="Times New Roman"/>
          <w:b/>
          <w:color w:val="000000"/>
          <w:sz w:val="20"/>
        </w:rPr>
        <w:t xml:space="preserve">Consolidated </w:t>
      </w:r>
      <w:bookmarkStart w:id="3" w:name="BalanceSheets"/>
      <w:bookmarkEnd w:id="3"/>
      <w:r>
        <w:rPr>
          <w:rFonts w:ascii="Times New Roman" w:hAnsi="Times New Roman"/>
          <w:b/>
          <w:color w:val="000000"/>
          <w:sz w:val="20"/>
        </w:rPr>
        <w:t>Balance Sheets (Unaudited)</w:t>
      </w:r>
    </w:p>
    <w:p>
      <w:pPr>
        <w:pStyle w:val="TextBody"/>
        <w:spacing w:before="0" w:after="0"/>
        <w:jc w:val="left"/>
        <w:rPr>
          <w:rFonts w:ascii="Times New Roman" w:hAnsi="Times New Roman"/>
          <w:color w:val="000000"/>
          <w:sz w:val="20"/>
        </w:rPr>
      </w:pPr>
      <w:r>
        <w:rPr>
          <w:rFonts w:ascii="Times New Roman" w:hAnsi="Times New Roman"/>
          <w:color w:val="000000"/>
          <w:sz w:val="20"/>
        </w:rPr>
        <w:t>(U.S. dollars in thousands)</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7715"/>
        <w:gridCol w:w="60"/>
        <w:gridCol w:w="125"/>
        <w:gridCol w:w="905"/>
        <w:gridCol w:w="80"/>
        <w:gridCol w:w="60"/>
        <w:gridCol w:w="140"/>
        <w:gridCol w:w="1023"/>
        <w:gridCol w:w="97"/>
      </w:tblGrid>
      <w:tr>
        <w:trPr/>
        <w:tc>
          <w:tcPr>
            <w:tcW w:w="77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3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63"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97" w:type="dxa"/>
            <w:tcBorders/>
            <w:shd w:fill="auto"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63" w:type="dxa"/>
            <w:gridSpan w:val="2"/>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Current assets:</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63" w:type="dxa"/>
            <w:gridSpan w:val="2"/>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229,941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264,725</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Current investments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16,774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13,784</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60,008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47,360</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Inventories, net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366,537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346,183</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100,302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87,816</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773,562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759,868</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Property and equipment, net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437,986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444,806</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Operating lease right-of-use assets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98,683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98,734</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Goodwill</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206,432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206,432</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Other intangible assets, net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64,711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66,701</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243,271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244,429</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1,824,645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1,820,970</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AND STOCKHOLDERS’ EQUITY</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Current liabilities: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49,494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53,963</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Accrued expenses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275,774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280,280</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Current portion of long-term debt</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47,500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25,000</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372,768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359,243</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Operating lease liabilities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78,776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76,540</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Long-term debt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372,609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377,466</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107,522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110,425</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Total liabilities</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931,675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923,674</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Commitments and contingencies (Notes 5 and 11)</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Stockholders’ equity:</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288" w:right="0" w:hanging="0"/>
              <w:jc w:val="left"/>
              <w:rPr>
                <w:rFonts w:ascii="Times New Roman" w:hAnsi="Times New Roman"/>
                <w:color w:val="000000"/>
                <w:sz w:val="20"/>
              </w:rPr>
            </w:pPr>
            <w:r>
              <w:rPr>
                <w:rFonts w:ascii="Times New Roman" w:hAnsi="Times New Roman"/>
                <w:color w:val="000000"/>
                <w:sz w:val="20"/>
              </w:rPr>
              <w:t>Class A common stock – 500 million shares authorized, $0.001 par value, 90.6 million shares issued</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91</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611,483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613,278</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288" w:right="0" w:hanging="0"/>
              <w:jc w:val="left"/>
              <w:rPr>
                <w:rFonts w:ascii="Times New Roman" w:hAnsi="Times New Roman"/>
                <w:color w:val="000000"/>
                <w:sz w:val="20"/>
              </w:rPr>
            </w:pPr>
            <w:r>
              <w:rPr>
                <w:rFonts w:ascii="Times New Roman" w:hAnsi="Times New Roman"/>
                <w:color w:val="000000"/>
                <w:sz w:val="20"/>
              </w:rPr>
              <w:t>Treasury stock, at cost – 40.7 million and 41.1 million shares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(1,559,080</w:t>
            </w:r>
          </w:p>
        </w:tc>
        <w:tc>
          <w:tcPr>
            <w:tcW w:w="8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(1,569,061</w:t>
            </w:r>
          </w:p>
        </w:tc>
        <w:tc>
          <w:tcPr>
            <w:tcW w:w="97"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7715"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Accumulated other comprehensive loss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(91,005</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(86,509</w:t>
            </w:r>
          </w:p>
        </w:tc>
        <w:tc>
          <w:tcPr>
            <w:tcW w:w="97"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7715" w:type="dxa"/>
            <w:tcBorders/>
            <w:shd w:fill="auto"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Retained earnings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1,931,481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1,939,497</w:t>
            </w:r>
          </w:p>
        </w:tc>
        <w:tc>
          <w:tcPr>
            <w:tcW w:w="97" w:type="dxa"/>
            <w:tcBorders/>
            <w:shd w:fill="auto" w:val="clear"/>
            <w:vAlign w:val="bottom"/>
          </w:tcPr>
          <w:p>
            <w:pPr>
              <w:pStyle w:val="TableContents"/>
              <w:spacing w:before="0" w:after="283"/>
              <w:jc w:val="left"/>
              <w:rPr/>
            </w:pPr>
            <w:r>
              <w:rPr/>
              <w:t> </w:t>
            </w:r>
          </w:p>
        </w:tc>
      </w:tr>
      <w:tr>
        <w:trPr/>
        <w:tc>
          <w:tcPr>
            <w:tcW w:w="7715" w:type="dxa"/>
            <w:tcBorders/>
            <w:shd w:fill="CCEEFF"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892,970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897,296</w:t>
            </w:r>
          </w:p>
        </w:tc>
        <w:tc>
          <w:tcPr>
            <w:tcW w:w="97" w:type="dxa"/>
            <w:tcBorders/>
            <w:shd w:fill="CCEEFF" w:val="clear"/>
            <w:vAlign w:val="bottom"/>
          </w:tcPr>
          <w:p>
            <w:pPr>
              <w:pStyle w:val="TableContents"/>
              <w:spacing w:before="0" w:after="283"/>
              <w:jc w:val="left"/>
              <w:rPr/>
            </w:pPr>
            <w:r>
              <w:rPr/>
              <w:t> </w:t>
            </w:r>
          </w:p>
        </w:tc>
      </w:tr>
      <w:tr>
        <w:trPr/>
        <w:tc>
          <w:tcPr>
            <w:tcW w:w="7715" w:type="dxa"/>
            <w:tcBorders/>
            <w:shd w:fill="auto"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1,824,645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1,820,970</w:t>
            </w:r>
          </w:p>
        </w:tc>
        <w:tc>
          <w:tcPr>
            <w:tcW w:w="97"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Times;serif" w:hAnsi="Times New Roman;Times;serif"/>
          <w:b/>
          <w:color w:val="000000"/>
          <w:sz w:val="20"/>
        </w:rPr>
      </w:pPr>
      <w:r>
        <w:rPr>
          <w:rFonts w:ascii="Times New Roman;Times;serif" w:hAnsi="Times New Roman;Times;serif"/>
          <w:b/>
          <w:color w:val="000000"/>
          <w:sz w:val="20"/>
        </w:rPr>
        <w:t>NU SKIN ENTERPRISES, INC.</w:t>
      </w:r>
    </w:p>
    <w:p>
      <w:pPr>
        <w:pStyle w:val="TextBody"/>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Consolidated </w:t>
      </w:r>
      <w:bookmarkStart w:id="4" w:name="StatementsofIncome"/>
      <w:bookmarkEnd w:id="4"/>
      <w:r>
        <w:rPr>
          <w:rFonts w:ascii="Times New Roman;Times;serif" w:hAnsi="Times New Roman;Times;serif"/>
          <w:b/>
          <w:color w:val="000000"/>
          <w:sz w:val="20"/>
        </w:rPr>
        <w:t>Statements of Income (Unaudited)</w:t>
      </w:r>
    </w:p>
    <w:p>
      <w:pPr>
        <w:pStyle w:val="TextBody"/>
        <w:spacing w:before="0" w:after="0"/>
        <w:jc w:val="left"/>
        <w:rPr>
          <w:rFonts w:ascii="Times New Roman;Times;serif" w:hAnsi="Times New Roman;Times;serif"/>
          <w:color w:val="000000"/>
          <w:sz w:val="20"/>
        </w:rPr>
      </w:pPr>
      <w:r>
        <w:rPr>
          <w:rFonts w:ascii="Times New Roman;Times;serif" w:hAnsi="Times New Roman;Times;serif"/>
          <w:color w:val="000000"/>
          <w:sz w:val="20"/>
        </w:rPr>
        <w:t>(U.S. dollars in thousands, except per share amounts)</w:t>
      </w:r>
    </w:p>
    <w:p>
      <w:pPr>
        <w:pStyle w:val="TextBody"/>
        <w:spacing w:before="0" w:after="0"/>
        <w:jc w:val="left"/>
        <w:rPr/>
      </w:pPr>
      <w:r>
        <w:rPr/>
      </w:r>
    </w:p>
    <w:tbl>
      <w:tblPr>
        <w:tblW w:w="6546" w:type="dxa"/>
        <w:jc w:val="left"/>
        <w:tblInd w:w="0" w:type="dxa"/>
        <w:tblCellMar>
          <w:top w:w="0" w:type="dxa"/>
          <w:left w:w="0" w:type="dxa"/>
          <w:bottom w:w="0" w:type="dxa"/>
          <w:right w:w="0" w:type="dxa"/>
        </w:tblCellMar>
      </w:tblPr>
      <w:tblGrid>
        <w:gridCol w:w="4445"/>
        <w:gridCol w:w="60"/>
        <w:gridCol w:w="125"/>
        <w:gridCol w:w="698"/>
        <w:gridCol w:w="80"/>
        <w:gridCol w:w="60"/>
        <w:gridCol w:w="125"/>
        <w:gridCol w:w="698"/>
        <w:gridCol w:w="255"/>
      </w:tblGrid>
      <w:tr>
        <w:trPr/>
        <w:tc>
          <w:tcPr>
            <w:tcW w:w="44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86"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spacing w:before="0" w:after="0"/>
              <w:jc w:val="center"/>
              <w:rPr>
                <w:rFonts w:ascii="Times New Roman;Times;serif" w:hAnsi="Times New Roman;Times;serif"/>
                <w:color w:val="000000"/>
                <w:sz w:val="20"/>
              </w:rPr>
            </w:pPr>
            <w:r>
              <w:rPr>
                <w:rFonts w:ascii="Times New Roman;Times;serif" w:hAnsi="Times New Roman;Times;serif"/>
                <w:b/>
                <w:color w:val="000000"/>
                <w:sz w:val="20"/>
              </w:rPr>
              <w:t>March 31</w:t>
            </w:r>
            <w:r>
              <w:rPr>
                <w:rFonts w:ascii="Times New Roman;Times;serif" w:hAnsi="Times New Roman;Times;serif"/>
                <w:color w:val="000000"/>
                <w:sz w:val="20"/>
              </w:rPr>
              <w:t>,</w:t>
            </w:r>
          </w:p>
        </w:tc>
        <w:tc>
          <w:tcPr>
            <w:tcW w:w="255" w:type="dxa"/>
            <w:tcBorders/>
            <w:shd w:fill="auto" w:val="clear"/>
            <w:vAlign w:val="bottom"/>
          </w:tcPr>
          <w:p>
            <w:pPr>
              <w:pStyle w:val="TableContents"/>
              <w:spacing w:before="0" w:after="283"/>
              <w:jc w:val="left"/>
              <w:rPr/>
            </w:pPr>
            <w:r>
              <w:rPr/>
              <w:t> </w:t>
            </w:r>
          </w:p>
        </w:tc>
      </w:tr>
      <w:tr>
        <w:trPr/>
        <w:tc>
          <w:tcPr>
            <w:tcW w:w="4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3"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3"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255" w:type="dxa"/>
            <w:tcBorders/>
            <w:shd w:fill="auto" w:val="clear"/>
            <w:vAlign w:val="bottom"/>
          </w:tcPr>
          <w:p>
            <w:pPr>
              <w:pStyle w:val="TableContents"/>
              <w:spacing w:before="0" w:after="283"/>
              <w:jc w:val="left"/>
              <w:rPr/>
            </w:pPr>
            <w:r>
              <w:rPr/>
              <w:t> </w:t>
            </w:r>
          </w:p>
        </w:tc>
      </w:tr>
      <w:tr>
        <w:trPr/>
        <w:tc>
          <w:tcPr>
            <w:tcW w:w="4445"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481,462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604,899</w:t>
            </w:r>
          </w:p>
        </w:tc>
        <w:tc>
          <w:tcPr>
            <w:tcW w:w="255" w:type="dxa"/>
            <w:tcBorders/>
            <w:shd w:fill="CCEEFF" w:val="clear"/>
            <w:vAlign w:val="bottom"/>
          </w:tcPr>
          <w:p>
            <w:pPr>
              <w:pStyle w:val="TableContents"/>
              <w:spacing w:before="0" w:after="283"/>
              <w:jc w:val="left"/>
              <w:rPr/>
            </w:pPr>
            <w:r>
              <w:rPr/>
              <w:t> </w:t>
            </w:r>
          </w:p>
        </w:tc>
      </w:tr>
      <w:tr>
        <w:trPr/>
        <w:tc>
          <w:tcPr>
            <w:tcW w:w="4445"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Cost of sales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133,588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161,499</w:t>
            </w:r>
          </w:p>
        </w:tc>
        <w:tc>
          <w:tcPr>
            <w:tcW w:w="255" w:type="dxa"/>
            <w:tcBorders/>
            <w:shd w:fill="auto" w:val="clear"/>
            <w:vAlign w:val="bottom"/>
          </w:tcPr>
          <w:p>
            <w:pPr>
              <w:pStyle w:val="TableContents"/>
              <w:spacing w:before="0" w:after="283"/>
              <w:jc w:val="left"/>
              <w:rPr/>
            </w:pPr>
            <w:r>
              <w:rPr/>
              <w:t> </w:t>
            </w:r>
          </w:p>
        </w:tc>
      </w:tr>
      <w:tr>
        <w:trPr/>
        <w:tc>
          <w:tcPr>
            <w:tcW w:w="4445"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Gross profit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347,874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443,400</w:t>
            </w:r>
          </w:p>
        </w:tc>
        <w:tc>
          <w:tcPr>
            <w:tcW w:w="255" w:type="dxa"/>
            <w:tcBorders/>
            <w:shd w:fill="CCEEFF" w:val="clear"/>
            <w:vAlign w:val="bottom"/>
          </w:tcPr>
          <w:p>
            <w:pPr>
              <w:pStyle w:val="TableContents"/>
              <w:spacing w:before="0" w:after="283"/>
              <w:jc w:val="left"/>
              <w:rPr/>
            </w:pPr>
            <w:r>
              <w:rPr/>
              <w:t> </w:t>
            </w:r>
          </w:p>
        </w:tc>
      </w:tr>
      <w:tr>
        <w:trPr/>
        <w:tc>
          <w:tcPr>
            <w:tcW w:w="4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jc w:val="left"/>
              <w:rPr/>
            </w:pPr>
            <w:r>
              <w:rPr/>
              <w:t> </w:t>
            </w:r>
          </w:p>
        </w:tc>
      </w:tr>
      <w:tr>
        <w:trPr/>
        <w:tc>
          <w:tcPr>
            <w:tcW w:w="4445"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jc w:val="left"/>
              <w:rPr/>
            </w:pPr>
            <w:r>
              <w:rPr/>
              <w:t> </w:t>
            </w:r>
          </w:p>
        </w:tc>
      </w:tr>
      <w:tr>
        <w:trPr/>
        <w:tc>
          <w:tcPr>
            <w:tcW w:w="4445" w:type="dxa"/>
            <w:tcBorders/>
            <w:shd w:fill="auto" w:val="clear"/>
            <w:vAlign w:val="bottom"/>
          </w:tcPr>
          <w:p>
            <w:pPr>
              <w:pStyle w:val="TableContents"/>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Selling expenses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188,124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242,699</w:t>
            </w:r>
          </w:p>
        </w:tc>
        <w:tc>
          <w:tcPr>
            <w:tcW w:w="255" w:type="dxa"/>
            <w:tcBorders/>
            <w:shd w:fill="auto" w:val="clear"/>
            <w:vAlign w:val="bottom"/>
          </w:tcPr>
          <w:p>
            <w:pPr>
              <w:pStyle w:val="TableContents"/>
              <w:spacing w:before="0" w:after="283"/>
              <w:jc w:val="left"/>
              <w:rPr/>
            </w:pPr>
            <w:r>
              <w:rPr/>
              <w:t> </w:t>
            </w:r>
          </w:p>
        </w:tc>
      </w:tr>
      <w:tr>
        <w:trPr/>
        <w:tc>
          <w:tcPr>
            <w:tcW w:w="4445" w:type="dxa"/>
            <w:tcBorders/>
            <w:shd w:fill="CCEEFF" w:val="clear"/>
            <w:vAlign w:val="bottom"/>
          </w:tcPr>
          <w:p>
            <w:pPr>
              <w:pStyle w:val="TableContents"/>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133,899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148,556</w:t>
            </w:r>
          </w:p>
        </w:tc>
        <w:tc>
          <w:tcPr>
            <w:tcW w:w="255" w:type="dxa"/>
            <w:tcBorders/>
            <w:shd w:fill="CCEEFF" w:val="clear"/>
            <w:vAlign w:val="bottom"/>
          </w:tcPr>
          <w:p>
            <w:pPr>
              <w:pStyle w:val="TableContents"/>
              <w:spacing w:before="0" w:after="283"/>
              <w:ind w:left="0" w:right="0" w:firstLine="180"/>
              <w:jc w:val="left"/>
              <w:rPr/>
            </w:pPr>
            <w:r>
              <w:rPr/>
              <w:t> </w:t>
            </w:r>
          </w:p>
        </w:tc>
      </w:tr>
      <w:tr>
        <w:trPr/>
        <w:tc>
          <w:tcPr>
            <w:tcW w:w="4445" w:type="dxa"/>
            <w:tcBorders/>
            <w:shd w:fill="auto" w:val="clear"/>
            <w:vAlign w:val="bottom"/>
          </w:tcPr>
          <w:p>
            <w:pPr>
              <w:pStyle w:val="TableContents"/>
              <w:spacing w:before="0" w:after="283"/>
              <w:jc w:val="left"/>
              <w:rPr/>
            </w:pPr>
            <w:r>
              <w:rPr/>
              <w:t>Restructuring and impairment expenses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283"/>
              <w:jc w:val="right"/>
              <w:rPr/>
            </w:pPr>
            <w:r>
              <w:rPr/>
              <w:t>9,787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255" w:type="dxa"/>
            <w:tcBorders/>
            <w:shd w:fill="auto" w:val="clear"/>
            <w:vAlign w:val="bottom"/>
          </w:tcPr>
          <w:p>
            <w:pPr>
              <w:pStyle w:val="TableContents"/>
              <w:spacing w:before="0" w:after="283"/>
              <w:jc w:val="left"/>
              <w:rPr/>
            </w:pPr>
            <w:r>
              <w:rPr/>
              <w:t> </w:t>
            </w:r>
          </w:p>
        </w:tc>
      </w:tr>
      <w:tr>
        <w:trPr/>
        <w:tc>
          <w:tcPr>
            <w:tcW w:w="4445"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331,810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391,255</w:t>
            </w:r>
          </w:p>
        </w:tc>
        <w:tc>
          <w:tcPr>
            <w:tcW w:w="255" w:type="dxa"/>
            <w:tcBorders/>
            <w:shd w:fill="CCEEFF" w:val="clear"/>
            <w:vAlign w:val="bottom"/>
          </w:tcPr>
          <w:p>
            <w:pPr>
              <w:pStyle w:val="TableContents"/>
              <w:spacing w:before="0" w:after="283"/>
              <w:jc w:val="left"/>
              <w:rPr/>
            </w:pPr>
            <w:r>
              <w:rPr/>
              <w:t> </w:t>
            </w:r>
          </w:p>
        </w:tc>
      </w:tr>
      <w:tr>
        <w:trPr/>
        <w:tc>
          <w:tcPr>
            <w:tcW w:w="4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jc w:val="left"/>
              <w:rPr/>
            </w:pPr>
            <w:r>
              <w:rPr/>
              <w:t> </w:t>
            </w:r>
          </w:p>
        </w:tc>
      </w:tr>
      <w:tr>
        <w:trPr/>
        <w:tc>
          <w:tcPr>
            <w:tcW w:w="4445"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16,064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52,145</w:t>
            </w:r>
          </w:p>
        </w:tc>
        <w:tc>
          <w:tcPr>
            <w:tcW w:w="255" w:type="dxa"/>
            <w:tcBorders/>
            <w:shd w:fill="CCEEFF" w:val="clear"/>
            <w:vAlign w:val="bottom"/>
          </w:tcPr>
          <w:p>
            <w:pPr>
              <w:pStyle w:val="TableContents"/>
              <w:spacing w:before="0" w:after="283"/>
              <w:jc w:val="left"/>
              <w:rPr/>
            </w:pPr>
            <w:r>
              <w:rPr/>
              <w:t> </w:t>
            </w:r>
          </w:p>
        </w:tc>
      </w:tr>
      <w:tr>
        <w:trPr/>
        <w:tc>
          <w:tcPr>
            <w:tcW w:w="4445"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(1,476</w:t>
            </w:r>
          </w:p>
        </w:tc>
        <w:tc>
          <w:tcPr>
            <w:tcW w:w="8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(1,453</w:t>
            </w:r>
          </w:p>
        </w:tc>
        <w:tc>
          <w:tcPr>
            <w:tcW w:w="25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4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jc w:val="left"/>
              <w:rPr/>
            </w:pPr>
            <w:r>
              <w:rPr/>
              <w:t> </w:t>
            </w:r>
          </w:p>
        </w:tc>
      </w:tr>
      <w:tr>
        <w:trPr/>
        <w:tc>
          <w:tcPr>
            <w:tcW w:w="4445"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Income before provision for income taxes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14,588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50,692</w:t>
            </w:r>
          </w:p>
        </w:tc>
        <w:tc>
          <w:tcPr>
            <w:tcW w:w="255" w:type="dxa"/>
            <w:tcBorders/>
            <w:shd w:fill="auto" w:val="clear"/>
            <w:vAlign w:val="bottom"/>
          </w:tcPr>
          <w:p>
            <w:pPr>
              <w:pStyle w:val="TableContents"/>
              <w:spacing w:before="0" w:after="283"/>
              <w:jc w:val="left"/>
              <w:rPr/>
            </w:pPr>
            <w:r>
              <w:rPr/>
              <w:t> </w:t>
            </w:r>
          </w:p>
        </w:tc>
      </w:tr>
      <w:tr>
        <w:trPr/>
        <w:tc>
          <w:tcPr>
            <w:tcW w:w="4445"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Provision for income taxes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3,212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11,976</w:t>
            </w:r>
          </w:p>
        </w:tc>
        <w:tc>
          <w:tcPr>
            <w:tcW w:w="255" w:type="dxa"/>
            <w:tcBorders/>
            <w:shd w:fill="CCEEFF" w:val="clear"/>
            <w:vAlign w:val="bottom"/>
          </w:tcPr>
          <w:p>
            <w:pPr>
              <w:pStyle w:val="TableContents"/>
              <w:spacing w:before="0" w:after="283"/>
              <w:jc w:val="left"/>
              <w:rPr/>
            </w:pPr>
            <w:r>
              <w:rPr/>
              <w:t> </w:t>
            </w:r>
          </w:p>
        </w:tc>
      </w:tr>
      <w:tr>
        <w:trPr/>
        <w:tc>
          <w:tcPr>
            <w:tcW w:w="4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jc w:val="left"/>
              <w:rPr/>
            </w:pPr>
            <w:r>
              <w:rPr/>
              <w:t> </w:t>
            </w:r>
          </w:p>
        </w:tc>
      </w:tr>
      <w:tr>
        <w:trPr/>
        <w:tc>
          <w:tcPr>
            <w:tcW w:w="4445"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11,376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38,716</w:t>
            </w:r>
          </w:p>
        </w:tc>
        <w:tc>
          <w:tcPr>
            <w:tcW w:w="255" w:type="dxa"/>
            <w:tcBorders/>
            <w:shd w:fill="CCEEFF" w:val="clear"/>
            <w:vAlign w:val="bottom"/>
          </w:tcPr>
          <w:p>
            <w:pPr>
              <w:pStyle w:val="TableContents"/>
              <w:spacing w:before="0" w:after="283"/>
              <w:jc w:val="left"/>
              <w:rPr/>
            </w:pPr>
            <w:r>
              <w:rPr/>
              <w:t> </w:t>
            </w:r>
          </w:p>
        </w:tc>
      </w:tr>
      <w:tr>
        <w:trPr/>
        <w:tc>
          <w:tcPr>
            <w:tcW w:w="4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jc w:val="left"/>
              <w:rPr/>
            </w:pPr>
            <w:r>
              <w:rPr/>
              <w:t> </w:t>
            </w:r>
          </w:p>
        </w:tc>
      </w:tr>
      <w:tr>
        <w:trPr/>
        <w:tc>
          <w:tcPr>
            <w:tcW w:w="4445"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Net income per share (Note 6):</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jc w:val="left"/>
              <w:rPr/>
            </w:pPr>
            <w:r>
              <w:rPr/>
              <w:t> </w:t>
            </w:r>
          </w:p>
        </w:tc>
      </w:tr>
      <w:tr>
        <w:trPr/>
        <w:tc>
          <w:tcPr>
            <w:tcW w:w="4445" w:type="dxa"/>
            <w:tcBorders/>
            <w:shd w:fill="auto" w:val="clear"/>
            <w:vAlign w:val="bottom"/>
          </w:tcPr>
          <w:p>
            <w:pPr>
              <w:pStyle w:val="TableContents"/>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0.77</w:t>
            </w:r>
          </w:p>
        </w:tc>
        <w:tc>
          <w:tcPr>
            <w:tcW w:w="255" w:type="dxa"/>
            <w:tcBorders/>
            <w:shd w:fill="auto" w:val="clear"/>
            <w:vAlign w:val="bottom"/>
          </w:tcPr>
          <w:p>
            <w:pPr>
              <w:pStyle w:val="TableContents"/>
              <w:spacing w:before="0" w:after="283"/>
              <w:jc w:val="left"/>
              <w:rPr/>
            </w:pPr>
            <w:r>
              <w:rPr/>
              <w:t> </w:t>
            </w:r>
          </w:p>
        </w:tc>
      </w:tr>
      <w:tr>
        <w:trPr/>
        <w:tc>
          <w:tcPr>
            <w:tcW w:w="4445" w:type="dxa"/>
            <w:tcBorders/>
            <w:shd w:fill="CCEEFF" w:val="clear"/>
            <w:vAlign w:val="bottom"/>
          </w:tcPr>
          <w:p>
            <w:pPr>
              <w:pStyle w:val="TableContents"/>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0.23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8"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0.76</w:t>
            </w:r>
          </w:p>
        </w:tc>
        <w:tc>
          <w:tcPr>
            <w:tcW w:w="255" w:type="dxa"/>
            <w:tcBorders/>
            <w:shd w:fill="CCEEFF" w:val="clear"/>
            <w:vAlign w:val="bottom"/>
          </w:tcPr>
          <w:p>
            <w:pPr>
              <w:pStyle w:val="TableContents"/>
              <w:spacing w:before="0" w:after="283"/>
              <w:jc w:val="left"/>
              <w:rPr/>
            </w:pPr>
            <w:r>
              <w:rPr/>
              <w:t> </w:t>
            </w:r>
          </w:p>
        </w:tc>
      </w:tr>
      <w:tr>
        <w:trPr/>
        <w:tc>
          <w:tcPr>
            <w:tcW w:w="4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jc w:val="left"/>
              <w:rPr/>
            </w:pPr>
            <w:r>
              <w:rPr/>
              <w:t> </w:t>
            </w:r>
          </w:p>
        </w:tc>
      </w:tr>
      <w:tr>
        <w:trPr/>
        <w:tc>
          <w:tcPr>
            <w:tcW w:w="4445"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Weighted-average common shares outstanding (000s):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jc w:val="left"/>
              <w:rPr/>
            </w:pPr>
            <w:r>
              <w:rPr/>
              <w:t> </w:t>
            </w:r>
          </w:p>
        </w:tc>
      </w:tr>
      <w:tr>
        <w:trPr/>
        <w:tc>
          <w:tcPr>
            <w:tcW w:w="4445" w:type="dxa"/>
            <w:tcBorders/>
            <w:shd w:fill="auto" w:val="clear"/>
            <w:vAlign w:val="bottom"/>
          </w:tcPr>
          <w:p>
            <w:pPr>
              <w:pStyle w:val="TableContents"/>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49,644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49,991</w:t>
            </w:r>
          </w:p>
        </w:tc>
        <w:tc>
          <w:tcPr>
            <w:tcW w:w="255" w:type="dxa"/>
            <w:tcBorders/>
            <w:shd w:fill="auto" w:val="clear"/>
            <w:vAlign w:val="bottom"/>
          </w:tcPr>
          <w:p>
            <w:pPr>
              <w:pStyle w:val="TableContents"/>
              <w:spacing w:before="0" w:after="283"/>
              <w:jc w:val="left"/>
              <w:rPr/>
            </w:pPr>
            <w:r>
              <w:rPr/>
              <w:t> </w:t>
            </w:r>
          </w:p>
        </w:tc>
      </w:tr>
      <w:tr>
        <w:trPr/>
        <w:tc>
          <w:tcPr>
            <w:tcW w:w="4445" w:type="dxa"/>
            <w:tcBorders/>
            <w:shd w:fill="CCEEFF" w:val="clear"/>
            <w:vAlign w:val="bottom"/>
          </w:tcPr>
          <w:p>
            <w:pPr>
              <w:pStyle w:val="TableContents"/>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50,058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51,066</w:t>
            </w:r>
          </w:p>
        </w:tc>
        <w:tc>
          <w:tcPr>
            <w:tcW w:w="25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these consolidated financial statements.</w:t>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Times;serif" w:hAnsi="Times New Roman;Times;serif"/>
          <w:b/>
          <w:color w:val="000000"/>
          <w:sz w:val="20"/>
        </w:rPr>
      </w:pPr>
      <w:r>
        <w:rPr>
          <w:rFonts w:ascii="Times New Roman;Times;serif" w:hAnsi="Times New Roman;Times;serif"/>
          <w:b/>
          <w:color w:val="000000"/>
          <w:sz w:val="20"/>
        </w:rPr>
        <w:t>NU SKIN ENTERPRISES, INC.</w:t>
      </w:r>
    </w:p>
    <w:p>
      <w:pPr>
        <w:pStyle w:val="TextBody"/>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w:t>
      </w:r>
      <w:bookmarkStart w:id="5" w:name="ComprehensiveIncome"/>
      <w:bookmarkEnd w:id="5"/>
      <w:r>
        <w:rPr>
          <w:rFonts w:ascii="Times New Roman;Times;serif" w:hAnsi="Times New Roman;Times;serif"/>
          <w:b/>
          <w:color w:val="000000"/>
          <w:sz w:val="20"/>
        </w:rPr>
        <w:t>Comprehensive Income (Unaudited)</w:t>
      </w:r>
    </w:p>
    <w:p>
      <w:pPr>
        <w:pStyle w:val="TextBody"/>
        <w:spacing w:before="0" w:after="0"/>
        <w:jc w:val="left"/>
        <w:rPr>
          <w:rFonts w:ascii="Times New Roman;Times;serif" w:hAnsi="Times New Roman;Times;serif"/>
          <w:color w:val="000000"/>
          <w:sz w:val="20"/>
        </w:rPr>
      </w:pPr>
      <w:r>
        <w:rPr>
          <w:rFonts w:ascii="Times New Roman;Times;serif" w:hAnsi="Times New Roman;Times;serif"/>
          <w:color w:val="000000"/>
          <w:sz w:val="20"/>
        </w:rPr>
        <w:t>(U.S. dollars in thousands)</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8357"/>
        <w:gridCol w:w="60"/>
        <w:gridCol w:w="134"/>
        <w:gridCol w:w="636"/>
        <w:gridCol w:w="86"/>
        <w:gridCol w:w="64"/>
        <w:gridCol w:w="134"/>
        <w:gridCol w:w="636"/>
        <w:gridCol w:w="98"/>
      </w:tblGrid>
      <w:tr>
        <w:trPr/>
        <w:tc>
          <w:tcPr>
            <w:tcW w:w="83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9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98" w:type="dxa"/>
            <w:tcBorders/>
            <w:shd w:fill="auto" w:val="clear"/>
            <w:vAlign w:val="bottom"/>
          </w:tcPr>
          <w:p>
            <w:pPr>
              <w:pStyle w:val="TableContents"/>
              <w:spacing w:before="0" w:after="283"/>
              <w:jc w:val="left"/>
              <w:rPr/>
            </w:pPr>
            <w:r>
              <w:rPr/>
              <w:t> </w:t>
            </w:r>
          </w:p>
        </w:tc>
      </w:tr>
      <w:tr>
        <w:trPr/>
        <w:tc>
          <w:tcPr>
            <w:tcW w:w="83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86" w:type="dxa"/>
            <w:tcBorders/>
            <w:shd w:fill="auto" w:val="clear"/>
            <w:vAlign w:val="bottom"/>
          </w:tcPr>
          <w:p>
            <w:pPr>
              <w:pStyle w:val="TableContents"/>
              <w:spacing w:before="0" w:after="283"/>
              <w:jc w:val="left"/>
              <w:rPr/>
            </w:pPr>
            <w:r>
              <w:rPr/>
              <w:t> </w:t>
            </w:r>
          </w:p>
        </w:tc>
        <w:tc>
          <w:tcPr>
            <w:tcW w:w="64" w:type="dxa"/>
            <w:tcBorders/>
            <w:shd w:fill="auto" w:val="clear"/>
            <w:vAlign w:val="bottom"/>
          </w:tcPr>
          <w:p>
            <w:pPr>
              <w:pStyle w:val="TableContents"/>
              <w:spacing w:before="0" w:after="283"/>
              <w:rPr/>
            </w:pPr>
            <w:r>
              <w:rPr/>
              <w:t> </w:t>
            </w:r>
          </w:p>
        </w:tc>
        <w:tc>
          <w:tcPr>
            <w:tcW w:w="7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98" w:type="dxa"/>
            <w:tcBorders/>
            <w:shd w:fill="auto" w:val="clear"/>
            <w:vAlign w:val="bottom"/>
          </w:tcPr>
          <w:p>
            <w:pPr>
              <w:pStyle w:val="TableContents"/>
              <w:spacing w:before="0" w:after="283"/>
              <w:jc w:val="left"/>
              <w:rPr/>
            </w:pPr>
            <w:r>
              <w:rPr/>
              <w:t> </w:t>
            </w:r>
          </w:p>
        </w:tc>
      </w:tr>
      <w:tr>
        <w:trPr/>
        <w:tc>
          <w:tcPr>
            <w:tcW w:w="8357"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60" w:type="dxa"/>
            <w:tcBorders/>
            <w:shd w:fill="CCEEFF" w:val="clear"/>
            <w:vAlign w:val="bottom"/>
          </w:tcPr>
          <w:p>
            <w:pPr>
              <w:pStyle w:val="TableContents"/>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3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11,376</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3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38,716</w:t>
            </w:r>
          </w:p>
        </w:tc>
        <w:tc>
          <w:tcPr>
            <w:tcW w:w="98" w:type="dxa"/>
            <w:tcBorders/>
            <w:shd w:fill="CCEEFF" w:val="clear"/>
            <w:vAlign w:val="bottom"/>
          </w:tcPr>
          <w:p>
            <w:pPr>
              <w:pStyle w:val="TableContents"/>
              <w:spacing w:before="0" w:after="283"/>
              <w:jc w:val="left"/>
              <w:rPr/>
            </w:pPr>
            <w:r>
              <w:rPr/>
              <w:t> </w:t>
            </w:r>
          </w:p>
        </w:tc>
      </w:tr>
      <w:tr>
        <w:trPr/>
        <w:tc>
          <w:tcPr>
            <w:tcW w:w="83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636" w:type="dxa"/>
            <w:tcBorders/>
            <w:shd w:fill="auto" w:val="clear"/>
            <w:vAlign w:val="bottom"/>
          </w:tcPr>
          <w:p>
            <w:pPr>
              <w:pStyle w:val="TableContents"/>
              <w:spacing w:before="0" w:after="283"/>
              <w:jc w:val="right"/>
              <w:rPr/>
            </w:pPr>
            <w:r>
              <w:rPr/>
              <w:t> </w:t>
            </w:r>
          </w:p>
        </w:tc>
        <w:tc>
          <w:tcPr>
            <w:tcW w:w="86" w:type="dxa"/>
            <w:tcBorders/>
            <w:shd w:fill="auto" w:val="clear"/>
            <w:vAlign w:val="bottom"/>
          </w:tcPr>
          <w:p>
            <w:pPr>
              <w:pStyle w:val="TableContents"/>
              <w:spacing w:before="0" w:after="283"/>
              <w:jc w:val="left"/>
              <w:rPr/>
            </w:pPr>
            <w:r>
              <w:rPr/>
              <w:t> </w:t>
            </w:r>
          </w:p>
        </w:tc>
        <w:tc>
          <w:tcPr>
            <w:tcW w:w="64"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636"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jc w:val="left"/>
              <w:rPr/>
            </w:pPr>
            <w:r>
              <w:rPr/>
              <w:t> </w:t>
            </w:r>
          </w:p>
        </w:tc>
      </w:tr>
      <w:tr>
        <w:trPr/>
        <w:tc>
          <w:tcPr>
            <w:tcW w:w="8357"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Other comprehensive (loss) income, net of tax:</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jc w:val="left"/>
              <w:rPr/>
            </w:pPr>
            <w:r>
              <w:rPr/>
              <w:t> </w:t>
            </w:r>
          </w:p>
        </w:tc>
        <w:tc>
          <w:tcPr>
            <w:tcW w:w="64"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jc w:val="left"/>
              <w:rPr/>
            </w:pPr>
            <w:r>
              <w:rPr/>
              <w:t> </w:t>
            </w:r>
          </w:p>
        </w:tc>
      </w:tr>
      <w:tr>
        <w:trPr/>
        <w:tc>
          <w:tcPr>
            <w:tcW w:w="8357" w:type="dxa"/>
            <w:tcBorders/>
            <w:shd w:fill="auto" w:val="clear"/>
            <w:vAlign w:val="bottom"/>
          </w:tcPr>
          <w:p>
            <w:pPr>
              <w:pStyle w:val="TableContents"/>
              <w:spacing w:before="0" w:after="0"/>
              <w:ind w:left="288"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adjustment, net of taxes of $(68) and $(7) for the three months ended March 31, 2023 and 2022, respectively</w:t>
            </w:r>
          </w:p>
        </w:tc>
        <w:tc>
          <w:tcPr>
            <w:tcW w:w="60"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636"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(2,139</w:t>
            </w:r>
          </w:p>
        </w:tc>
        <w:tc>
          <w:tcPr>
            <w:tcW w:w="86"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4"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636"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(1,960</w:t>
            </w:r>
          </w:p>
        </w:tc>
        <w:tc>
          <w:tcPr>
            <w:tcW w:w="98"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8357" w:type="dxa"/>
            <w:tcBorders/>
            <w:shd w:fill="CCEEFF" w:val="clear"/>
            <w:vAlign w:val="bottom"/>
          </w:tcPr>
          <w:p>
            <w:pPr>
              <w:pStyle w:val="TableContents"/>
              <w:spacing w:before="0" w:after="0"/>
              <w:ind w:left="288" w:right="0" w:hanging="0"/>
              <w:jc w:val="left"/>
              <w:rPr>
                <w:rFonts w:ascii="Times New Roman;Times;serif" w:hAnsi="Times New Roman;Times;serif"/>
                <w:color w:val="000000"/>
                <w:sz w:val="20"/>
              </w:rPr>
            </w:pPr>
            <w:r>
              <w:rPr>
                <w:rFonts w:ascii="Times New Roman;Times;serif" w:hAnsi="Times New Roman;Times;serif"/>
                <w:color w:val="000000"/>
                <w:sz w:val="20"/>
              </w:rPr>
              <w:t>Net unrealized gains/(losses) on cash flow hedges, net of taxes of $175 and $(1,743) for the three months ended March 31, 2023 and 2022, respectively</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(635</w:t>
            </w:r>
          </w:p>
        </w:tc>
        <w:tc>
          <w:tcPr>
            <w:tcW w:w="86"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4"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636"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6,314</w:t>
            </w:r>
          </w:p>
        </w:tc>
        <w:tc>
          <w:tcPr>
            <w:tcW w:w="98" w:type="dxa"/>
            <w:tcBorders/>
            <w:shd w:fill="CCEEFF" w:val="clear"/>
            <w:vAlign w:val="bottom"/>
          </w:tcPr>
          <w:p>
            <w:pPr>
              <w:pStyle w:val="TableContents"/>
              <w:spacing w:before="0" w:after="283"/>
              <w:jc w:val="left"/>
              <w:rPr/>
            </w:pPr>
            <w:r>
              <w:rPr/>
              <w:t> </w:t>
            </w:r>
          </w:p>
        </w:tc>
      </w:tr>
      <w:tr>
        <w:trPr/>
        <w:tc>
          <w:tcPr>
            <w:tcW w:w="8357" w:type="dxa"/>
            <w:tcBorders/>
            <w:shd w:fill="auto" w:val="clear"/>
            <w:vAlign w:val="bottom"/>
          </w:tcPr>
          <w:p>
            <w:pPr>
              <w:pStyle w:val="TableContents"/>
              <w:spacing w:before="0" w:after="0"/>
              <w:ind w:left="288" w:right="0" w:hanging="0"/>
              <w:jc w:val="left"/>
              <w:rPr>
                <w:rFonts w:ascii="Times New Roman;Times;serif" w:hAnsi="Times New Roman;Times;serif"/>
                <w:color w:val="000000"/>
                <w:sz w:val="20"/>
              </w:rPr>
            </w:pPr>
            <w:r>
              <w:rPr>
                <w:rFonts w:ascii="Times New Roman;Times;serif" w:hAnsi="Times New Roman;Times;serif"/>
                <w:color w:val="000000"/>
                <w:sz w:val="20"/>
              </w:rPr>
              <w:t>Reclassification adjustment for realized losses/(gains) in current earnings, net of taxes of $475 and $(4) for the three months ended March 31, 2023 and 2022, respectively</w:t>
            </w:r>
          </w:p>
        </w:tc>
        <w:tc>
          <w:tcPr>
            <w:tcW w:w="60" w:type="dxa"/>
            <w:tcBorders/>
            <w:shd w:fill="auto" w:val="clear"/>
            <w:vAlign w:val="bottom"/>
          </w:tcPr>
          <w:p>
            <w:pPr>
              <w:pStyle w:val="TableContents"/>
              <w:spacing w:before="0" w:after="283"/>
              <w:jc w:val="right"/>
              <w:rPr/>
            </w:pPr>
            <w:r>
              <w:rPr/>
              <w:t> </w:t>
            </w:r>
          </w:p>
        </w:tc>
        <w:tc>
          <w:tcPr>
            <w:tcW w:w="13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36"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(1,722</w:t>
            </w:r>
          </w:p>
        </w:tc>
        <w:tc>
          <w:tcPr>
            <w:tcW w:w="86"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4" w:type="dxa"/>
            <w:tcBorders/>
            <w:shd w:fill="auto" w:val="clear"/>
            <w:vAlign w:val="bottom"/>
          </w:tcPr>
          <w:p>
            <w:pPr>
              <w:pStyle w:val="TableContents"/>
              <w:spacing w:before="0" w:after="283"/>
              <w:jc w:val="right"/>
              <w:rPr/>
            </w:pPr>
            <w:r>
              <w:rPr/>
              <w:t> </w:t>
            </w:r>
          </w:p>
        </w:tc>
        <w:tc>
          <w:tcPr>
            <w:tcW w:w="13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36"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14</w:t>
            </w:r>
          </w:p>
        </w:tc>
        <w:tc>
          <w:tcPr>
            <w:tcW w:w="98" w:type="dxa"/>
            <w:tcBorders/>
            <w:shd w:fill="auto" w:val="clear"/>
            <w:vAlign w:val="bottom"/>
          </w:tcPr>
          <w:p>
            <w:pPr>
              <w:pStyle w:val="TableContents"/>
              <w:spacing w:before="0" w:after="283"/>
              <w:jc w:val="left"/>
              <w:rPr/>
            </w:pPr>
            <w:r>
              <w:rPr/>
              <w:t> </w:t>
            </w:r>
          </w:p>
        </w:tc>
      </w:tr>
      <w:tr>
        <w:trPr/>
        <w:tc>
          <w:tcPr>
            <w:tcW w:w="835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(4,496</w:t>
            </w:r>
          </w:p>
        </w:tc>
        <w:tc>
          <w:tcPr>
            <w:tcW w:w="86"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4" w:type="dxa"/>
            <w:tcBorders/>
            <w:shd w:fill="CCEEFF" w:val="clear"/>
            <w:vAlign w:val="bottom"/>
          </w:tcPr>
          <w:p>
            <w:pPr>
              <w:pStyle w:val="TableContents"/>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4,368</w:t>
            </w:r>
          </w:p>
        </w:tc>
        <w:tc>
          <w:tcPr>
            <w:tcW w:w="98" w:type="dxa"/>
            <w:tcBorders/>
            <w:shd w:fill="CCEEFF" w:val="clear"/>
            <w:vAlign w:val="bottom"/>
          </w:tcPr>
          <w:p>
            <w:pPr>
              <w:pStyle w:val="TableContents"/>
              <w:spacing w:before="0" w:after="283"/>
              <w:jc w:val="left"/>
              <w:rPr/>
            </w:pPr>
            <w:r>
              <w:rPr/>
              <w:t> </w:t>
            </w:r>
          </w:p>
        </w:tc>
      </w:tr>
      <w:tr>
        <w:trPr/>
        <w:tc>
          <w:tcPr>
            <w:tcW w:w="8357"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Comprehensive income</w:t>
            </w:r>
          </w:p>
        </w:tc>
        <w:tc>
          <w:tcPr>
            <w:tcW w:w="60" w:type="dxa"/>
            <w:tcBorders/>
            <w:shd w:fill="auto" w:val="clear"/>
            <w:vAlign w:val="bottom"/>
          </w:tcPr>
          <w:p>
            <w:pPr>
              <w:pStyle w:val="TableContents"/>
              <w:spacing w:before="0" w:after="283"/>
              <w:jc w:val="right"/>
              <w:rPr/>
            </w:pPr>
            <w:r>
              <w:rPr/>
              <w:t> </w:t>
            </w:r>
          </w:p>
        </w:tc>
        <w:tc>
          <w:tcPr>
            <w:tcW w:w="134"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36"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6,880</w:t>
            </w:r>
          </w:p>
        </w:tc>
        <w:tc>
          <w:tcPr>
            <w:tcW w:w="86" w:type="dxa"/>
            <w:tcBorders/>
            <w:shd w:fill="auto" w:val="clear"/>
            <w:vAlign w:val="bottom"/>
          </w:tcPr>
          <w:p>
            <w:pPr>
              <w:pStyle w:val="TableContents"/>
              <w:spacing w:before="0" w:after="283"/>
              <w:jc w:val="left"/>
              <w:rPr/>
            </w:pPr>
            <w:r>
              <w:rPr/>
              <w:t> </w:t>
            </w:r>
          </w:p>
        </w:tc>
        <w:tc>
          <w:tcPr>
            <w:tcW w:w="64" w:type="dxa"/>
            <w:tcBorders/>
            <w:shd w:fill="auto" w:val="clear"/>
            <w:vAlign w:val="bottom"/>
          </w:tcPr>
          <w:p>
            <w:pPr>
              <w:pStyle w:val="TableContents"/>
              <w:spacing w:before="0" w:after="283"/>
              <w:jc w:val="right"/>
              <w:rPr/>
            </w:pPr>
            <w:r>
              <w:rPr/>
              <w:t> </w:t>
            </w:r>
          </w:p>
        </w:tc>
        <w:tc>
          <w:tcPr>
            <w:tcW w:w="134"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36"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43,084</w:t>
            </w:r>
          </w:p>
        </w:tc>
        <w:tc>
          <w:tcPr>
            <w:tcW w:w="98"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these consolidated financial statements.</w:t>
      </w:r>
    </w:p>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Times;serif" w:hAnsi="Times New Roman;Times;serif"/>
          <w:b/>
          <w:color w:val="000000"/>
          <w:sz w:val="20"/>
        </w:rPr>
      </w:pPr>
      <w:r>
        <w:rPr>
          <w:rFonts w:ascii="Times New Roman;Times;serif" w:hAnsi="Times New Roman;Times;serif"/>
          <w:b/>
          <w:color w:val="000000"/>
          <w:sz w:val="20"/>
        </w:rPr>
        <w:t>NU SKIN ENTERPRISES, INC.</w:t>
      </w:r>
    </w:p>
    <w:p>
      <w:pPr>
        <w:pStyle w:val="TextBody"/>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w:t>
      </w:r>
      <w:bookmarkStart w:id="6" w:name="StockholdersEquity"/>
      <w:bookmarkEnd w:id="6"/>
      <w:r>
        <w:rPr>
          <w:rFonts w:ascii="Times New Roman;Times;serif" w:hAnsi="Times New Roman;Times;serif"/>
          <w:b/>
          <w:color w:val="000000"/>
          <w:sz w:val="20"/>
        </w:rPr>
        <w:t>Stockholders’ Equity (Unaudited)</w:t>
      </w:r>
    </w:p>
    <w:p>
      <w:pPr>
        <w:pStyle w:val="TextBody"/>
        <w:spacing w:before="0" w:after="0"/>
        <w:jc w:val="left"/>
        <w:rPr>
          <w:rFonts w:ascii="Times New Roman;Times;serif" w:hAnsi="Times New Roman;Times;serif"/>
          <w:color w:val="000000"/>
          <w:sz w:val="20"/>
        </w:rPr>
      </w:pPr>
      <w:r>
        <w:rPr>
          <w:rFonts w:ascii="Times New Roman;Times;serif" w:hAnsi="Times New Roman;Times;serif"/>
          <w:color w:val="000000"/>
          <w:sz w:val="20"/>
        </w:rPr>
        <w:t>(U.S. dollars in thousands)</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490"/>
        <w:gridCol w:w="60"/>
        <w:gridCol w:w="259"/>
        <w:gridCol w:w="541"/>
        <w:gridCol w:w="60"/>
        <w:gridCol w:w="60"/>
        <w:gridCol w:w="140"/>
        <w:gridCol w:w="780"/>
        <w:gridCol w:w="80"/>
        <w:gridCol w:w="60"/>
        <w:gridCol w:w="125"/>
        <w:gridCol w:w="905"/>
        <w:gridCol w:w="80"/>
        <w:gridCol w:w="60"/>
        <w:gridCol w:w="216"/>
        <w:gridCol w:w="1124"/>
        <w:gridCol w:w="80"/>
        <w:gridCol w:w="60"/>
        <w:gridCol w:w="125"/>
        <w:gridCol w:w="845"/>
        <w:gridCol w:w="80"/>
        <w:gridCol w:w="60"/>
        <w:gridCol w:w="125"/>
        <w:gridCol w:w="695"/>
        <w:gridCol w:w="95"/>
      </w:tblGrid>
      <w:tr>
        <w:trPr/>
        <w:tc>
          <w:tcPr>
            <w:tcW w:w="34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60" w:type="dxa"/>
            <w:gridSpan w:val="2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 the Three Months Ended March 31, 2023</w:t>
            </w:r>
          </w:p>
        </w:tc>
        <w:tc>
          <w:tcPr>
            <w:tcW w:w="95" w:type="dxa"/>
            <w:tcBorders/>
            <w:shd w:fill="auto" w:val="clear"/>
            <w:vAlign w:val="bottom"/>
          </w:tcPr>
          <w:p>
            <w:pPr>
              <w:pStyle w:val="TableContents"/>
              <w:spacing w:before="0" w:after="283"/>
              <w:jc w:val="left"/>
              <w:rPr/>
            </w:pPr>
            <w:r>
              <w:rPr/>
              <w:t> </w:t>
            </w:r>
          </w:p>
        </w:tc>
      </w:tr>
      <w:tr>
        <w:trPr/>
        <w:tc>
          <w:tcPr>
            <w:tcW w:w="34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Class A</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Common</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Additional</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Paid-in</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Capital</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Treasury</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Stock</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Accumulated</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Other</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Comprehensive</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Loss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Retained</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Earnings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Total</w:t>
            </w:r>
          </w:p>
        </w:tc>
        <w:tc>
          <w:tcPr>
            <w:tcW w:w="95" w:type="dxa"/>
            <w:tcBorders/>
            <w:shd w:fill="auto" w:val="clear"/>
            <w:vAlign w:val="bottom"/>
          </w:tcPr>
          <w:p>
            <w:pPr>
              <w:pStyle w:val="TableContents"/>
              <w:spacing w:before="0" w:after="283"/>
              <w:jc w:val="left"/>
              <w:rPr/>
            </w:pPr>
            <w:r>
              <w:rPr/>
              <w:t> </w:t>
            </w:r>
          </w:p>
        </w:tc>
      </w:tr>
      <w:tr>
        <w:trPr/>
        <w:tc>
          <w:tcPr>
            <w:tcW w:w="3490"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Balance at January 1, 2023</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4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8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613,278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0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(1,569,061</w:t>
            </w:r>
          </w:p>
        </w:tc>
        <w:tc>
          <w:tcPr>
            <w:tcW w:w="8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24"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(86,509</w:t>
            </w:r>
          </w:p>
        </w:tc>
        <w:tc>
          <w:tcPr>
            <w:tcW w:w="8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4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1,939,497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897,296</w:t>
            </w:r>
          </w:p>
        </w:tc>
        <w:tc>
          <w:tcPr>
            <w:tcW w:w="95" w:type="dxa"/>
            <w:tcBorders/>
            <w:shd w:fill="CCEEFF" w:val="clear"/>
            <w:vAlign w:val="bottom"/>
          </w:tcPr>
          <w:p>
            <w:pPr>
              <w:pStyle w:val="TableContents"/>
              <w:spacing w:before="0" w:after="283"/>
              <w:jc w:val="left"/>
              <w:rPr/>
            </w:pPr>
            <w:r>
              <w:rPr/>
              <w:t> </w:t>
            </w:r>
          </w:p>
        </w:tc>
      </w:tr>
      <w:tr>
        <w:trPr/>
        <w:tc>
          <w:tcPr>
            <w:tcW w:w="34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54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8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6"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3490"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541"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11,376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11,376</w:t>
            </w:r>
          </w:p>
        </w:tc>
        <w:tc>
          <w:tcPr>
            <w:tcW w:w="95" w:type="dxa"/>
            <w:tcBorders/>
            <w:shd w:fill="CCEEFF" w:val="clear"/>
            <w:vAlign w:val="bottom"/>
          </w:tcPr>
          <w:p>
            <w:pPr>
              <w:pStyle w:val="TableContents"/>
              <w:spacing w:before="0" w:after="283"/>
              <w:jc w:val="left"/>
              <w:rPr/>
            </w:pPr>
            <w:r>
              <w:rPr/>
              <w:t> </w:t>
            </w:r>
          </w:p>
        </w:tc>
      </w:tr>
      <w:tr>
        <w:trPr/>
        <w:tc>
          <w:tcPr>
            <w:tcW w:w="3490"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Other comprehensive loss, net of tax</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541"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8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6"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(4,496</w:t>
            </w:r>
          </w:p>
        </w:tc>
        <w:tc>
          <w:tcPr>
            <w:tcW w:w="8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(4,496</w:t>
            </w:r>
          </w:p>
        </w:tc>
        <w:tc>
          <w:tcPr>
            <w:tcW w:w="9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490"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Repurchase of Class A common stock (Note 6)</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541"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r>
      <w:tr>
        <w:trPr/>
        <w:tc>
          <w:tcPr>
            <w:tcW w:w="3490" w:type="dxa"/>
            <w:tcBorders/>
            <w:shd w:fill="auto" w:val="clear"/>
            <w:vAlign w:val="bottom"/>
          </w:tcPr>
          <w:p>
            <w:pPr>
              <w:pStyle w:val="TableContents"/>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Exercise of employee stock options (0.4 million shares)/vesting of stock awards</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541"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80"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(5,797</w:t>
            </w:r>
          </w:p>
        </w:tc>
        <w:tc>
          <w:tcPr>
            <w:tcW w:w="8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9,981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6"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4,184</w:t>
            </w:r>
          </w:p>
        </w:tc>
        <w:tc>
          <w:tcPr>
            <w:tcW w:w="95" w:type="dxa"/>
            <w:tcBorders/>
            <w:shd w:fill="auto" w:val="clear"/>
            <w:vAlign w:val="bottom"/>
          </w:tcPr>
          <w:p>
            <w:pPr>
              <w:pStyle w:val="TableContents"/>
              <w:spacing w:before="0" w:after="283"/>
              <w:jc w:val="left"/>
              <w:rPr/>
            </w:pPr>
            <w:r>
              <w:rPr/>
              <w:t> </w:t>
            </w:r>
          </w:p>
        </w:tc>
      </w:tr>
      <w:tr>
        <w:trPr/>
        <w:tc>
          <w:tcPr>
            <w:tcW w:w="3490"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541"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4,002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4,002</w:t>
            </w:r>
          </w:p>
        </w:tc>
        <w:tc>
          <w:tcPr>
            <w:tcW w:w="95" w:type="dxa"/>
            <w:tcBorders/>
            <w:shd w:fill="CCEEFF" w:val="clear"/>
            <w:vAlign w:val="bottom"/>
          </w:tcPr>
          <w:p>
            <w:pPr>
              <w:pStyle w:val="TableContents"/>
              <w:spacing w:before="0" w:after="283"/>
              <w:jc w:val="left"/>
              <w:rPr/>
            </w:pPr>
            <w:r>
              <w:rPr/>
              <w:t> </w:t>
            </w:r>
          </w:p>
        </w:tc>
      </w:tr>
      <w:tr>
        <w:trPr/>
        <w:tc>
          <w:tcPr>
            <w:tcW w:w="3490"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Cash dividends</w:t>
            </w:r>
          </w:p>
        </w:tc>
        <w:tc>
          <w:tcPr>
            <w:tcW w:w="60" w:type="dxa"/>
            <w:tcBorders/>
            <w:shd w:fill="auto" w:val="clear"/>
            <w:vAlign w:val="bottom"/>
          </w:tcPr>
          <w:p>
            <w:pPr>
              <w:pStyle w:val="TableContents"/>
              <w:spacing w:before="0" w:after="283"/>
              <w:jc w:val="right"/>
              <w:rPr/>
            </w:pPr>
            <w:r>
              <w:rPr/>
              <w:t> </w:t>
            </w:r>
          </w:p>
        </w:tc>
        <w:tc>
          <w:tcPr>
            <w:tcW w:w="2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4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(19,392</w:t>
            </w:r>
          </w:p>
        </w:tc>
        <w:tc>
          <w:tcPr>
            <w:tcW w:w="8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(19,392</w:t>
            </w:r>
          </w:p>
        </w:tc>
        <w:tc>
          <w:tcPr>
            <w:tcW w:w="9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490" w:type="dxa"/>
            <w:tcBorders/>
            <w:shd w:fill="CCEEFF" w:val="clear"/>
            <w:vAlign w:val="bottom"/>
          </w:tcPr>
          <w:p>
            <w:pPr>
              <w:pStyle w:val="TableContents"/>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Balance at March 31, 2023</w:t>
            </w:r>
          </w:p>
        </w:tc>
        <w:tc>
          <w:tcPr>
            <w:tcW w:w="60" w:type="dxa"/>
            <w:tcBorders/>
            <w:shd w:fill="CCEEFF" w:val="clear"/>
            <w:vAlign w:val="bottom"/>
          </w:tcPr>
          <w:p>
            <w:pPr>
              <w:pStyle w:val="TableContents"/>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41"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80"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611,483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05"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(1,559,080</w:t>
            </w:r>
          </w:p>
        </w:tc>
        <w:tc>
          <w:tcPr>
            <w:tcW w:w="8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spacing w:before="0" w:after="283"/>
              <w:jc w:val="right"/>
              <w:rPr/>
            </w:pPr>
            <w:r>
              <w:rPr/>
              <w:t> </w:t>
            </w:r>
          </w:p>
        </w:tc>
        <w:tc>
          <w:tcPr>
            <w:tcW w:w="216"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24"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(91,005</w:t>
            </w:r>
          </w:p>
        </w:tc>
        <w:tc>
          <w:tcPr>
            <w:tcW w:w="8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45"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1,931,481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892,970</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490"/>
        <w:gridCol w:w="60"/>
        <w:gridCol w:w="259"/>
        <w:gridCol w:w="541"/>
        <w:gridCol w:w="60"/>
        <w:gridCol w:w="60"/>
        <w:gridCol w:w="140"/>
        <w:gridCol w:w="780"/>
        <w:gridCol w:w="80"/>
        <w:gridCol w:w="60"/>
        <w:gridCol w:w="125"/>
        <w:gridCol w:w="905"/>
        <w:gridCol w:w="80"/>
        <w:gridCol w:w="60"/>
        <w:gridCol w:w="216"/>
        <w:gridCol w:w="1124"/>
        <w:gridCol w:w="80"/>
        <w:gridCol w:w="60"/>
        <w:gridCol w:w="125"/>
        <w:gridCol w:w="845"/>
        <w:gridCol w:w="80"/>
        <w:gridCol w:w="60"/>
        <w:gridCol w:w="125"/>
        <w:gridCol w:w="695"/>
        <w:gridCol w:w="95"/>
      </w:tblGrid>
      <w:tr>
        <w:trPr/>
        <w:tc>
          <w:tcPr>
            <w:tcW w:w="34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60" w:type="dxa"/>
            <w:gridSpan w:val="2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 the Three Months Ended March 31, 2022</w:t>
            </w:r>
          </w:p>
        </w:tc>
        <w:tc>
          <w:tcPr>
            <w:tcW w:w="95" w:type="dxa"/>
            <w:tcBorders/>
            <w:shd w:fill="auto" w:val="clear"/>
            <w:vAlign w:val="bottom"/>
          </w:tcPr>
          <w:p>
            <w:pPr>
              <w:pStyle w:val="TableContents"/>
              <w:spacing w:before="0" w:after="283"/>
              <w:jc w:val="left"/>
              <w:rPr/>
            </w:pPr>
            <w:r>
              <w:rPr/>
              <w:t> </w:t>
            </w:r>
          </w:p>
        </w:tc>
      </w:tr>
      <w:tr>
        <w:trPr/>
        <w:tc>
          <w:tcPr>
            <w:tcW w:w="34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Class A</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Common</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Additional</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Paid-in</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Capital</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Treasury</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Stock</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Accumulated</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Other</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Comprehensive</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Loss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Retained</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Earnings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Total</w:t>
            </w:r>
          </w:p>
        </w:tc>
        <w:tc>
          <w:tcPr>
            <w:tcW w:w="95" w:type="dxa"/>
            <w:tcBorders/>
            <w:shd w:fill="auto" w:val="clear"/>
            <w:vAlign w:val="bottom"/>
          </w:tcPr>
          <w:p>
            <w:pPr>
              <w:pStyle w:val="TableContents"/>
              <w:spacing w:before="0" w:after="283"/>
              <w:jc w:val="left"/>
              <w:rPr/>
            </w:pPr>
            <w:r>
              <w:rPr/>
              <w:t> </w:t>
            </w:r>
          </w:p>
        </w:tc>
      </w:tr>
      <w:tr>
        <w:trPr/>
        <w:tc>
          <w:tcPr>
            <w:tcW w:w="3490"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Balance at January 1, 2022</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4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8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601,703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0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(1,526,860</w:t>
            </w:r>
          </w:p>
        </w:tc>
        <w:tc>
          <w:tcPr>
            <w:tcW w:w="8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24"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(73,896</w:t>
            </w:r>
          </w:p>
        </w:tc>
        <w:tc>
          <w:tcPr>
            <w:tcW w:w="8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4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1,911,734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912,772</w:t>
            </w:r>
          </w:p>
        </w:tc>
        <w:tc>
          <w:tcPr>
            <w:tcW w:w="95" w:type="dxa"/>
            <w:tcBorders/>
            <w:shd w:fill="CCEEFF" w:val="clear"/>
            <w:vAlign w:val="bottom"/>
          </w:tcPr>
          <w:p>
            <w:pPr>
              <w:pStyle w:val="TableContents"/>
              <w:spacing w:before="0" w:after="283"/>
              <w:jc w:val="left"/>
              <w:rPr/>
            </w:pPr>
            <w:r>
              <w:rPr/>
              <w:t> </w:t>
            </w:r>
          </w:p>
        </w:tc>
      </w:tr>
      <w:tr>
        <w:trPr/>
        <w:tc>
          <w:tcPr>
            <w:tcW w:w="34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54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8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6"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3490"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541"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38,716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38,716</w:t>
            </w:r>
          </w:p>
        </w:tc>
        <w:tc>
          <w:tcPr>
            <w:tcW w:w="95" w:type="dxa"/>
            <w:tcBorders/>
            <w:shd w:fill="CCEEFF" w:val="clear"/>
            <w:vAlign w:val="bottom"/>
          </w:tcPr>
          <w:p>
            <w:pPr>
              <w:pStyle w:val="TableContents"/>
              <w:spacing w:before="0" w:after="283"/>
              <w:jc w:val="left"/>
              <w:rPr/>
            </w:pPr>
            <w:r>
              <w:rPr/>
              <w:t> </w:t>
            </w:r>
          </w:p>
        </w:tc>
      </w:tr>
      <w:tr>
        <w:trPr/>
        <w:tc>
          <w:tcPr>
            <w:tcW w:w="3490"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Other comprehensive income, net of tax</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541"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8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6"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4,368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4,368</w:t>
            </w:r>
          </w:p>
        </w:tc>
        <w:tc>
          <w:tcPr>
            <w:tcW w:w="95" w:type="dxa"/>
            <w:tcBorders/>
            <w:shd w:fill="auto" w:val="clear"/>
            <w:vAlign w:val="bottom"/>
          </w:tcPr>
          <w:p>
            <w:pPr>
              <w:pStyle w:val="TableContents"/>
              <w:spacing w:before="0" w:after="283"/>
              <w:jc w:val="left"/>
              <w:rPr/>
            </w:pPr>
            <w:r>
              <w:rPr/>
              <w:t> </w:t>
            </w:r>
          </w:p>
        </w:tc>
      </w:tr>
      <w:tr>
        <w:trPr/>
        <w:tc>
          <w:tcPr>
            <w:tcW w:w="3490"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Repurchase of Class A common stock (Note 6)</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541"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(10,006</w:t>
            </w:r>
          </w:p>
        </w:tc>
        <w:tc>
          <w:tcPr>
            <w:tcW w:w="8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(10,006</w:t>
            </w:r>
          </w:p>
        </w:tc>
        <w:tc>
          <w:tcPr>
            <w:tcW w:w="9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490" w:type="dxa"/>
            <w:tcBorders/>
            <w:shd w:fill="auto" w:val="clear"/>
            <w:vAlign w:val="bottom"/>
          </w:tcPr>
          <w:p>
            <w:pPr>
              <w:pStyle w:val="TableContents"/>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Exercise of employee stock options (0.4 million shares)/vesting of stock awards</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541"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80"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(6,572</w:t>
            </w:r>
          </w:p>
        </w:tc>
        <w:tc>
          <w:tcPr>
            <w:tcW w:w="8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0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10,088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6" w:type="dxa"/>
            <w:tcBorders/>
            <w:shd w:fill="auto" w:val="clear"/>
            <w:vAlign w:val="bottom"/>
          </w:tcPr>
          <w:p>
            <w:pPr>
              <w:pStyle w:val="TableContents"/>
              <w:spacing w:before="0" w:after="283"/>
              <w:jc w:val="left"/>
              <w:rPr/>
            </w:pPr>
            <w:r>
              <w:rPr/>
              <w:t> </w:t>
            </w:r>
          </w:p>
        </w:tc>
        <w:tc>
          <w:tcPr>
            <w:tcW w:w="1124"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3,516</w:t>
            </w:r>
          </w:p>
        </w:tc>
        <w:tc>
          <w:tcPr>
            <w:tcW w:w="95" w:type="dxa"/>
            <w:tcBorders/>
            <w:shd w:fill="auto" w:val="clear"/>
            <w:vAlign w:val="bottom"/>
          </w:tcPr>
          <w:p>
            <w:pPr>
              <w:pStyle w:val="TableContents"/>
              <w:spacing w:before="0" w:after="283"/>
              <w:jc w:val="left"/>
              <w:rPr/>
            </w:pPr>
            <w:r>
              <w:rPr/>
              <w:t> </w:t>
            </w:r>
          </w:p>
        </w:tc>
      </w:tr>
      <w:tr>
        <w:trPr/>
        <w:tc>
          <w:tcPr>
            <w:tcW w:w="3490"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541"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4,127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5"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6"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4,127</w:t>
            </w:r>
          </w:p>
        </w:tc>
        <w:tc>
          <w:tcPr>
            <w:tcW w:w="95" w:type="dxa"/>
            <w:tcBorders/>
            <w:shd w:fill="CCEEFF" w:val="clear"/>
            <w:vAlign w:val="bottom"/>
          </w:tcPr>
          <w:p>
            <w:pPr>
              <w:pStyle w:val="TableContents"/>
              <w:spacing w:before="0" w:after="283"/>
              <w:jc w:val="left"/>
              <w:rPr/>
            </w:pPr>
            <w:r>
              <w:rPr/>
              <w:t> </w:t>
            </w:r>
          </w:p>
        </w:tc>
      </w:tr>
      <w:tr>
        <w:trPr/>
        <w:tc>
          <w:tcPr>
            <w:tcW w:w="3490"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Cash dividends</w:t>
            </w:r>
          </w:p>
        </w:tc>
        <w:tc>
          <w:tcPr>
            <w:tcW w:w="60" w:type="dxa"/>
            <w:tcBorders/>
            <w:shd w:fill="auto" w:val="clear"/>
            <w:vAlign w:val="bottom"/>
          </w:tcPr>
          <w:p>
            <w:pPr>
              <w:pStyle w:val="TableContents"/>
              <w:spacing w:before="0" w:after="283"/>
              <w:jc w:val="right"/>
              <w:rPr/>
            </w:pPr>
            <w:r>
              <w:rPr/>
              <w:t> </w:t>
            </w:r>
          </w:p>
        </w:tc>
        <w:tc>
          <w:tcPr>
            <w:tcW w:w="2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4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0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(19,293</w:t>
            </w:r>
          </w:p>
        </w:tc>
        <w:tc>
          <w:tcPr>
            <w:tcW w:w="8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(19,293</w:t>
            </w:r>
          </w:p>
        </w:tc>
        <w:tc>
          <w:tcPr>
            <w:tcW w:w="9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490" w:type="dxa"/>
            <w:tcBorders/>
            <w:shd w:fill="CCEEFF" w:val="clear"/>
            <w:vAlign w:val="bottom"/>
          </w:tcPr>
          <w:p>
            <w:pPr>
              <w:pStyle w:val="TableContents"/>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Balance at March 31, 2022</w:t>
            </w:r>
          </w:p>
        </w:tc>
        <w:tc>
          <w:tcPr>
            <w:tcW w:w="60" w:type="dxa"/>
            <w:tcBorders/>
            <w:shd w:fill="CCEEFF" w:val="clear"/>
            <w:vAlign w:val="bottom"/>
          </w:tcPr>
          <w:p>
            <w:pPr>
              <w:pStyle w:val="TableContents"/>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41"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80"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599,258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05"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(1,526,778</w:t>
            </w:r>
          </w:p>
        </w:tc>
        <w:tc>
          <w:tcPr>
            <w:tcW w:w="8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spacing w:before="0" w:after="283"/>
              <w:jc w:val="right"/>
              <w:rPr/>
            </w:pPr>
            <w:r>
              <w:rPr/>
              <w:t> </w:t>
            </w:r>
          </w:p>
        </w:tc>
        <w:tc>
          <w:tcPr>
            <w:tcW w:w="216"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24"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(69,528</w:t>
            </w:r>
          </w:p>
        </w:tc>
        <w:tc>
          <w:tcPr>
            <w:tcW w:w="8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45"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1,931,157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934,200</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these consolidated financial statements.</w:t>
      </w:r>
    </w:p>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NU SKIN ENTERPRISES, INC.</w:t>
      </w:r>
    </w:p>
    <w:p>
      <w:pPr>
        <w:pStyle w:val="TextBody"/>
        <w:spacing w:before="0" w:after="0"/>
        <w:jc w:val="left"/>
        <w:rPr>
          <w:rFonts w:ascii="Times New Roman" w:hAnsi="Times New Roman"/>
          <w:b/>
          <w:color w:val="000000"/>
          <w:sz w:val="20"/>
        </w:rPr>
      </w:pPr>
      <w:r>
        <w:rPr>
          <w:rFonts w:ascii="Times New Roman" w:hAnsi="Times New Roman"/>
          <w:b/>
          <w:color w:val="000000"/>
          <w:sz w:val="20"/>
        </w:rPr>
        <w:t xml:space="preserve">Consolidated Statements of </w:t>
      </w:r>
      <w:bookmarkStart w:id="7" w:name="CashFlows"/>
      <w:bookmarkEnd w:id="7"/>
      <w:r>
        <w:rPr>
          <w:rFonts w:ascii="Times New Roman" w:hAnsi="Times New Roman"/>
          <w:b/>
          <w:color w:val="000000"/>
          <w:sz w:val="20"/>
        </w:rPr>
        <w:t>Cash Flows (Unaudited)</w:t>
      </w:r>
    </w:p>
    <w:p>
      <w:pPr>
        <w:pStyle w:val="TextBody"/>
        <w:spacing w:before="0" w:after="0"/>
        <w:jc w:val="left"/>
        <w:rPr>
          <w:rFonts w:ascii="Times New Roman" w:hAnsi="Times New Roman"/>
          <w:color w:val="000000"/>
          <w:sz w:val="20"/>
        </w:rPr>
      </w:pPr>
      <w:r>
        <w:rPr>
          <w:rFonts w:ascii="Times New Roman" w:hAnsi="Times New Roman"/>
          <w:color w:val="000000"/>
          <w:sz w:val="20"/>
        </w:rPr>
        <w:t>(U.S. dollars in thousands)</w:t>
      </w:r>
    </w:p>
    <w:p>
      <w:pPr>
        <w:pStyle w:val="TextBody"/>
        <w:spacing w:before="0" w:after="0"/>
        <w:jc w:val="left"/>
        <w:rPr/>
      </w:pPr>
      <w:r>
        <w:rPr/>
      </w:r>
    </w:p>
    <w:tbl>
      <w:tblPr>
        <w:tblW w:w="10196" w:type="dxa"/>
        <w:jc w:val="left"/>
        <w:tblInd w:w="0" w:type="dxa"/>
        <w:tblCellMar>
          <w:top w:w="0" w:type="dxa"/>
          <w:left w:w="0" w:type="dxa"/>
          <w:bottom w:w="0" w:type="dxa"/>
          <w:right w:w="0" w:type="dxa"/>
        </w:tblCellMar>
      </w:tblPr>
      <w:tblGrid>
        <w:gridCol w:w="8255"/>
        <w:gridCol w:w="60"/>
        <w:gridCol w:w="125"/>
        <w:gridCol w:w="698"/>
        <w:gridCol w:w="80"/>
        <w:gridCol w:w="60"/>
        <w:gridCol w:w="125"/>
        <w:gridCol w:w="698"/>
        <w:gridCol w:w="95"/>
      </w:tblGrid>
      <w:tr>
        <w:trPr/>
        <w:tc>
          <w:tcPr>
            <w:tcW w:w="8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86"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tc>
        <w:tc>
          <w:tcPr>
            <w:tcW w:w="95" w:type="dxa"/>
            <w:tcBorders/>
            <w:shd w:fill="auto"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3"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3"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95" w:type="dxa"/>
            <w:tcBorders/>
            <w:shd w:fill="auto"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operating activities:</w:t>
            </w:r>
          </w:p>
        </w:tc>
        <w:tc>
          <w:tcPr>
            <w:tcW w:w="60" w:type="dxa"/>
            <w:tcBorders/>
            <w:shd w:fill="auto" w:val="clear"/>
            <w:vAlign w:val="bottom"/>
          </w:tcPr>
          <w:p>
            <w:pPr>
              <w:pStyle w:val="TableContents"/>
              <w:spacing w:before="0" w:after="283"/>
              <w:rPr/>
            </w:pPr>
            <w:r>
              <w:rPr/>
              <w:t> </w:t>
            </w:r>
          </w:p>
        </w:tc>
        <w:tc>
          <w:tcPr>
            <w:tcW w:w="823"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3"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8255"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11,376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38,716</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Adjustments to reconcile net income to cash flows from operating activities: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8255" w:type="dxa"/>
            <w:tcBorders/>
            <w:shd w:fill="CCEEFF" w:val="clear"/>
            <w:vAlign w:val="bottom"/>
          </w:tcPr>
          <w:p>
            <w:pPr>
              <w:pStyle w:val="TableContents"/>
              <w:spacing w:before="0" w:after="0"/>
              <w:ind w:left="677" w:right="0" w:hanging="144"/>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16,983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17,130</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677" w:right="0" w:hanging="144"/>
              <w:jc w:val="left"/>
              <w:rPr>
                <w:rFonts w:ascii="Times New Roman" w:hAnsi="Times New Roman"/>
                <w:color w:val="000000"/>
                <w:sz w:val="20"/>
              </w:rPr>
            </w:pPr>
            <w:r>
              <w:rPr>
                <w:rFonts w:ascii="Times New Roman" w:hAnsi="Times New Roman"/>
                <w:color w:val="000000"/>
                <w:sz w:val="20"/>
              </w:rPr>
              <w:t>Non-cash lease expense</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8,566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10,581</w:t>
            </w:r>
          </w:p>
        </w:tc>
        <w:tc>
          <w:tcPr>
            <w:tcW w:w="95" w:type="dxa"/>
            <w:tcBorders/>
            <w:shd w:fill="auto" w:val="clear"/>
            <w:vAlign w:val="bottom"/>
          </w:tcPr>
          <w:p>
            <w:pPr>
              <w:pStyle w:val="TableContents"/>
              <w:spacing w:before="0" w:after="283"/>
              <w:jc w:val="left"/>
              <w:rPr/>
            </w:pPr>
            <w:r>
              <w:rPr/>
              <w:t> </w:t>
            </w:r>
          </w:p>
        </w:tc>
      </w:tr>
      <w:tr>
        <w:trPr/>
        <w:tc>
          <w:tcPr>
            <w:tcW w:w="8255" w:type="dxa"/>
            <w:tcBorders/>
            <w:shd w:fill="CCEEFF" w:val="clear"/>
            <w:vAlign w:val="bottom"/>
          </w:tcPr>
          <w:p>
            <w:pPr>
              <w:pStyle w:val="TableContents"/>
              <w:spacing w:before="0" w:after="0"/>
              <w:ind w:left="677" w:right="0" w:hanging="144"/>
              <w:jc w:val="left"/>
              <w:rPr>
                <w:rFonts w:ascii="Times New Roman" w:hAnsi="Times New Roman"/>
                <w:color w:val="000000"/>
                <w:sz w:val="20"/>
              </w:rPr>
            </w:pPr>
            <w:r>
              <w:rPr>
                <w:rFonts w:ascii="Times New Roman" w:hAnsi="Times New Roman"/>
                <w:color w:val="000000"/>
                <w:sz w:val="20"/>
              </w:rPr>
              <w:t>Stock-based compensation</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4,002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4,127</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677" w:right="0" w:hanging="144"/>
              <w:jc w:val="left"/>
              <w:rPr>
                <w:rFonts w:ascii="Times New Roman" w:hAnsi="Times New Roman"/>
                <w:color w:val="000000"/>
                <w:sz w:val="20"/>
              </w:rPr>
            </w:pPr>
            <w:r>
              <w:rPr>
                <w:rFonts w:ascii="Times New Roman" w:hAnsi="Times New Roman"/>
                <w:color w:val="000000"/>
                <w:sz w:val="20"/>
              </w:rPr>
              <w:t>Foreign currency (gains)/losses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(2,102</w:t>
            </w:r>
          </w:p>
        </w:tc>
        <w:tc>
          <w:tcPr>
            <w:tcW w:w="8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370</w:t>
            </w:r>
          </w:p>
        </w:tc>
        <w:tc>
          <w:tcPr>
            <w:tcW w:w="95" w:type="dxa"/>
            <w:tcBorders/>
            <w:shd w:fill="auto" w:val="clear"/>
            <w:vAlign w:val="bottom"/>
          </w:tcPr>
          <w:p>
            <w:pPr>
              <w:pStyle w:val="TableContents"/>
              <w:spacing w:before="0" w:after="283"/>
              <w:jc w:val="left"/>
              <w:rPr/>
            </w:pPr>
            <w:r>
              <w:rPr/>
              <w:t> </w:t>
            </w:r>
          </w:p>
        </w:tc>
      </w:tr>
      <w:tr>
        <w:trPr/>
        <w:tc>
          <w:tcPr>
            <w:tcW w:w="8255" w:type="dxa"/>
            <w:tcBorders/>
            <w:shd w:fill="CCEEFF" w:val="clear"/>
            <w:vAlign w:val="bottom"/>
          </w:tcPr>
          <w:p>
            <w:pPr>
              <w:pStyle w:val="TableContents"/>
              <w:spacing w:before="0" w:after="0"/>
              <w:ind w:left="677" w:right="0" w:hanging="144"/>
              <w:jc w:val="left"/>
              <w:rPr>
                <w:rFonts w:ascii="Times New Roman" w:hAnsi="Times New Roman"/>
                <w:color w:val="000000"/>
                <w:sz w:val="20"/>
              </w:rPr>
            </w:pPr>
            <w:r>
              <w:rPr>
                <w:rFonts w:ascii="Times New Roman" w:hAnsi="Times New Roman"/>
                <w:color w:val="000000"/>
                <w:sz w:val="20"/>
              </w:rPr>
              <w:t>(Gain)/loss on disposal of assets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517</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677" w:right="0" w:hanging="144"/>
              <w:jc w:val="left"/>
              <w:rPr>
                <w:rFonts w:ascii="Times New Roman" w:hAnsi="Times New Roman"/>
                <w:color w:val="000000"/>
                <w:sz w:val="20"/>
              </w:rPr>
            </w:pPr>
            <w:r>
              <w:rPr>
                <w:rFonts w:ascii="Times New Roman" w:hAnsi="Times New Roman"/>
                <w:color w:val="000000"/>
                <w:sz w:val="20"/>
              </w:rPr>
              <w:t>Deferred taxes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(72</w:t>
            </w:r>
          </w:p>
        </w:tc>
        <w:tc>
          <w:tcPr>
            <w:tcW w:w="8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3,292</w:t>
            </w:r>
          </w:p>
        </w:tc>
        <w:tc>
          <w:tcPr>
            <w:tcW w:w="95" w:type="dxa"/>
            <w:tcBorders/>
            <w:shd w:fill="auto" w:val="clear"/>
            <w:vAlign w:val="bottom"/>
          </w:tcPr>
          <w:p>
            <w:pPr>
              <w:pStyle w:val="TableContents"/>
              <w:spacing w:before="0" w:after="283"/>
              <w:jc w:val="left"/>
              <w:rPr/>
            </w:pPr>
            <w:r>
              <w:rPr/>
              <w:t> </w:t>
            </w:r>
          </w:p>
        </w:tc>
      </w:tr>
      <w:tr>
        <w:trPr/>
        <w:tc>
          <w:tcPr>
            <w:tcW w:w="8255" w:type="dxa"/>
            <w:tcBorders/>
            <w:shd w:fill="CCEEFF" w:val="clear"/>
            <w:vAlign w:val="bottom"/>
          </w:tcPr>
          <w:p>
            <w:pPr>
              <w:pStyle w:val="TableContents"/>
              <w:spacing w:before="0" w:after="0"/>
              <w:ind w:left="864" w:right="0" w:hanging="144"/>
              <w:jc w:val="left"/>
              <w:rPr>
                <w:rFonts w:ascii="Times New Roman" w:hAnsi="Times New Roman"/>
                <w:color w:val="000000"/>
                <w:sz w:val="20"/>
              </w:rPr>
            </w:pPr>
            <w:r>
              <w:rPr>
                <w:rFonts w:ascii="Times New Roman" w:hAnsi="Times New Roman"/>
                <w:color w:val="000000"/>
                <w:sz w:val="20"/>
              </w:rPr>
              <w:t>Changes in operating assets and liabilities: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1008" w:right="0" w:hanging="144"/>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(15,336</w:t>
            </w:r>
          </w:p>
        </w:tc>
        <w:tc>
          <w:tcPr>
            <w:tcW w:w="8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(12,463</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spacing w:before="0" w:after="0"/>
              <w:ind w:left="1008" w:right="0" w:hanging="144"/>
              <w:jc w:val="left"/>
              <w:rPr>
                <w:rFonts w:ascii="Times New Roman" w:hAnsi="Times New Roman"/>
                <w:color w:val="000000"/>
                <w:sz w:val="20"/>
              </w:rPr>
            </w:pPr>
            <w:r>
              <w:rPr>
                <w:rFonts w:ascii="Times New Roman" w:hAnsi="Times New Roman"/>
                <w:color w:val="000000"/>
                <w:sz w:val="20"/>
              </w:rPr>
              <w:t>Inventories, net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(19,734</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17,212</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1008" w:right="0" w:hanging="144"/>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(12,895</w:t>
            </w:r>
          </w:p>
        </w:tc>
        <w:tc>
          <w:tcPr>
            <w:tcW w:w="8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(18,110</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spacing w:before="0" w:after="0"/>
              <w:ind w:left="1008"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(864</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941</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1008" w:right="0" w:hanging="144"/>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(4,495</w:t>
            </w:r>
          </w:p>
        </w:tc>
        <w:tc>
          <w:tcPr>
            <w:tcW w:w="8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(5,663</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spacing w:before="0" w:after="0"/>
              <w:ind w:left="1008" w:right="0" w:hanging="144"/>
              <w:jc w:val="left"/>
              <w:rPr>
                <w:rFonts w:ascii="Times New Roman" w:hAnsi="Times New Roman"/>
                <w:color w:val="000000"/>
                <w:sz w:val="20"/>
              </w:rPr>
            </w:pPr>
            <w:r>
              <w:rPr>
                <w:rFonts w:ascii="Times New Roman" w:hAnsi="Times New Roman"/>
                <w:color w:val="000000"/>
                <w:sz w:val="20"/>
              </w:rPr>
              <w:t>Accrued expenses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(4,129</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(40,270</w:t>
            </w:r>
          </w:p>
        </w:tc>
        <w:tc>
          <w:tcPr>
            <w:tcW w:w="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auto" w:val="clear"/>
            <w:vAlign w:val="bottom"/>
          </w:tcPr>
          <w:p>
            <w:pPr>
              <w:pStyle w:val="TableContents"/>
              <w:spacing w:before="0" w:after="0"/>
              <w:ind w:left="1008"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(3,360</w:t>
            </w:r>
          </w:p>
        </w:tc>
        <w:tc>
          <w:tcPr>
            <w:tcW w:w="8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(8,839</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Net cash (used in) / provided by operating activities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(22,077</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7,541</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825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investing activities: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Purchases of property and equipment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(11,487</w:t>
            </w:r>
          </w:p>
        </w:tc>
        <w:tc>
          <w:tcPr>
            <w:tcW w:w="8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(10,279</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Proceeds on investment sales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4,986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4,076</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Purchases of investments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(8,195</w:t>
            </w:r>
          </w:p>
        </w:tc>
        <w:tc>
          <w:tcPr>
            <w:tcW w:w="8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(3,930</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Net cash used in investing activities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(14,696</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(10,133</w:t>
            </w:r>
          </w:p>
        </w:tc>
        <w:tc>
          <w:tcPr>
            <w:tcW w:w="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825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Cash flows from financing activities: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Exercise of employee stock options and taxes paid related to the net shares settlement of stock awards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4,184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3,516</w:t>
            </w:r>
          </w:p>
        </w:tc>
        <w:tc>
          <w:tcPr>
            <w:tcW w:w="95" w:type="dxa"/>
            <w:tcBorders/>
            <w:shd w:fill="auto" w:val="clear"/>
            <w:vAlign w:val="bottom"/>
          </w:tcPr>
          <w:p>
            <w:pPr>
              <w:pStyle w:val="TableContents"/>
              <w:spacing w:before="0" w:after="283"/>
              <w:jc w:val="left"/>
              <w:rPr/>
            </w:pPr>
            <w:r>
              <w:rPr/>
              <w:t> </w:t>
            </w:r>
          </w:p>
        </w:tc>
      </w:tr>
      <w:tr>
        <w:trPr/>
        <w:tc>
          <w:tcPr>
            <w:tcW w:w="8255" w:type="dxa"/>
            <w:tcBorders/>
            <w:shd w:fill="CCEEFF"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Payment of cash dividends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(19,392</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(19,293</w:t>
            </w:r>
          </w:p>
        </w:tc>
        <w:tc>
          <w:tcPr>
            <w:tcW w:w="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auto"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Repurchases of shares of common stock</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(10,006</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Finance lease principal payments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(912</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(476</w:t>
            </w:r>
          </w:p>
        </w:tc>
        <w:tc>
          <w:tcPr>
            <w:tcW w:w="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auto"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Payments of debt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(2,500</w:t>
            </w:r>
          </w:p>
        </w:tc>
        <w:tc>
          <w:tcPr>
            <w:tcW w:w="8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(7,500</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Proceeds from debt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20,000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Net cash provided by/(used in) financing activities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1,380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(33,759</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Effect of exchange rate changes on cash</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609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(1,026</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Net decrease in cash and cash equivalents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(34,784</w:t>
            </w:r>
          </w:p>
        </w:tc>
        <w:tc>
          <w:tcPr>
            <w:tcW w:w="8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(37,377</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8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264,725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339,593</w:t>
            </w:r>
          </w:p>
        </w:tc>
        <w:tc>
          <w:tcPr>
            <w:tcW w:w="95" w:type="dxa"/>
            <w:tcBorders/>
            <w:shd w:fill="auto" w:val="clear"/>
            <w:vAlign w:val="bottom"/>
          </w:tcPr>
          <w:p>
            <w:pPr>
              <w:pStyle w:val="TableContents"/>
              <w:spacing w:before="0" w:after="283"/>
              <w:jc w:val="left"/>
              <w:rPr/>
            </w:pPr>
            <w:r>
              <w:rPr/>
              <w:t> </w:t>
            </w:r>
          </w:p>
        </w:tc>
      </w:tr>
      <w:tr>
        <w:trPr/>
        <w:tc>
          <w:tcPr>
            <w:tcW w:w="8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8"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825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 end of period</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229,941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302,216</w:t>
            </w:r>
          </w:p>
        </w:tc>
        <w:tc>
          <w:tcPr>
            <w:tcW w:w="9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highlight w:val="white"/>
        </w:rPr>
      </w:pPr>
      <w:r>
        <w:rPr>
          <w:rFonts w:ascii="Times New Roman" w:hAnsi="Times New Roman"/>
          <w:b/>
          <w:color w:val="000000"/>
          <w:sz w:val="20"/>
          <w:highlight w:val="white"/>
        </w:rPr>
        <w:t>NU SKIN ENTERPRISES, INC.</w:t>
      </w:r>
    </w:p>
    <w:p>
      <w:pPr>
        <w:pStyle w:val="TextBody"/>
        <w:spacing w:before="0" w:after="0"/>
        <w:jc w:val="left"/>
        <w:rPr>
          <w:rFonts w:ascii="Times New Roman" w:hAnsi="Times New Roman"/>
          <w:color w:val="000000"/>
          <w:sz w:val="20"/>
          <w:highlight w:val="white"/>
        </w:rPr>
      </w:pPr>
      <w:bookmarkStart w:id="8" w:name="Notes"/>
      <w:bookmarkEnd w:id="8"/>
      <w:r>
        <w:rPr>
          <w:rFonts w:ascii="Times New Roman" w:hAnsi="Times New Roman"/>
          <w:color w:val="000000"/>
          <w:sz w:val="20"/>
          <w:highlight w:val="white"/>
        </w:rPr>
        <w:t>Notes to Consolidated Financial Statements</w:t>
      </w:r>
    </w:p>
    <w:p>
      <w:pPr>
        <w:pStyle w:val="TextBody"/>
        <w:spacing w:before="0" w:after="0"/>
        <w:jc w:val="left"/>
        <w:rPr/>
      </w:pPr>
      <w:r>
        <w:rPr/>
      </w:r>
    </w:p>
    <w:tbl>
      <w:tblPr>
        <w:tblW w:w="1420" w:type="dxa"/>
        <w:jc w:val="left"/>
        <w:tblInd w:w="0" w:type="dxa"/>
        <w:tblCellMar>
          <w:top w:w="0" w:type="dxa"/>
          <w:left w:w="0" w:type="dxa"/>
          <w:bottom w:w="0" w:type="dxa"/>
          <w:right w:w="0" w:type="dxa"/>
        </w:tblCellMar>
      </w:tblPr>
      <w:tblGrid>
        <w:gridCol w:w="185"/>
        <w:gridCol w:w="1235"/>
      </w:tblGrid>
      <w:tr>
        <w:trPr/>
        <w:tc>
          <w:tcPr>
            <w:tcW w:w="185" w:type="dxa"/>
            <w:tcBorders/>
            <w:shd w:fill="auto" w:val="clear"/>
            <w:vAlign w:val="center"/>
          </w:tcPr>
          <w:p>
            <w:pPr>
              <w:pStyle w:val="TableContents"/>
              <w:spacing w:before="0" w:after="283"/>
              <w:rPr>
                <w:rFonts w:ascii="Times New Roman" w:hAnsi="Times New Roman"/>
                <w:b/>
                <w:sz w:val="20"/>
              </w:rPr>
            </w:pPr>
            <w:r>
              <w:rPr>
                <w:rFonts w:ascii="Times New Roman" w:hAnsi="Times New Roman"/>
                <w:b/>
                <w:sz w:val="20"/>
              </w:rPr>
              <w:t>1.</w:t>
            </w:r>
          </w:p>
        </w:tc>
        <w:tc>
          <w:tcPr>
            <w:tcW w:w="12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The Company</w:t>
            </w:r>
          </w:p>
        </w:tc>
      </w:tr>
    </w:tbl>
    <w:p>
      <w:pPr>
        <w:pStyle w:val="TextBody"/>
        <w:spacing w:before="0" w:after="0"/>
        <w:jc w:val="left"/>
        <w:rPr/>
      </w:pPr>
      <w:r>
        <w:rPr/>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Nu Skin Enterprises, Inc. (the “Company”) is a holding company, with Nu Skin, being the primary operating unit.  Nu Skin develops and distributes premium-quality, innovative beauty and wellness products that are sold worldwide under the Nu Skin, Pharmanex and ageLOC brands and a small number of other products and services.  The Company reports revenue from nine segments, consisting of its seven geographic Nu Skin segments</w:t>
      </w:r>
      <w:r>
        <w:rPr>
          <w:rFonts w:ascii="Times New Roman" w:hAnsi="Times New Roman"/>
          <w:caps w:val="false"/>
          <w:smallCaps w:val="false"/>
          <w:color w:val="000000"/>
          <w:spacing w:val="0"/>
          <w:sz w:val="20"/>
          <w:highlight w:val="white"/>
        </w:rPr>
        <w:t>—</w:t>
      </w:r>
      <w:r>
        <w:rPr>
          <w:rFonts w:ascii="Times New Roman" w:hAnsi="Times New Roman"/>
          <w:b w:val="false"/>
          <w:i w:val="false"/>
          <w:caps w:val="false"/>
          <w:smallCaps w:val="false"/>
          <w:color w:val="000000"/>
          <w:spacing w:val="0"/>
          <w:sz w:val="20"/>
          <w:highlight w:val="white"/>
        </w:rPr>
        <w:t>Americas,</w:t>
      </w:r>
      <w:r>
        <w:rPr>
          <w:rFonts w:ascii="Times New Roman" w:hAnsi="Times New Roman"/>
          <w:color w:val="000000"/>
          <w:sz w:val="20"/>
        </w:rPr>
        <w:t xml:space="preserve"> which includes Canada, Latin America and the United States; Mainland China; Southeast Asia/Pacific, which includes Australia, Indonesia, Malaysia, New Zealand, the Philippines, Singapore, Thailand and Vietnam; South Korea; Japan; Europe, Middle East and Africa (“EMEA”), which includes markets in Europe as well as Israel and South Africa; and Hong Kong/Taiwan, which also includes Macau—and two Rhyz Investments segments—Manufacturing, which includes manufacturing and packaging subsidiaries it has acquired; and Rhyz other, which includes other investments by its Rhyz strategic investment arm (the Company’s subsidiaries operating within each segment are collectively referred to as the “Subsidiaries”).</w:t>
      </w:r>
    </w:p>
    <w:p>
      <w:pPr>
        <w:pStyle w:val="TextBody"/>
        <w:spacing w:before="0" w:after="0"/>
        <w:jc w:val="left"/>
        <w:rPr/>
      </w:pPr>
      <w:r>
        <w:rPr/>
      </w:r>
    </w:p>
    <w:tbl>
      <w:tblPr>
        <w:tblW w:w="3940" w:type="dxa"/>
        <w:jc w:val="left"/>
        <w:tblInd w:w="0" w:type="dxa"/>
        <w:tblCellMar>
          <w:top w:w="0" w:type="dxa"/>
          <w:left w:w="0" w:type="dxa"/>
          <w:bottom w:w="0" w:type="dxa"/>
          <w:right w:w="0" w:type="dxa"/>
        </w:tblCellMar>
      </w:tblPr>
      <w:tblGrid>
        <w:gridCol w:w="185"/>
        <w:gridCol w:w="3755"/>
      </w:tblGrid>
      <w:tr>
        <w:trPr/>
        <w:tc>
          <w:tcPr>
            <w:tcW w:w="185" w:type="dxa"/>
            <w:tcBorders/>
            <w:shd w:fill="auto" w:val="clear"/>
            <w:vAlign w:val="center"/>
          </w:tcPr>
          <w:p>
            <w:pPr>
              <w:pStyle w:val="TableContents"/>
              <w:spacing w:before="0" w:after="283"/>
              <w:rPr>
                <w:rFonts w:ascii="Times New Roman" w:hAnsi="Times New Roman"/>
                <w:b/>
                <w:color w:val="000000"/>
                <w:sz w:val="20"/>
              </w:rPr>
            </w:pPr>
            <w:r>
              <w:rPr>
                <w:rFonts w:ascii="Times New Roman" w:hAnsi="Times New Roman"/>
                <w:b/>
                <w:color w:val="000000"/>
                <w:sz w:val="20"/>
              </w:rPr>
              <w:t>2.</w:t>
            </w:r>
          </w:p>
        </w:tc>
        <w:tc>
          <w:tcPr>
            <w:tcW w:w="3755" w:type="dxa"/>
            <w:tcBorders/>
            <w:shd w:fill="auto" w:val="clear"/>
            <w:vAlign w:val="center"/>
          </w:tcPr>
          <w:p>
            <w:pPr>
              <w:pStyle w:val="TableContents"/>
              <w:spacing w:before="0" w:after="0"/>
              <w:jc w:val="left"/>
              <w:rPr>
                <w:rFonts w:ascii="Times New Roman" w:hAnsi="Times New Roman"/>
                <w:b/>
                <w:color w:val="000000"/>
                <w:sz w:val="20"/>
              </w:rPr>
            </w:pPr>
            <w:r>
              <w:rPr>
                <w:rFonts w:ascii="Times New Roman" w:hAnsi="Times New Roman"/>
                <w:b/>
                <w:color w:val="000000"/>
                <w:sz w:val="20"/>
              </w:rPr>
              <w:t>Summary of Significant Accounting Policies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significant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March 31, 2023, and for the three-month periods ended March 31, 2023 and 2022. The results of operations of any interim period are not necessarily indicative of the results of operations to be expected for the fiscal year. The consolidated balance sheet as of December 31, 2022 has been prepared using information from the audited financial statements at that date. For further information, refer to the consolidated financial statements and accompanying footnotes included in the Company’s Annual Report on Form 10-K for the year ended December 31, 2022.</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720" w:right="0" w:hanging="720"/>
        <w:jc w:val="left"/>
        <w:rPr>
          <w:rFonts w:ascii="Times New Roman" w:hAnsi="Times New Roman"/>
          <w:i/>
          <w:color w:val="000000"/>
          <w:sz w:val="20"/>
        </w:rPr>
      </w:pPr>
      <w:r>
        <w:rPr>
          <w:rFonts w:ascii="Times New Roman" w:hAnsi="Times New Roman"/>
          <w:i/>
          <w:color w:val="000000"/>
          <w:sz w:val="20"/>
        </w:rPr>
        <w:t>Accounting Pronouncements</w:t>
      </w:r>
    </w:p>
    <w:p>
      <w:pPr>
        <w:pStyle w:val="TextBody"/>
        <w:spacing w:before="0" w:after="0"/>
        <w:jc w:val="left"/>
        <w:rPr/>
      </w:pPr>
      <w:r>
        <w:rPr/>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 xml:space="preserve">In March 2020, the Financial Accounting Standards Board (“FASB”) issued ASU 2020-04, </w:t>
      </w:r>
      <w:r>
        <w:rPr>
          <w:rFonts w:ascii="Times New Roman" w:hAnsi="Times New Roman"/>
          <w:i/>
          <w:color w:val="000000"/>
          <w:sz w:val="20"/>
        </w:rPr>
        <w:t xml:space="preserve">Reference Rate Reform (Topic 848): Facilitation of the Effects of Reference Rate Reform on Financial Reporting, </w:t>
      </w:r>
      <w:r>
        <w:rPr>
          <w:rFonts w:ascii="Times New Roman" w:hAnsi="Times New Roman"/>
          <w:color w:val="000000"/>
          <w:sz w:val="20"/>
        </w:rPr>
        <w:t xml:space="preserve">which provides optional guidance for a limited time to ease the potential burden in accounting for the effects of reference rate reform on financial reporting. The guidance provides optional expedients and exceptions for applying US GAAP to contracts, hedging relationships, and other transactions affected by reference rate reform if certain criteria are met. ASU 2020-04 applies only to contracts and hedging relationships that reference the London Interbank Offered Rate (“LIBOR”) or another reference rate expected to be discontinued due to reference rate reform. The expedients and exceptions provided by the amendments do not apply to contract modifications made and hedging relationships entered into or evaluated after December 31, 2024. The amendments in ASU 2020-04 are elective and are effective upon issuance for all entities. The Company had previously elected to apply the hedge accounting expedients related to probability and the assessments of effectiveness for future LIBOR-indexed cash flows to assume that the index upon which future hedged transactions will be based matches the index on the corresponding derivatives. In the second quarter of 2022, the Company elected the hedge accounting expedient that allows an update to the hedged risk in active hedging relationships without de-designation as the </w:t>
      </w:r>
      <w:r>
        <w:rPr>
          <w:rFonts w:ascii="Times New Roman" w:hAnsi="Times New Roman"/>
          <w:b w:val="false"/>
          <w:i w:val="false"/>
          <w:caps w:val="false"/>
          <w:smallCaps w:val="false"/>
          <w:color w:val="000000"/>
          <w:spacing w:val="0"/>
          <w:sz w:val="20"/>
        </w:rPr>
        <w:t>Company’s debt transitioned to the Secured Overnight Financing Rate (“SOFR”). In the fourth quarter of 2022, the Company elected the hedge accounting expedient that allows an amendment to existing hedges without de-designation as the Company’s hedges transitioned to SOFR</w:t>
      </w:r>
      <w:r>
        <w:rPr>
          <w:rFonts w:ascii="Times New Roman" w:hAnsi="Times New Roman"/>
          <w:color w:val="000000"/>
          <w:sz w:val="20"/>
        </w:rPr>
        <w:t>. Application of these expedients preserves the presentation of derivatives consistent with past presentation. The Company continues to evaluate the impact of the guidance and may apply other elections as applicable as additional changes in the market occur.</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Inventory</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Inventories consist of the following (U.S. dollars in thousands):</w:t>
      </w:r>
    </w:p>
    <w:p>
      <w:pPr>
        <w:pStyle w:val="TextBody"/>
        <w:spacing w:before="0" w:after="0"/>
        <w:jc w:val="left"/>
        <w:rPr/>
      </w:pPr>
      <w:r>
        <w:rPr/>
      </w:r>
    </w:p>
    <w:tbl>
      <w:tblPr>
        <w:tblW w:w="3973" w:type="dxa"/>
        <w:jc w:val="left"/>
        <w:tblInd w:w="0" w:type="dxa"/>
        <w:tblCellMar>
          <w:top w:w="0" w:type="dxa"/>
          <w:left w:w="0" w:type="dxa"/>
          <w:bottom w:w="0" w:type="dxa"/>
          <w:right w:w="0" w:type="dxa"/>
        </w:tblCellMar>
      </w:tblPr>
      <w:tblGrid>
        <w:gridCol w:w="1655"/>
        <w:gridCol w:w="60"/>
        <w:gridCol w:w="135"/>
        <w:gridCol w:w="754"/>
        <w:gridCol w:w="60"/>
        <w:gridCol w:w="60"/>
        <w:gridCol w:w="178"/>
        <w:gridCol w:w="996"/>
        <w:gridCol w:w="75"/>
      </w:tblGrid>
      <w:tr>
        <w:trPr/>
        <w:tc>
          <w:tcPr>
            <w:tcW w:w="16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75" w:type="dxa"/>
            <w:tcBorders/>
            <w:shd w:fill="auto" w:val="clear"/>
            <w:vAlign w:val="bottom"/>
          </w:tcPr>
          <w:p>
            <w:pPr>
              <w:pStyle w:val="TableContents"/>
              <w:spacing w:before="0" w:after="283"/>
              <w:jc w:val="left"/>
              <w:rPr/>
            </w:pPr>
            <w:r>
              <w:rPr/>
              <w:t> </w:t>
            </w:r>
          </w:p>
        </w:tc>
      </w:tr>
      <w:tr>
        <w:trPr/>
        <w:tc>
          <w:tcPr>
            <w:tcW w:w="165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Raw materials</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5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175,579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163,797</w:t>
            </w:r>
          </w:p>
        </w:tc>
        <w:tc>
          <w:tcPr>
            <w:tcW w:w="75" w:type="dxa"/>
            <w:tcBorders/>
            <w:shd w:fill="CCEEFF" w:val="clear"/>
            <w:vAlign w:val="bottom"/>
          </w:tcPr>
          <w:p>
            <w:pPr>
              <w:pStyle w:val="TableContents"/>
              <w:spacing w:before="0" w:after="283"/>
              <w:jc w:val="left"/>
              <w:rPr/>
            </w:pPr>
            <w:r>
              <w:rPr/>
              <w:t> </w:t>
            </w:r>
          </w:p>
        </w:tc>
      </w:tr>
      <w:tr>
        <w:trPr/>
        <w:tc>
          <w:tcPr>
            <w:tcW w:w="165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Finished goods</w:t>
            </w:r>
          </w:p>
        </w:tc>
        <w:tc>
          <w:tcPr>
            <w:tcW w:w="60" w:type="dxa"/>
            <w:tcBorders/>
            <w:shd w:fill="auto" w:val="clear"/>
            <w:vAlign w:val="bottom"/>
          </w:tcPr>
          <w:p>
            <w:pPr>
              <w:pStyle w:val="TableContents"/>
              <w:spacing w:before="0" w:after="283"/>
              <w:rPr/>
            </w:pPr>
            <w:r>
              <w:rPr/>
              <w:t> </w:t>
            </w:r>
          </w:p>
        </w:tc>
        <w:tc>
          <w:tcPr>
            <w:tcW w:w="13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190,958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182,386</w:t>
            </w:r>
          </w:p>
        </w:tc>
        <w:tc>
          <w:tcPr>
            <w:tcW w:w="75" w:type="dxa"/>
            <w:tcBorders/>
            <w:shd w:fill="auto" w:val="clear"/>
            <w:vAlign w:val="bottom"/>
          </w:tcPr>
          <w:p>
            <w:pPr>
              <w:pStyle w:val="TableContents"/>
              <w:spacing w:before="0" w:after="283"/>
              <w:jc w:val="left"/>
              <w:rPr/>
            </w:pPr>
            <w:r>
              <w:rPr/>
              <w:t> </w:t>
            </w:r>
          </w:p>
        </w:tc>
      </w:tr>
      <w:tr>
        <w:trPr/>
        <w:tc>
          <w:tcPr>
            <w:tcW w:w="1655"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Total Inventory, net</w:t>
            </w:r>
          </w:p>
        </w:tc>
        <w:tc>
          <w:tcPr>
            <w:tcW w:w="60" w:type="dxa"/>
            <w:tcBorders/>
            <w:shd w:fill="CCEEFF" w:val="clear"/>
            <w:vAlign w:val="bottom"/>
          </w:tcPr>
          <w:p>
            <w:pPr>
              <w:pStyle w:val="TableContents"/>
              <w:spacing w:before="0" w:after="283"/>
              <w:rPr/>
            </w:pPr>
            <w:r>
              <w:rPr/>
              <w:t> </w:t>
            </w:r>
          </w:p>
        </w:tc>
        <w:tc>
          <w:tcPr>
            <w:tcW w:w="13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366,537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7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346,183</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b w:val="false"/>
          <w:i/>
          <w:color w:val="000000"/>
          <w:sz w:val="20"/>
        </w:rPr>
      </w:pPr>
      <w:r>
        <w:rPr>
          <w:rFonts w:ascii="Times New Roman" w:hAnsi="Times New Roman"/>
          <w:b w:val="false"/>
          <w:i/>
          <w:color w:val="000000"/>
          <w:sz w:val="20"/>
        </w:rPr>
        <w:t>Revenue Recognition</w:t>
      </w:r>
    </w:p>
    <w:p>
      <w:pPr>
        <w:pStyle w:val="TextBody"/>
        <w:spacing w:before="0" w:after="0"/>
        <w:jc w:val="both"/>
        <w:rPr>
          <w:rFonts w:ascii="Times New Roman" w:hAnsi="Times New Roman"/>
          <w:b/>
          <w:color w:val="000000"/>
          <w:sz w:val="20"/>
        </w:rPr>
      </w:pPr>
      <w:r>
        <w:rPr>
          <w:rFonts w:ascii="Times New Roman" w:hAnsi="Times New Roman"/>
          <w:b/>
          <w:color w:val="000000"/>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Contract Liabilities – Customer Loyalty Programs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balance of deferred revenue related to contract liabilities as of March 31, 2023 and December 31, 2022 was $17.4 million and $18.7 million, respectively. The contract liabilities impact to revenue for the three-month periods ended March 31, 2023, and 2022 was an increase of $1.3 million and an increase of $1.2 million, respectively.</w:t>
      </w:r>
    </w:p>
    <w:p>
      <w:pPr>
        <w:pStyle w:val="TextBody"/>
        <w:spacing w:before="0" w:after="0"/>
        <w:jc w:val="left"/>
        <w:rPr/>
      </w:pPr>
      <w:r>
        <w:rPr/>
      </w:r>
    </w:p>
    <w:tbl>
      <w:tblPr>
        <w:tblW w:w="1000" w:type="dxa"/>
        <w:jc w:val="left"/>
        <w:tblInd w:w="0" w:type="dxa"/>
        <w:tblCellMar>
          <w:top w:w="0" w:type="dxa"/>
          <w:left w:w="0" w:type="dxa"/>
          <w:bottom w:w="0" w:type="dxa"/>
          <w:right w:w="0" w:type="dxa"/>
        </w:tblCellMar>
      </w:tblPr>
      <w:tblGrid>
        <w:gridCol w:w="185"/>
        <w:gridCol w:w="815"/>
      </w:tblGrid>
      <w:tr>
        <w:trPr/>
        <w:tc>
          <w:tcPr>
            <w:tcW w:w="185" w:type="dxa"/>
            <w:tcBorders/>
            <w:shd w:fill="auto" w:val="clear"/>
            <w:vAlign w:val="center"/>
          </w:tcPr>
          <w:p>
            <w:pPr>
              <w:pStyle w:val="TableContents"/>
              <w:spacing w:before="0" w:after="283"/>
              <w:rPr>
                <w:rFonts w:ascii="Times New Roman" w:hAnsi="Times New Roman"/>
                <w:b/>
                <w:color w:val="000000"/>
                <w:sz w:val="20"/>
              </w:rPr>
            </w:pPr>
            <w:r>
              <w:rPr>
                <w:rFonts w:ascii="Times New Roman" w:hAnsi="Times New Roman"/>
                <w:b/>
                <w:color w:val="000000"/>
                <w:sz w:val="20"/>
              </w:rPr>
              <w:t>3.</w:t>
            </w:r>
          </w:p>
        </w:tc>
        <w:tc>
          <w:tcPr>
            <w:tcW w:w="815" w:type="dxa"/>
            <w:tcBorders/>
            <w:shd w:fill="auto" w:val="clear"/>
            <w:vAlign w:val="center"/>
          </w:tcPr>
          <w:p>
            <w:pPr>
              <w:pStyle w:val="TableContents"/>
              <w:spacing w:before="0" w:after="0"/>
              <w:jc w:val="left"/>
              <w:rPr>
                <w:rFonts w:ascii="Times New Roman" w:hAnsi="Times New Roman"/>
                <w:b/>
                <w:color w:val="000000"/>
                <w:sz w:val="20"/>
              </w:rPr>
            </w:pPr>
            <w:r>
              <w:rPr>
                <w:rFonts w:ascii="Times New Roman" w:hAnsi="Times New Roman"/>
                <w:b/>
                <w:color w:val="000000"/>
                <w:sz w:val="20"/>
              </w:rPr>
              <w:t>Goodwill</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reporting units for goodwill are its operating segments, which are also its reportable segments.</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completed the annual goodwill and indefinite-lived intangible asset impairment testing as of October 1, 2022, and concluded that the fair value of the reporting units were determined to be in excess of its carrying amounts and no goodwill impairment charge was required. As of the October 1, 2022 testing date, the fair value of the Manufacturing reporting unit was estimated to be approximately 8% in excess of its carrying amount, and therefore the reporting unit is considered to be at risk of future impairment. The Manufacturing reporting unit's fair value remains sensitive to significant unfavorable changes in revenue, gross margin and discount rates that could negatively impact future analyses.</w:t>
      </w:r>
    </w:p>
    <w:p>
      <w:pPr>
        <w:pStyle w:val="TextBody"/>
        <w:spacing w:before="0" w:after="0"/>
        <w:jc w:val="both"/>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Fair value determinations require considerable judgment and are sensitive to changes in underlying assumptions and factors. As a result, there can be no assurance that the estimates and assumptions made for purposes of the goodwill impairment tests will prove to be an accurate prediction of the future.  Although the Manufacturing reporting unit showed strong revenue growth in fiscal year 2020 and 2021, the fair value of the reporting unit in 2022 was negatively impacted by an increase in the discount rate due to the current interest rate environment, and lower near-term revenue projections. Current projections used for the Manufacturing reporting unit reflect revenue growth attributable to the continued expansion of capacity, continued intercompany sales to Nu Skin, and the recent acquisition of new customers. While historical performance and current expectations have resulted in fair values of the Manufacturing reporting unit in excess of carrying values, if the assumptions are not realized an impairment charge may be recorded in the future.</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goodwill allocated to the Company’s reportable segments for the periods ended March 31, 2023 and December 31, 2022 (U.S. dollars in thousands):</w:t>
      </w:r>
    </w:p>
    <w:p>
      <w:pPr>
        <w:pStyle w:val="TextBody"/>
        <w:spacing w:before="0" w:after="0"/>
        <w:jc w:val="left"/>
        <w:rPr/>
      </w:pPr>
      <w:r>
        <w:rPr/>
      </w:r>
    </w:p>
    <w:tbl>
      <w:tblPr>
        <w:tblW w:w="4528" w:type="dxa"/>
        <w:jc w:val="left"/>
        <w:tblInd w:w="0" w:type="dxa"/>
        <w:tblCellMar>
          <w:top w:w="0" w:type="dxa"/>
          <w:left w:w="0" w:type="dxa"/>
          <w:bottom w:w="0" w:type="dxa"/>
          <w:right w:w="0" w:type="dxa"/>
        </w:tblCellMar>
      </w:tblPr>
      <w:tblGrid>
        <w:gridCol w:w="1850"/>
        <w:gridCol w:w="60"/>
        <w:gridCol w:w="135"/>
        <w:gridCol w:w="754"/>
        <w:gridCol w:w="60"/>
        <w:gridCol w:w="60"/>
        <w:gridCol w:w="178"/>
        <w:gridCol w:w="996"/>
        <w:gridCol w:w="435"/>
      </w:tblGrid>
      <w:tr>
        <w:trPr/>
        <w:tc>
          <w:tcPr>
            <w:tcW w:w="18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435" w:type="dxa"/>
            <w:tcBorders/>
            <w:shd w:fill="auto" w:val="clear"/>
            <w:vAlign w:val="bottom"/>
          </w:tcPr>
          <w:p>
            <w:pPr>
              <w:pStyle w:val="TableContents"/>
              <w:spacing w:before="0" w:after="283"/>
              <w:jc w:val="left"/>
              <w:rPr/>
            </w:pPr>
            <w:r>
              <w:rPr/>
              <w:t> </w:t>
            </w:r>
          </w:p>
        </w:tc>
      </w:tr>
      <w:tr>
        <w:trPr/>
        <w:tc>
          <w:tcPr>
            <w:tcW w:w="1850" w:type="dxa"/>
            <w:tcBorders/>
            <w:shd w:fill="auto" w:val="clear"/>
            <w:vAlign w:val="bottom"/>
          </w:tcPr>
          <w:p>
            <w:pPr>
              <w:pStyle w:val="TableContents"/>
              <w:spacing w:before="0" w:after="0"/>
              <w:ind w:left="144" w:right="0" w:hanging="144"/>
              <w:jc w:val="left"/>
              <w:rPr>
                <w:rFonts w:ascii="Times New Roman" w:hAnsi="Times New Roman"/>
                <w:i/>
                <w:color w:val="000000"/>
                <w:sz w:val="20"/>
              </w:rPr>
            </w:pPr>
            <w:r>
              <w:rPr>
                <w:rFonts w:ascii="Times New Roman" w:hAnsi="Times New Roman"/>
                <w:i/>
                <w:color w:val="000000"/>
                <w:sz w:val="20"/>
              </w:rPr>
              <w:t>Nu Skin</w:t>
            </w:r>
          </w:p>
        </w:tc>
        <w:tc>
          <w:tcPr>
            <w:tcW w:w="60" w:type="dxa"/>
            <w:tcBorders/>
            <w:shd w:fill="auto" w:val="clear"/>
            <w:vAlign w:val="bottom"/>
          </w:tcPr>
          <w:p>
            <w:pPr>
              <w:pStyle w:val="TableContents"/>
              <w:spacing w:before="0" w:after="283"/>
              <w:rPr/>
            </w:pPr>
            <w:r>
              <w:rPr/>
              <w:t> </w:t>
            </w:r>
          </w:p>
        </w:tc>
        <w:tc>
          <w:tcPr>
            <w:tcW w:w="88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jc w:val="left"/>
              <w:rPr/>
            </w:pPr>
            <w:r>
              <w:rPr/>
              <w:t> </w:t>
            </w:r>
          </w:p>
        </w:tc>
      </w:tr>
      <w:tr>
        <w:trPr/>
        <w:tc>
          <w:tcPr>
            <w:tcW w:w="1850" w:type="dxa"/>
            <w:tcBorders/>
            <w:shd w:fill="CCEEFF"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 xml:space="preserve">Americas </w:t>
            </w:r>
          </w:p>
        </w:tc>
        <w:tc>
          <w:tcPr>
            <w:tcW w:w="60"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5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9,449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8"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9,449</w:t>
            </w:r>
          </w:p>
        </w:tc>
        <w:tc>
          <w:tcPr>
            <w:tcW w:w="435" w:type="dxa"/>
            <w:tcBorders/>
            <w:shd w:fill="CCEEFF" w:val="clear"/>
            <w:vAlign w:val="bottom"/>
          </w:tcPr>
          <w:p>
            <w:pPr>
              <w:pStyle w:val="TableContents"/>
              <w:spacing w:before="0" w:after="283"/>
              <w:ind w:left="0" w:right="0" w:firstLine="360"/>
              <w:jc w:val="left"/>
              <w:rPr/>
            </w:pPr>
            <w:r>
              <w:rPr/>
              <w:t> </w:t>
            </w:r>
          </w:p>
        </w:tc>
      </w:tr>
      <w:tr>
        <w:trPr/>
        <w:tc>
          <w:tcPr>
            <w:tcW w:w="1850" w:type="dxa"/>
            <w:tcBorders/>
            <w:shd w:fill="auto" w:val="clear"/>
            <w:vAlign w:val="bottom"/>
          </w:tcPr>
          <w:p>
            <w:pPr>
              <w:pStyle w:val="TableContents"/>
              <w:spacing w:before="0" w:after="283"/>
              <w:rPr/>
            </w:pPr>
            <w:r>
              <w:rPr/>
              <w:t>South Korea</w:t>
            </w:r>
          </w:p>
        </w:tc>
        <w:tc>
          <w:tcPr>
            <w:tcW w:w="60" w:type="dxa"/>
            <w:tcBorders/>
            <w:shd w:fill="auto" w:val="cle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29,261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283"/>
              <w:jc w:val="right"/>
              <w:rPr/>
            </w:pPr>
            <w:r>
              <w:rPr/>
              <w:t>29,261</w:t>
            </w:r>
          </w:p>
        </w:tc>
        <w:tc>
          <w:tcPr>
            <w:tcW w:w="435" w:type="dxa"/>
            <w:tcBorders/>
            <w:shd w:fill="auto" w:val="clear"/>
            <w:vAlign w:val="bottom"/>
          </w:tcPr>
          <w:p>
            <w:pPr>
              <w:pStyle w:val="TableContents"/>
              <w:spacing w:before="0" w:after="283"/>
              <w:jc w:val="left"/>
              <w:rPr/>
            </w:pPr>
            <w:r>
              <w:rPr/>
              <w:t> </w:t>
            </w:r>
          </w:p>
        </w:tc>
      </w:tr>
      <w:tr>
        <w:trPr/>
        <w:tc>
          <w:tcPr>
            <w:tcW w:w="1850" w:type="dxa"/>
            <w:tcBorders/>
            <w:shd w:fill="CCEEFF"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Mainland China</w:t>
            </w:r>
          </w:p>
        </w:tc>
        <w:tc>
          <w:tcPr>
            <w:tcW w:w="60"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32,179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8"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32,179</w:t>
            </w:r>
          </w:p>
        </w:tc>
        <w:tc>
          <w:tcPr>
            <w:tcW w:w="435" w:type="dxa"/>
            <w:tcBorders/>
            <w:shd w:fill="CCEEFF" w:val="clear"/>
            <w:vAlign w:val="bottom"/>
          </w:tcPr>
          <w:p>
            <w:pPr>
              <w:pStyle w:val="TableContents"/>
              <w:spacing w:before="0" w:after="283"/>
              <w:jc w:val="left"/>
              <w:rPr/>
            </w:pPr>
            <w:r>
              <w:rPr/>
              <w:t> </w:t>
            </w:r>
          </w:p>
        </w:tc>
      </w:tr>
      <w:tr>
        <w:trPr/>
        <w:tc>
          <w:tcPr>
            <w:tcW w:w="1850" w:type="dxa"/>
            <w:tcBorders/>
            <w:shd w:fill="auto"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shd w:fill="auto" w:val="cle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18,537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18,537</w:t>
            </w:r>
          </w:p>
        </w:tc>
        <w:tc>
          <w:tcPr>
            <w:tcW w:w="435" w:type="dxa"/>
            <w:tcBorders/>
            <w:shd w:fill="auto" w:val="clear"/>
            <w:vAlign w:val="bottom"/>
          </w:tcPr>
          <w:p>
            <w:pPr>
              <w:pStyle w:val="TableContents"/>
              <w:spacing w:before="0" w:after="283"/>
              <w:jc w:val="left"/>
              <w:rPr/>
            </w:pPr>
            <w:r>
              <w:rPr/>
              <w:t> </w:t>
            </w:r>
          </w:p>
        </w:tc>
      </w:tr>
      <w:tr>
        <w:trPr/>
        <w:tc>
          <w:tcPr>
            <w:tcW w:w="1850" w:type="dxa"/>
            <w:tcBorders/>
            <w:shd w:fill="CCEEFF" w:val="clear"/>
            <w:vAlign w:val="bottom"/>
          </w:tcPr>
          <w:p>
            <w:pPr>
              <w:pStyle w:val="TableContents"/>
              <w:spacing w:before="0" w:after="0"/>
              <w:ind w:left="360" w:right="0" w:hanging="0"/>
              <w:jc w:val="left"/>
              <w:rPr>
                <w:rFonts w:ascii="Times New Roman" w:hAnsi="Times New Roman"/>
                <w:color w:val="000000"/>
                <w:sz w:val="20"/>
              </w:rPr>
            </w:pPr>
            <w:r>
              <w:rPr>
                <w:rFonts w:ascii="Times New Roman" w:hAnsi="Times New Roman"/>
                <w:color w:val="000000"/>
                <w:sz w:val="20"/>
              </w:rPr>
              <w:t>Japan</w:t>
            </w:r>
          </w:p>
        </w:tc>
        <w:tc>
          <w:tcPr>
            <w:tcW w:w="60"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16,019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8"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16,019</w:t>
            </w:r>
          </w:p>
        </w:tc>
        <w:tc>
          <w:tcPr>
            <w:tcW w:w="435" w:type="dxa"/>
            <w:tcBorders/>
            <w:shd w:fill="CCEEFF" w:val="clear"/>
            <w:vAlign w:val="bottom"/>
          </w:tcPr>
          <w:p>
            <w:pPr>
              <w:pStyle w:val="TableContents"/>
              <w:spacing w:before="0" w:after="283"/>
              <w:jc w:val="left"/>
              <w:rPr/>
            </w:pPr>
            <w:r>
              <w:rPr/>
              <w:t> </w:t>
            </w:r>
          </w:p>
        </w:tc>
      </w:tr>
      <w:tr>
        <w:trPr/>
        <w:tc>
          <w:tcPr>
            <w:tcW w:w="1850" w:type="dxa"/>
            <w:tcBorders/>
            <w:shd w:fill="auto" w:val="clear"/>
            <w:vAlign w:val="bottom"/>
          </w:tcPr>
          <w:p>
            <w:pPr>
              <w:pStyle w:val="TableContents"/>
              <w:spacing w:before="0" w:after="0"/>
              <w:ind w:left="360" w:right="0" w:hanging="0"/>
              <w:jc w:val="left"/>
              <w:rPr>
                <w:rFonts w:ascii="Times New Roman" w:hAnsi="Times New Roman"/>
                <w:color w:val="000000"/>
                <w:sz w:val="20"/>
              </w:rPr>
            </w:pPr>
            <w:r>
              <w:rPr>
                <w:rFonts w:ascii="Times New Roman" w:hAnsi="Times New Roman"/>
                <w:color w:val="000000"/>
                <w:sz w:val="20"/>
              </w:rPr>
              <w:t>EMEA</w:t>
            </w:r>
          </w:p>
        </w:tc>
        <w:tc>
          <w:tcPr>
            <w:tcW w:w="60" w:type="dxa"/>
            <w:tcBorders/>
            <w:shd w:fill="auto" w:val="cle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2,875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2,875</w:t>
            </w:r>
          </w:p>
        </w:tc>
        <w:tc>
          <w:tcPr>
            <w:tcW w:w="435" w:type="dxa"/>
            <w:tcBorders/>
            <w:shd w:fill="auto" w:val="clear"/>
            <w:vAlign w:val="bottom"/>
          </w:tcPr>
          <w:p>
            <w:pPr>
              <w:pStyle w:val="TableContents"/>
              <w:spacing w:before="0" w:after="283"/>
              <w:jc w:val="left"/>
              <w:rPr/>
            </w:pPr>
            <w:r>
              <w:rPr/>
              <w:t> </w:t>
            </w:r>
          </w:p>
        </w:tc>
      </w:tr>
      <w:tr>
        <w:trPr/>
        <w:tc>
          <w:tcPr>
            <w:tcW w:w="1850" w:type="dxa"/>
            <w:tcBorders/>
            <w:shd w:fill="CCEEFF" w:val="clear"/>
            <w:vAlign w:val="bottom"/>
          </w:tcPr>
          <w:p>
            <w:pPr>
              <w:pStyle w:val="TableContents"/>
              <w:spacing w:before="0" w:after="0"/>
              <w:ind w:left="504" w:right="0" w:hanging="144"/>
              <w:jc w:val="left"/>
              <w:rPr>
                <w:rFonts w:ascii="Times New Roman" w:hAnsi="Times New Roman"/>
                <w:color w:val="000000"/>
                <w:sz w:val="20"/>
              </w:rPr>
            </w:pPr>
            <w:r>
              <w:rPr>
                <w:rFonts w:ascii="Times New Roman" w:hAnsi="Times New Roman"/>
                <w:color w:val="000000"/>
                <w:sz w:val="20"/>
              </w:rPr>
              <w:t>Hong Kong/Taiwan</w:t>
            </w:r>
          </w:p>
        </w:tc>
        <w:tc>
          <w:tcPr>
            <w:tcW w:w="60"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6,634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8"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6,634</w:t>
            </w:r>
          </w:p>
        </w:tc>
        <w:tc>
          <w:tcPr>
            <w:tcW w:w="435" w:type="dxa"/>
            <w:tcBorders/>
            <w:shd w:fill="CCEEFF" w:val="clear"/>
            <w:vAlign w:val="bottom"/>
          </w:tcPr>
          <w:p>
            <w:pPr>
              <w:pStyle w:val="TableContents"/>
              <w:spacing w:before="0" w:after="283"/>
              <w:jc w:val="left"/>
              <w:rPr/>
            </w:pPr>
            <w:r>
              <w:rPr/>
              <w:t> </w:t>
            </w:r>
          </w:p>
        </w:tc>
      </w:tr>
      <w:tr>
        <w:trPr/>
        <w:tc>
          <w:tcPr>
            <w:tcW w:w="1850" w:type="dxa"/>
            <w:tcBorders/>
            <w:shd w:fill="auto" w:val="clear"/>
            <w:vAlign w:val="bottom"/>
          </w:tcPr>
          <w:p>
            <w:pPr>
              <w:pStyle w:val="TableContents"/>
              <w:spacing w:before="0" w:after="0"/>
              <w:ind w:left="144" w:right="0" w:hanging="144"/>
              <w:jc w:val="left"/>
              <w:rPr>
                <w:rFonts w:ascii="Times New Roman" w:hAnsi="Times New Roman"/>
                <w:i/>
                <w:color w:val="000000"/>
                <w:sz w:val="20"/>
              </w:rPr>
            </w:pPr>
            <w:r>
              <w:rPr>
                <w:rFonts w:ascii="Times New Roman" w:hAnsi="Times New Roman"/>
                <w:i/>
                <w:color w:val="000000"/>
                <w:sz w:val="20"/>
              </w:rPr>
              <w:t>Rhyz Investments</w:t>
            </w:r>
          </w:p>
        </w:tc>
        <w:tc>
          <w:tcPr>
            <w:tcW w:w="60" w:type="dxa"/>
            <w:tcBorders/>
            <w:shd w:fill="auto" w:val="cle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283"/>
              <w:jc w:val="right"/>
              <w:rPr/>
            </w:pPr>
            <w:r>
              <w:rPr/>
              <w:t> </w:t>
            </w:r>
          </w:p>
        </w:tc>
        <w:tc>
          <w:tcPr>
            <w:tcW w:w="435" w:type="dxa"/>
            <w:tcBorders/>
            <w:shd w:fill="auto" w:val="clear"/>
            <w:vAlign w:val="bottom"/>
          </w:tcPr>
          <w:p>
            <w:pPr>
              <w:pStyle w:val="TableContents"/>
              <w:spacing w:before="0" w:after="283"/>
              <w:jc w:val="left"/>
              <w:rPr/>
            </w:pPr>
            <w:r>
              <w:rPr/>
              <w:t> </w:t>
            </w:r>
          </w:p>
        </w:tc>
      </w:tr>
      <w:tr>
        <w:trPr/>
        <w:tc>
          <w:tcPr>
            <w:tcW w:w="1850" w:type="dxa"/>
            <w:tcBorders/>
            <w:shd w:fill="CCEEFF" w:val="clear"/>
            <w:vAlign w:val="bottom"/>
          </w:tcPr>
          <w:p>
            <w:pPr>
              <w:pStyle w:val="TableContents"/>
              <w:spacing w:before="0" w:after="0"/>
              <w:ind w:left="540" w:right="0" w:hanging="180"/>
              <w:jc w:val="left"/>
              <w:rPr>
                <w:rFonts w:ascii="Times New Roman" w:hAnsi="Times New Roman"/>
                <w:color w:val="000000"/>
                <w:sz w:val="20"/>
              </w:rPr>
            </w:pPr>
            <w:r>
              <w:rPr>
                <w:rFonts w:ascii="Times New Roman" w:hAnsi="Times New Roman"/>
                <w:color w:val="000000"/>
                <w:sz w:val="20"/>
              </w:rPr>
              <w:t>Manufacturing</w:t>
            </w:r>
          </w:p>
        </w:tc>
        <w:tc>
          <w:tcPr>
            <w:tcW w:w="60"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78,875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8"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78,875</w:t>
            </w:r>
          </w:p>
        </w:tc>
        <w:tc>
          <w:tcPr>
            <w:tcW w:w="435" w:type="dxa"/>
            <w:tcBorders/>
            <w:shd w:fill="CCEEFF" w:val="clear"/>
            <w:vAlign w:val="bottom"/>
          </w:tcPr>
          <w:p>
            <w:pPr>
              <w:pStyle w:val="TableContents"/>
              <w:spacing w:before="0" w:after="283"/>
              <w:jc w:val="left"/>
              <w:rPr/>
            </w:pPr>
            <w:r>
              <w:rPr/>
              <w:t> </w:t>
            </w:r>
          </w:p>
        </w:tc>
      </w:tr>
      <w:tr>
        <w:trPr/>
        <w:tc>
          <w:tcPr>
            <w:tcW w:w="1850" w:type="dxa"/>
            <w:tcBorders/>
            <w:shd w:fill="auto" w:val="clear"/>
            <w:vAlign w:val="bottom"/>
          </w:tcPr>
          <w:p>
            <w:pPr>
              <w:pStyle w:val="TableContents"/>
              <w:spacing w:before="0" w:after="0"/>
              <w:ind w:left="540" w:right="0" w:hanging="180"/>
              <w:jc w:val="left"/>
              <w:rPr>
                <w:rFonts w:ascii="Times New Roman" w:hAnsi="Times New Roman"/>
                <w:color w:val="000000"/>
                <w:sz w:val="20"/>
              </w:rPr>
            </w:pPr>
            <w:r>
              <w:rPr>
                <w:rFonts w:ascii="Times New Roman" w:hAnsi="Times New Roman"/>
                <w:color w:val="000000"/>
                <w:sz w:val="20"/>
              </w:rPr>
              <w:t>Rhyz Other</w:t>
            </w:r>
          </w:p>
        </w:tc>
        <w:tc>
          <w:tcPr>
            <w:tcW w:w="60" w:type="dxa"/>
            <w:tcBorders/>
            <w:shd w:fill="auto" w:val="clear"/>
            <w:vAlign w:val="bottom"/>
          </w:tcPr>
          <w:p>
            <w:pPr>
              <w:pStyle w:val="TableContents"/>
              <w:spacing w:before="0" w:after="283"/>
              <w:jc w:val="right"/>
              <w:rPr/>
            </w:pPr>
            <w:r>
              <w:rPr/>
              <w:t> </w:t>
            </w:r>
          </w:p>
        </w:tc>
        <w:tc>
          <w:tcPr>
            <w:tcW w:w="13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12,603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12,603</w:t>
            </w:r>
          </w:p>
        </w:tc>
        <w:tc>
          <w:tcPr>
            <w:tcW w:w="435" w:type="dxa"/>
            <w:tcBorders/>
            <w:shd w:fill="auto" w:val="clear"/>
            <w:vAlign w:val="bottom"/>
          </w:tcPr>
          <w:p>
            <w:pPr>
              <w:pStyle w:val="TableContents"/>
              <w:spacing w:before="0" w:after="283"/>
              <w:jc w:val="left"/>
              <w:rPr/>
            </w:pPr>
            <w:r>
              <w:rPr/>
              <w:t> </w:t>
            </w:r>
          </w:p>
        </w:tc>
      </w:tr>
      <w:tr>
        <w:trPr/>
        <w:tc>
          <w:tcPr>
            <w:tcW w:w="1850"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spacing w:before="0" w:after="283"/>
              <w:jc w:val="right"/>
              <w:rPr/>
            </w:pPr>
            <w:r>
              <w:rPr/>
              <w:t> </w:t>
            </w:r>
          </w:p>
        </w:tc>
        <w:tc>
          <w:tcPr>
            <w:tcW w:w="13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206,432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206,432</w:t>
            </w:r>
          </w:p>
        </w:tc>
        <w:tc>
          <w:tcPr>
            <w:tcW w:w="43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tbl>
      <w:tblPr>
        <w:tblW w:w="610" w:type="dxa"/>
        <w:jc w:val="left"/>
        <w:tblInd w:w="0" w:type="dxa"/>
        <w:tblCellMar>
          <w:top w:w="0" w:type="dxa"/>
          <w:left w:w="0" w:type="dxa"/>
          <w:bottom w:w="0" w:type="dxa"/>
          <w:right w:w="0" w:type="dxa"/>
        </w:tblCellMar>
      </w:tblPr>
      <w:tblGrid>
        <w:gridCol w:w="185"/>
        <w:gridCol w:w="425"/>
      </w:tblGrid>
      <w:tr>
        <w:trPr/>
        <w:tc>
          <w:tcPr>
            <w:tcW w:w="185" w:type="dxa"/>
            <w:tcBorders/>
            <w:shd w:fill="auto" w:val="clear"/>
            <w:vAlign w:val="center"/>
          </w:tcPr>
          <w:p>
            <w:pPr>
              <w:pStyle w:val="TableContents"/>
              <w:spacing w:before="0" w:after="283"/>
              <w:rPr>
                <w:rFonts w:ascii="Times New Roman" w:hAnsi="Times New Roman"/>
                <w:b/>
                <w:color w:val="000000"/>
                <w:sz w:val="20"/>
              </w:rPr>
            </w:pPr>
            <w:r>
              <w:rPr>
                <w:rFonts w:ascii="Times New Roman" w:hAnsi="Times New Roman"/>
                <w:b/>
                <w:color w:val="000000"/>
                <w:sz w:val="20"/>
              </w:rPr>
              <w:t>4.</w:t>
            </w:r>
          </w:p>
        </w:tc>
        <w:tc>
          <w:tcPr>
            <w:tcW w:w="425" w:type="dxa"/>
            <w:tcBorders/>
            <w:shd w:fill="auto" w:val="clear"/>
            <w:vAlign w:val="center"/>
          </w:tcPr>
          <w:p>
            <w:pPr>
              <w:pStyle w:val="TableContents"/>
              <w:spacing w:before="0" w:after="0"/>
              <w:jc w:val="left"/>
              <w:rPr>
                <w:rFonts w:ascii="Times New Roman" w:hAnsi="Times New Roman"/>
                <w:b/>
                <w:color w:val="000000"/>
                <w:sz w:val="20"/>
              </w:rPr>
            </w:pPr>
            <w:r>
              <w:rPr>
                <w:rFonts w:ascii="Times New Roman" w:hAnsi="Times New Roman"/>
                <w:b/>
                <w:color w:val="000000"/>
                <w:sz w:val="20"/>
              </w:rPr>
              <w:t>Debt</w:t>
            </w:r>
          </w:p>
        </w:tc>
      </w:tr>
    </w:tbl>
    <w:p>
      <w:pPr>
        <w:pStyle w:val="TextBody"/>
        <w:spacing w:before="0" w:after="0"/>
        <w:jc w:val="both"/>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Credit Agreement</w:t>
      </w:r>
    </w:p>
    <w:p>
      <w:pPr>
        <w:pStyle w:val="TextBody"/>
        <w:spacing w:before="0" w:after="0"/>
        <w:jc w:val="both"/>
        <w:rPr>
          <w:rFonts w:ascii="Times New Roman" w:hAnsi="Times New Roman"/>
        </w:rPr>
      </w:pPr>
      <w:r>
        <w:rPr>
          <w:rFonts w:ascii="Times New Roman" w:hAnsi="Times New Roman"/>
        </w:rPr>
      </w:r>
    </w:p>
    <w:p>
      <w:pPr>
        <w:pStyle w:val="TextBody"/>
        <w:spacing w:before="0" w:after="0"/>
        <w:jc w:val="both"/>
        <w:rPr>
          <w:rFonts w:ascii="Times New Roman" w:hAnsi="Times New Roman"/>
          <w:color w:val="000000"/>
          <w:sz w:val="20"/>
        </w:rPr>
      </w:pPr>
      <w:r>
        <w:rPr>
          <w:rFonts w:ascii="Times New Roman" w:hAnsi="Times New Roman"/>
          <w:color w:val="000000"/>
          <w:sz w:val="20"/>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March 31, 2023, the Company was in compliance with all covenants under the Credit Agreement.</w:t>
      </w:r>
    </w:p>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the Company’s debt facilities as of March 31, 2023 and December 31, 2022:</w:t>
      </w:r>
    </w:p>
    <w:p>
      <w:pPr>
        <w:pStyle w:val="TextBody"/>
        <w:spacing w:before="0" w:after="0"/>
        <w:jc w:val="left"/>
        <w:rPr/>
      </w:pPr>
      <w:r>
        <w:rPr/>
      </w:r>
    </w:p>
    <w:tbl>
      <w:tblPr>
        <w:tblW w:w="10205" w:type="dxa"/>
        <w:jc w:val="left"/>
        <w:tblInd w:w="0" w:type="dxa"/>
        <w:tblCellMar>
          <w:top w:w="0" w:type="dxa"/>
          <w:left w:w="0" w:type="dxa"/>
          <w:bottom w:w="28" w:type="dxa"/>
          <w:right w:w="0" w:type="dxa"/>
        </w:tblCellMar>
      </w:tblPr>
      <w:tblGrid>
        <w:gridCol w:w="1729"/>
        <w:gridCol w:w="60"/>
        <w:gridCol w:w="913"/>
        <w:gridCol w:w="60"/>
        <w:gridCol w:w="833"/>
        <w:gridCol w:w="60"/>
        <w:gridCol w:w="969"/>
        <w:gridCol w:w="60"/>
        <w:gridCol w:w="1008"/>
        <w:gridCol w:w="60"/>
        <w:gridCol w:w="4453"/>
      </w:tblGrid>
      <w:tr>
        <w:trPr/>
        <w:tc>
          <w:tcPr>
            <w:tcW w:w="1729"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Facility or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Arrangement</w:t>
            </w:r>
          </w:p>
        </w:tc>
        <w:tc>
          <w:tcPr>
            <w:tcW w:w="60" w:type="dxa"/>
            <w:tcBorders/>
            <w:shd w:fill="auto" w:val="clear"/>
            <w:tcMar>
              <w:bottom w:w="0" w:type="dxa"/>
            </w:tcMar>
            <w:vAlign w:val="center"/>
          </w:tcPr>
          <w:p>
            <w:pPr>
              <w:pStyle w:val="TableContents"/>
              <w:spacing w:before="0" w:after="283"/>
              <w:rPr/>
            </w:pPr>
            <w:r>
              <w:rPr/>
              <w:t> </w:t>
            </w:r>
          </w:p>
        </w:tc>
        <w:tc>
          <w:tcPr>
            <w:tcW w:w="913"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Original</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Principal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Amount</w:t>
            </w:r>
          </w:p>
        </w:tc>
        <w:tc>
          <w:tcPr>
            <w:tcW w:w="60" w:type="dxa"/>
            <w:tcBorders/>
            <w:shd w:fill="auto" w:val="clear"/>
            <w:tcMar>
              <w:bottom w:w="0" w:type="dxa"/>
            </w:tcMar>
            <w:vAlign w:val="center"/>
          </w:tcPr>
          <w:p>
            <w:pPr>
              <w:pStyle w:val="TableContents"/>
              <w:spacing w:before="0" w:after="283"/>
              <w:rPr/>
            </w:pPr>
            <w:r>
              <w:rPr/>
              <w:t> </w:t>
            </w:r>
          </w:p>
        </w:tc>
        <w:tc>
          <w:tcPr>
            <w:tcW w:w="833"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Balance as of</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color w:val="000000"/>
                <w:sz w:val="20"/>
              </w:rPr>
            </w:pPr>
            <w:r>
              <w:rPr>
                <w:rFonts w:ascii="Times New Roman" w:hAnsi="Times New Roman"/>
                <w:b/>
                <w:color w:val="000000"/>
                <w:sz w:val="20"/>
              </w:rPr>
              <w:t>2023 </w:t>
            </w:r>
            <w:r>
              <w:rPr>
                <w:rFonts w:ascii="Times New Roman" w:hAnsi="Times New Roman"/>
                <w:color w:val="000000"/>
                <w:position w:val="7"/>
                <w:sz w:val="16"/>
                <w:sz w:val="20"/>
              </w:rPr>
              <w:t>(1)(2)</w:t>
            </w:r>
          </w:p>
        </w:tc>
        <w:tc>
          <w:tcPr>
            <w:tcW w:w="60" w:type="dxa"/>
            <w:tcBorders/>
            <w:shd w:fill="auto" w:val="clear"/>
            <w:tcMar>
              <w:bottom w:w="0" w:type="dxa"/>
            </w:tcMar>
            <w:vAlign w:val="center"/>
          </w:tcPr>
          <w:p>
            <w:pPr>
              <w:pStyle w:val="TableContents"/>
              <w:spacing w:before="0" w:after="283"/>
              <w:rPr/>
            </w:pPr>
            <w:r>
              <w:rPr/>
              <w:t> </w:t>
            </w:r>
          </w:p>
        </w:tc>
        <w:tc>
          <w:tcPr>
            <w:tcW w:w="969"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Balance as of</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spacing w:before="0" w:after="0"/>
              <w:jc w:val="center"/>
              <w:rPr>
                <w:rFonts w:ascii="Times New Roman" w:hAnsi="Times New Roman"/>
                <w:color w:val="000000"/>
                <w:sz w:val="20"/>
              </w:rPr>
            </w:pPr>
            <w:r>
              <w:rPr>
                <w:rFonts w:ascii="Times New Roman" w:hAnsi="Times New Roman"/>
                <w:b/>
                <w:color w:val="000000"/>
                <w:sz w:val="20"/>
              </w:rPr>
              <w:t>2022</w:t>
            </w:r>
            <w:r>
              <w:rPr>
                <w:rFonts w:ascii="Times New Roman" w:hAnsi="Times New Roman"/>
                <w:color w:val="000000"/>
                <w:position w:val="7"/>
                <w:sz w:val="16"/>
                <w:sz w:val="20"/>
              </w:rPr>
              <w:t xml:space="preserve"> (1)(2)</w:t>
            </w:r>
          </w:p>
        </w:tc>
        <w:tc>
          <w:tcPr>
            <w:tcW w:w="60" w:type="dxa"/>
            <w:tcBorders/>
            <w:shd w:fill="auto" w:val="clear"/>
            <w:tcMar>
              <w:bottom w:w="0" w:type="dxa"/>
            </w:tcMar>
            <w:vAlign w:val="center"/>
          </w:tcPr>
          <w:p>
            <w:pPr>
              <w:pStyle w:val="TableContents"/>
              <w:spacing w:before="0" w:after="283"/>
              <w:rPr/>
            </w:pPr>
            <w:r>
              <w:rPr/>
              <w:t> </w:t>
            </w:r>
          </w:p>
        </w:tc>
        <w:tc>
          <w:tcPr>
            <w:tcW w:w="1008"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Interest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Rate</w:t>
            </w:r>
          </w:p>
        </w:tc>
        <w:tc>
          <w:tcPr>
            <w:tcW w:w="60" w:type="dxa"/>
            <w:tcBorders/>
            <w:shd w:fill="auto" w:val="clear"/>
            <w:tcMar>
              <w:bottom w:w="0" w:type="dxa"/>
            </w:tcMar>
            <w:vAlign w:val="center"/>
          </w:tcPr>
          <w:p>
            <w:pPr>
              <w:pStyle w:val="TableContents"/>
              <w:spacing w:before="0" w:after="283"/>
              <w:rPr/>
            </w:pPr>
            <w:r>
              <w:rPr/>
              <w:t> </w:t>
            </w:r>
          </w:p>
        </w:tc>
        <w:tc>
          <w:tcPr>
            <w:tcW w:w="4453" w:type="dxa"/>
            <w:tcBorders>
              <w:bottom w:val="single" w:sz="12" w:space="0" w:color="000000"/>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Repayment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Terms</w:t>
            </w:r>
          </w:p>
        </w:tc>
      </w:tr>
      <w:tr>
        <w:trPr/>
        <w:tc>
          <w:tcPr>
            <w:tcW w:w="1729" w:type="dxa"/>
            <w:tcBorders/>
            <w:shd w:fill="CCEEFF" w:val="clear"/>
            <w:tcMar>
              <w:bottom w:w="0" w:type="dxa"/>
            </w:tcMar>
            <w:vAlign w:val="center"/>
          </w:tcPr>
          <w:p>
            <w:pPr>
              <w:pStyle w:val="TableContents"/>
              <w:spacing w:before="0" w:after="0"/>
              <w:ind w:left="180" w:right="0" w:hanging="180"/>
              <w:jc w:val="left"/>
              <w:rPr>
                <w:rFonts w:ascii="Times New Roman" w:hAnsi="Times New Roman"/>
                <w:b/>
                <w:color w:val="000000"/>
                <w:sz w:val="20"/>
              </w:rPr>
            </w:pPr>
            <w:r>
              <w:rPr>
                <w:rFonts w:ascii="Times New Roman" w:hAnsi="Times New Roman"/>
                <w:b/>
                <w:color w:val="000000"/>
                <w:sz w:val="20"/>
              </w:rPr>
              <w:t>Credit Agreement term loan facility</w:t>
            </w:r>
          </w:p>
        </w:tc>
        <w:tc>
          <w:tcPr>
            <w:tcW w:w="60" w:type="dxa"/>
            <w:tcBorders/>
            <w:shd w:fill="CCEEFF" w:val="clear"/>
            <w:tcMar>
              <w:bottom w:w="0" w:type="dxa"/>
            </w:tcMar>
            <w:vAlign w:val="center"/>
          </w:tcPr>
          <w:p>
            <w:pPr>
              <w:pStyle w:val="TableContents"/>
              <w:spacing w:before="0" w:after="283"/>
              <w:rPr/>
            </w:pPr>
            <w:r>
              <w:rPr/>
              <w:t> </w:t>
            </w:r>
          </w:p>
        </w:tc>
        <w:tc>
          <w:tcPr>
            <w:tcW w:w="913" w:type="dxa"/>
            <w:tcBorders/>
            <w:shd w:fill="CCEEFF" w:val="clear"/>
            <w:tcMar>
              <w:bottom w:w="0" w:type="dxa"/>
            </w:tcMar>
            <w:vAlign w:val="center"/>
          </w:tcPr>
          <w:p>
            <w:pPr>
              <w:pStyle w:val="TableContents"/>
              <w:spacing w:before="0" w:after="0"/>
              <w:jc w:val="right"/>
              <w:rPr>
                <w:rFonts w:ascii="Times New Roman" w:hAnsi="Times New Roman"/>
                <w:color w:val="000000"/>
                <w:sz w:val="20"/>
              </w:rPr>
            </w:pPr>
            <w:r>
              <w:rPr>
                <w:rFonts w:ascii="Times New Roman" w:hAnsi="Times New Roman"/>
                <w:color w:val="000000"/>
                <w:sz w:val="20"/>
              </w:rPr>
              <w:t>$400.0 million</w:t>
            </w:r>
          </w:p>
        </w:tc>
        <w:tc>
          <w:tcPr>
            <w:tcW w:w="60" w:type="dxa"/>
            <w:tcBorders/>
            <w:shd w:fill="CCEEFF" w:val="clear"/>
            <w:tcMar>
              <w:bottom w:w="0" w:type="dxa"/>
            </w:tcMar>
            <w:vAlign w:val="center"/>
          </w:tcPr>
          <w:p>
            <w:pPr>
              <w:pStyle w:val="TableContents"/>
              <w:spacing w:before="0" w:after="283"/>
              <w:rPr/>
            </w:pPr>
            <w:r>
              <w:rPr/>
              <w:t> </w:t>
            </w:r>
          </w:p>
        </w:tc>
        <w:tc>
          <w:tcPr>
            <w:tcW w:w="833" w:type="dxa"/>
            <w:tcBorders/>
            <w:shd w:fill="CCEEFF" w:val="clear"/>
            <w:tcMar>
              <w:bottom w:w="0" w:type="dxa"/>
            </w:tcMar>
            <w:vAlign w:val="center"/>
          </w:tcPr>
          <w:p>
            <w:pPr>
              <w:pStyle w:val="TableContents"/>
              <w:spacing w:before="0" w:after="0"/>
              <w:jc w:val="right"/>
              <w:rPr>
                <w:rFonts w:ascii="Times New Roman" w:hAnsi="Times New Roman"/>
                <w:color w:val="000000"/>
                <w:sz w:val="20"/>
              </w:rPr>
            </w:pPr>
            <w:r>
              <w:rPr>
                <w:rFonts w:ascii="Times New Roman" w:hAnsi="Times New Roman"/>
                <w:color w:val="000000"/>
                <w:sz w:val="20"/>
              </w:rPr>
              <w:t>$392.5 million</w:t>
            </w:r>
          </w:p>
          <w:p>
            <w:pPr>
              <w:pStyle w:val="TableContents"/>
              <w:spacing w:before="0" w:after="0"/>
              <w:jc w:val="right"/>
              <w:rPr/>
            </w:pPr>
            <w:r>
              <w:rPr/>
              <w:t> </w:t>
            </w:r>
          </w:p>
        </w:tc>
        <w:tc>
          <w:tcPr>
            <w:tcW w:w="60" w:type="dxa"/>
            <w:tcBorders/>
            <w:shd w:fill="CCEEFF" w:val="clear"/>
            <w:tcMar>
              <w:bottom w:w="0" w:type="dxa"/>
            </w:tcMar>
            <w:vAlign w:val="center"/>
          </w:tcPr>
          <w:p>
            <w:pPr>
              <w:pStyle w:val="TableContents"/>
              <w:spacing w:before="0" w:after="283"/>
              <w:rPr/>
            </w:pPr>
            <w:r>
              <w:rPr/>
              <w:t> </w:t>
            </w:r>
          </w:p>
        </w:tc>
        <w:tc>
          <w:tcPr>
            <w:tcW w:w="969" w:type="dxa"/>
            <w:tcBorders/>
            <w:shd w:fill="CCEEFF" w:val="clear"/>
            <w:tcMar>
              <w:bottom w:w="0" w:type="dxa"/>
            </w:tcMar>
            <w:vAlign w:val="center"/>
          </w:tcPr>
          <w:p>
            <w:pPr>
              <w:pStyle w:val="TableContents"/>
              <w:spacing w:before="0" w:after="0"/>
              <w:jc w:val="right"/>
              <w:rPr>
                <w:rFonts w:ascii="Times New Roman" w:hAnsi="Times New Roman"/>
                <w:color w:val="000000"/>
                <w:sz w:val="20"/>
              </w:rPr>
            </w:pPr>
            <w:r>
              <w:rPr>
                <w:rFonts w:ascii="Times New Roman" w:hAnsi="Times New Roman"/>
                <w:color w:val="000000"/>
                <w:sz w:val="20"/>
              </w:rPr>
              <w:t xml:space="preserve">$395.0 million </w:t>
            </w:r>
          </w:p>
        </w:tc>
        <w:tc>
          <w:tcPr>
            <w:tcW w:w="60" w:type="dxa"/>
            <w:tcBorders/>
            <w:shd w:fill="CCEEFF" w:val="clear"/>
            <w:tcMar>
              <w:bottom w:w="0" w:type="dxa"/>
            </w:tcMar>
            <w:vAlign w:val="center"/>
          </w:tcPr>
          <w:p>
            <w:pPr>
              <w:pStyle w:val="TableContents"/>
              <w:spacing w:before="0" w:after="283"/>
              <w:rPr/>
            </w:pPr>
            <w:r>
              <w:rPr/>
              <w:t> </w:t>
            </w:r>
          </w:p>
        </w:tc>
        <w:tc>
          <w:tcPr>
            <w:tcW w:w="1008" w:type="dxa"/>
            <w:tcBorders/>
            <w:shd w:fill="CCEEFF" w:val="clear"/>
            <w:tcMar>
              <w:bottom w:w="0" w:type="dxa"/>
            </w:tcM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Variable 30 day: 6.91%</w:t>
            </w:r>
          </w:p>
        </w:tc>
        <w:tc>
          <w:tcPr>
            <w:tcW w:w="60" w:type="dxa"/>
            <w:tcBorders/>
            <w:shd w:fill="CCEEFF" w:val="clear"/>
            <w:tcMar>
              <w:bottom w:w="0" w:type="dxa"/>
            </w:tcMar>
            <w:vAlign w:val="center"/>
          </w:tcPr>
          <w:p>
            <w:pPr>
              <w:pStyle w:val="TableContents"/>
              <w:spacing w:before="0" w:after="283"/>
              <w:rPr/>
            </w:pPr>
            <w:r>
              <w:rPr/>
              <w:t> </w:t>
            </w:r>
          </w:p>
        </w:tc>
        <w:tc>
          <w:tcPr>
            <w:tcW w:w="4453" w:type="dxa"/>
            <w:tcBorders/>
            <w:shd w:fill="CCEEFF" w:val="clear"/>
            <w:tcMar>
              <w:bottom w:w="0" w:type="dxa"/>
            </w:tcM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21% of the principal amount is payable in increasing quarterly installments over a five-year period that began on September 30, 2022, with the remainder payable at the end of the five-year term.</w:t>
            </w:r>
          </w:p>
        </w:tc>
      </w:tr>
      <w:tr>
        <w:trPr/>
        <w:tc>
          <w:tcPr>
            <w:tcW w:w="1729" w:type="dxa"/>
            <w:tcBorders/>
            <w:shd w:fill="auto" w:val="clear"/>
            <w:tcMar>
              <w:bottom w:w="0" w:type="dxa"/>
            </w:tcMar>
            <w:vAlign w:val="center"/>
          </w:tcPr>
          <w:p>
            <w:pPr>
              <w:pStyle w:val="TableContents"/>
              <w:spacing w:before="0" w:after="0"/>
              <w:ind w:left="180" w:right="0" w:hanging="180"/>
              <w:jc w:val="left"/>
              <w:rPr>
                <w:rFonts w:ascii="Times New Roman" w:hAnsi="Times New Roman"/>
                <w:b/>
                <w:color w:val="000000"/>
                <w:sz w:val="20"/>
              </w:rPr>
            </w:pPr>
            <w:r>
              <w:rPr>
                <w:rFonts w:ascii="Times New Roman" w:hAnsi="Times New Roman"/>
                <w:b/>
                <w:color w:val="000000"/>
                <w:sz w:val="20"/>
              </w:rPr>
              <w:t>Credit Agreement revolving credit facility</w:t>
            </w:r>
          </w:p>
        </w:tc>
        <w:tc>
          <w:tcPr>
            <w:tcW w:w="60" w:type="dxa"/>
            <w:tcBorders/>
            <w:shd w:fill="auto" w:val="clear"/>
            <w:tcMar>
              <w:bottom w:w="0" w:type="dxa"/>
            </w:tcMar>
            <w:vAlign w:val="center"/>
          </w:tcPr>
          <w:p>
            <w:pPr>
              <w:pStyle w:val="TableContents"/>
              <w:spacing w:before="0" w:after="283"/>
              <w:rPr/>
            </w:pPr>
            <w:r>
              <w:rPr/>
              <w:t> </w:t>
            </w:r>
          </w:p>
        </w:tc>
        <w:tc>
          <w:tcPr>
            <w:tcW w:w="91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33" w:type="dxa"/>
            <w:tcBorders/>
            <w:shd w:fill="auto" w:val="clear"/>
            <w:tcMar>
              <w:bottom w:w="0" w:type="dxa"/>
            </w:tcMar>
            <w:vAlign w:val="center"/>
          </w:tcPr>
          <w:p>
            <w:pPr>
              <w:pStyle w:val="TableContents"/>
              <w:spacing w:before="0" w:after="0"/>
              <w:jc w:val="right"/>
              <w:rPr>
                <w:rFonts w:ascii="Times New Roman" w:hAnsi="Times New Roman"/>
                <w:color w:val="000000"/>
                <w:sz w:val="20"/>
              </w:rPr>
            </w:pPr>
            <w:r>
              <w:rPr>
                <w:rFonts w:ascii="Times New Roman" w:hAnsi="Times New Roman"/>
                <w:color w:val="000000"/>
                <w:sz w:val="20"/>
              </w:rPr>
              <w:t>$30.0 million</w:t>
            </w:r>
          </w:p>
        </w:tc>
        <w:tc>
          <w:tcPr>
            <w:tcW w:w="60" w:type="dxa"/>
            <w:tcBorders/>
            <w:shd w:fill="auto" w:val="clear"/>
            <w:tcMar>
              <w:bottom w:w="0" w:type="dxa"/>
            </w:tcMar>
            <w:vAlign w:val="center"/>
          </w:tcPr>
          <w:p>
            <w:pPr>
              <w:pStyle w:val="TableContents"/>
              <w:spacing w:before="0" w:after="283"/>
              <w:rPr/>
            </w:pPr>
            <w:r>
              <w:rPr/>
              <w:t> </w:t>
            </w:r>
          </w:p>
        </w:tc>
        <w:tc>
          <w:tcPr>
            <w:tcW w:w="969" w:type="dxa"/>
            <w:tcBorders/>
            <w:shd w:fill="auto" w:val="clear"/>
            <w:tcMar>
              <w:bottom w:w="0" w:type="dxa"/>
            </w:tcMar>
            <w:vAlign w:val="center"/>
          </w:tcPr>
          <w:p>
            <w:pPr>
              <w:pStyle w:val="TableContents"/>
              <w:spacing w:before="0" w:after="0"/>
              <w:jc w:val="right"/>
              <w:rPr>
                <w:rFonts w:ascii="Times New Roman" w:hAnsi="Times New Roman"/>
                <w:color w:val="000000"/>
                <w:sz w:val="20"/>
              </w:rPr>
            </w:pPr>
            <w:r>
              <w:rPr>
                <w:rFonts w:ascii="Times New Roman" w:hAnsi="Times New Roman"/>
                <w:color w:val="000000"/>
                <w:sz w:val="20"/>
              </w:rPr>
              <w:t xml:space="preserve">$10.0 million </w:t>
            </w:r>
          </w:p>
        </w:tc>
        <w:tc>
          <w:tcPr>
            <w:tcW w:w="60" w:type="dxa"/>
            <w:tcBorders/>
            <w:shd w:fill="auto" w:val="clear"/>
            <w:tcMar>
              <w:bottom w:w="0" w:type="dxa"/>
            </w:tcMar>
            <w:vAlign w:val="center"/>
          </w:tcPr>
          <w:p>
            <w:pPr>
              <w:pStyle w:val="TableContents"/>
              <w:spacing w:before="0" w:after="283"/>
              <w:rPr/>
            </w:pPr>
            <w:r>
              <w:rPr/>
              <w:t> </w:t>
            </w:r>
          </w:p>
        </w:tc>
        <w:tc>
          <w:tcPr>
            <w:tcW w:w="1008" w:type="dxa"/>
            <w:tcBorders/>
            <w:shd w:fill="auto" w:val="clear"/>
            <w:tcMar>
              <w:bottom w:w="0" w:type="dxa"/>
            </w:tcM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 xml:space="preserve">Variable 30 day: 6.83% </w:t>
            </w:r>
          </w:p>
        </w:tc>
        <w:tc>
          <w:tcPr>
            <w:tcW w:w="60" w:type="dxa"/>
            <w:tcBorders/>
            <w:shd w:fill="auto" w:val="clear"/>
            <w:tcMar>
              <w:bottom w:w="0" w:type="dxa"/>
            </w:tcMar>
            <w:vAlign w:val="center"/>
          </w:tcPr>
          <w:p>
            <w:pPr>
              <w:pStyle w:val="TableContents"/>
              <w:spacing w:before="0" w:after="283"/>
              <w:rPr/>
            </w:pPr>
            <w:r>
              <w:rPr/>
              <w:t> </w:t>
            </w:r>
          </w:p>
        </w:tc>
        <w:tc>
          <w:tcPr>
            <w:tcW w:w="4453" w:type="dxa"/>
            <w:tcBorders/>
            <w:shd w:fill="auto" w:val="clear"/>
            <w:tcMar>
              <w:bottom w:w="0" w:type="dxa"/>
            </w:tcM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Revolving line of credit expires June 14, 2027.</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228"/>
        <w:gridCol w:w="9977"/>
      </w:tblGrid>
      <w:tr>
        <w:trPr/>
        <w:tc>
          <w:tcPr>
            <w:tcW w:w="228"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(1)</w:t>
            </w:r>
          </w:p>
        </w:tc>
        <w:tc>
          <w:tcPr>
            <w:tcW w:w="997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As of March 31, 2023 and December 31, 2022, the current portion of the Company’s debt (i.e., becoming due in the next 12 months) included $17.5 million and $15.0 million, respectively, of the balance of its term loan under the Credit Agreement.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(2)</w:t>
            </w:r>
          </w:p>
        </w:tc>
        <w:tc>
          <w:tcPr>
            <w:tcW w:w="9979"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carrying value of the debt reflects the amounts stated in the above table, less debt issuance costs of $2.4 million and $2.5 million as of March 31, 2023 and December 31, 2022, respectively, related to the Credit Agreement, which are not reflected in this table.</w:t>
            </w:r>
          </w:p>
        </w:tc>
      </w:tr>
    </w:tbl>
    <w:p>
      <w:pPr>
        <w:pStyle w:val="TextBody"/>
        <w:spacing w:before="0" w:after="0"/>
        <w:jc w:val="left"/>
        <w:rPr/>
      </w:pPr>
      <w:r>
        <w:rPr/>
      </w:r>
    </w:p>
    <w:tbl>
      <w:tblPr>
        <w:tblW w:w="790" w:type="dxa"/>
        <w:jc w:val="left"/>
        <w:tblInd w:w="0" w:type="dxa"/>
        <w:tblCellMar>
          <w:top w:w="0" w:type="dxa"/>
          <w:left w:w="0" w:type="dxa"/>
          <w:bottom w:w="0" w:type="dxa"/>
          <w:right w:w="0" w:type="dxa"/>
        </w:tblCellMar>
      </w:tblPr>
      <w:tblGrid>
        <w:gridCol w:w="185"/>
        <w:gridCol w:w="605"/>
      </w:tblGrid>
      <w:tr>
        <w:trPr/>
        <w:tc>
          <w:tcPr>
            <w:tcW w:w="185" w:type="dxa"/>
            <w:tcBorders/>
            <w:shd w:fill="auto" w:val="clear"/>
            <w:vAlign w:val="center"/>
          </w:tcPr>
          <w:p>
            <w:pPr>
              <w:pStyle w:val="TableContents"/>
              <w:spacing w:before="0" w:after="283"/>
              <w:rPr>
                <w:rFonts w:ascii="Times New Roman;Times;serif" w:hAnsi="Times New Roman;Times;serif"/>
                <w:b/>
                <w:color w:val="000000"/>
                <w:sz w:val="20"/>
              </w:rPr>
            </w:pPr>
            <w:r>
              <w:rPr>
                <w:rFonts w:ascii="Times New Roman;Times;serif" w:hAnsi="Times New Roman;Times;serif"/>
                <w:b/>
                <w:color w:val="000000"/>
                <w:sz w:val="20"/>
              </w:rPr>
              <w:t>5.</w:t>
            </w:r>
          </w:p>
        </w:tc>
        <w:tc>
          <w:tcPr>
            <w:tcW w:w="605" w:type="dxa"/>
            <w:tcBorders/>
            <w:shd w:fill="auto" w:val="clear"/>
            <w:vAlign w:val="center"/>
          </w:tcPr>
          <w:p>
            <w:pPr>
              <w:pStyle w:val="TableContents"/>
              <w:spacing w:before="0" w:after="0"/>
              <w:jc w:val="both"/>
              <w:rPr>
                <w:rFonts w:ascii="Times New Roman;Times;serif" w:hAnsi="Times New Roman;Times;serif"/>
                <w:b/>
                <w:color w:val="000000"/>
                <w:sz w:val="20"/>
              </w:rPr>
            </w:pPr>
            <w:r>
              <w:rPr>
                <w:rFonts w:ascii="Times New Roman;Times;serif" w:hAnsi="Times New Roman;Times;serif"/>
                <w:b/>
                <w:color w:val="000000"/>
                <w:sz w:val="20"/>
              </w:rPr>
              <w:t>Leases</w:t>
            </w:r>
          </w:p>
        </w:tc>
      </w:tr>
    </w:tbl>
    <w:p>
      <w:pPr>
        <w:pStyle w:val="TextBody"/>
        <w:spacing w:before="0" w:after="0"/>
        <w:jc w:val="left"/>
        <w:rPr/>
      </w:pPr>
      <w:r>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As of March 31, 2023, the weighted average remaining lease term was 8.8 and 4.4 years for operating and finance leases, respectively. As of March 31, 2023, the weighted average discount rate was 3.3% and 3.6% for operating and finance leases, respectively.</w:t>
      </w:r>
    </w:p>
    <w:p>
      <w:pPr>
        <w:pStyle w:val="TextBody"/>
        <w:spacing w:before="0" w:after="0"/>
        <w:jc w:val="left"/>
        <w:rPr/>
      </w:pPr>
      <w:r>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components of lease expense were as follows (U.S. dollars in thousands):</w:t>
      </w:r>
    </w:p>
    <w:p>
      <w:pPr>
        <w:pStyle w:val="TextBody"/>
        <w:spacing w:before="0" w:after="0"/>
        <w:jc w:val="left"/>
        <w:rPr/>
      </w:pPr>
      <w:r>
        <w:rPr/>
      </w:r>
    </w:p>
    <w:tbl>
      <w:tblPr>
        <w:tblW w:w="4748" w:type="dxa"/>
        <w:jc w:val="left"/>
        <w:tblInd w:w="0" w:type="dxa"/>
        <w:tblCellMar>
          <w:top w:w="0" w:type="dxa"/>
          <w:left w:w="0" w:type="dxa"/>
          <w:bottom w:w="0" w:type="dxa"/>
          <w:right w:w="0" w:type="dxa"/>
        </w:tblCellMar>
      </w:tblPr>
      <w:tblGrid>
        <w:gridCol w:w="2825"/>
        <w:gridCol w:w="60"/>
        <w:gridCol w:w="144"/>
        <w:gridCol w:w="681"/>
        <w:gridCol w:w="69"/>
        <w:gridCol w:w="69"/>
        <w:gridCol w:w="144"/>
        <w:gridCol w:w="681"/>
        <w:gridCol w:w="75"/>
      </w:tblGrid>
      <w:tr>
        <w:trPr/>
        <w:tc>
          <w:tcPr>
            <w:tcW w:w="28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88" w:type="dxa"/>
            <w:gridSpan w:val="6"/>
            <w:tcBorders>
              <w:bottom w:val="single" w:sz="12" w:space="0" w:color="000000"/>
            </w:tcBorders>
            <w:shd w:fill="auto" w:val="clear"/>
            <w:tcMar>
              <w:bottom w:w="28" w:type="dxa"/>
            </w:tcMar>
            <w:vAlign w:val="bottom"/>
          </w:tcPr>
          <w:p>
            <w:pPr>
              <w:pStyle w:val="TableContents"/>
              <w:spacing w:before="0" w:after="0"/>
              <w:ind w:left="0" w:right="0" w:hanging="14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75" w:type="dxa"/>
            <w:tcBorders/>
            <w:shd w:fill="auto" w:val="clear"/>
            <w:vAlign w:val="bottom"/>
          </w:tcPr>
          <w:p>
            <w:pPr>
              <w:pStyle w:val="TableContents"/>
              <w:spacing w:before="0" w:after="283"/>
              <w:jc w:val="left"/>
              <w:rPr/>
            </w:pPr>
            <w:r>
              <w:rPr/>
              <w:t> </w:t>
            </w:r>
          </w:p>
        </w:tc>
      </w:tr>
      <w:tr>
        <w:trPr/>
        <w:tc>
          <w:tcPr>
            <w:tcW w:w="28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8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75" w:type="dxa"/>
            <w:tcBorders/>
            <w:shd w:fill="auto" w:val="clear"/>
            <w:vAlign w:val="bottom"/>
          </w:tcPr>
          <w:p>
            <w:pPr>
              <w:pStyle w:val="TableContents"/>
              <w:spacing w:before="0" w:after="283"/>
              <w:jc w:val="left"/>
              <w:rPr/>
            </w:pPr>
            <w:r>
              <w:rPr/>
              <w:t> </w:t>
            </w:r>
          </w:p>
        </w:tc>
      </w:tr>
      <w:tr>
        <w:trPr/>
        <w:tc>
          <w:tcPr>
            <w:tcW w:w="2825"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Operating lease expense</w:t>
            </w:r>
          </w:p>
        </w:tc>
        <w:tc>
          <w:tcPr>
            <w:tcW w:w="60"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825" w:type="dxa"/>
            <w:tcBorders/>
            <w:shd w:fill="CCEEFF" w:val="clear"/>
            <w:vAlign w:val="bottom"/>
          </w:tcPr>
          <w:p>
            <w:pPr>
              <w:pStyle w:val="TableContents"/>
              <w:spacing w:before="0" w:after="0"/>
              <w:ind w:left="721" w:right="0" w:hanging="548"/>
              <w:jc w:val="left"/>
              <w:rPr>
                <w:rFonts w:ascii="Times New Roman;Times;serif" w:hAnsi="Times New Roman;Times;serif"/>
                <w:color w:val="000000"/>
                <w:sz w:val="20"/>
              </w:rPr>
            </w:pPr>
            <w:r>
              <w:rPr>
                <w:rFonts w:ascii="Times New Roman;Times;serif" w:hAnsi="Times New Roman;Times;serif"/>
                <w:color w:val="000000"/>
                <w:sz w:val="20"/>
              </w:rPr>
              <w:t>Operating lease cost</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8,161</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10,439</w:t>
            </w:r>
          </w:p>
        </w:tc>
        <w:tc>
          <w:tcPr>
            <w:tcW w:w="75" w:type="dxa"/>
            <w:tcBorders/>
            <w:shd w:fill="CCEEFF" w:val="clear"/>
            <w:vAlign w:val="bottom"/>
          </w:tcPr>
          <w:p>
            <w:pPr>
              <w:pStyle w:val="TableContents"/>
              <w:spacing w:before="0" w:after="283"/>
              <w:jc w:val="left"/>
              <w:rPr/>
            </w:pPr>
            <w:r>
              <w:rPr/>
              <w:t> </w:t>
            </w:r>
          </w:p>
        </w:tc>
      </w:tr>
      <w:tr>
        <w:trPr/>
        <w:tc>
          <w:tcPr>
            <w:tcW w:w="2825" w:type="dxa"/>
            <w:tcBorders/>
            <w:shd w:fill="auto" w:val="clear"/>
            <w:vAlign w:val="bottom"/>
          </w:tcPr>
          <w:p>
            <w:pPr>
              <w:pStyle w:val="TableContents"/>
              <w:spacing w:before="0" w:after="0"/>
              <w:ind w:left="721" w:right="0" w:hanging="548"/>
              <w:jc w:val="left"/>
              <w:rPr>
                <w:rFonts w:ascii="Times New Roman;Times;serif" w:hAnsi="Times New Roman;Times;serif"/>
                <w:color w:val="000000"/>
                <w:sz w:val="20"/>
              </w:rPr>
            </w:pPr>
            <w:r>
              <w:rPr>
                <w:rFonts w:ascii="Times New Roman;Times;serif" w:hAnsi="Times New Roman;Times;serif"/>
                <w:color w:val="000000"/>
                <w:sz w:val="20"/>
              </w:rPr>
              <w:t>Variable lease cost</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1,075</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1,157</w:t>
            </w:r>
          </w:p>
        </w:tc>
        <w:tc>
          <w:tcPr>
            <w:tcW w:w="75" w:type="dxa"/>
            <w:tcBorders/>
            <w:shd w:fill="auto" w:val="clear"/>
            <w:vAlign w:val="bottom"/>
          </w:tcPr>
          <w:p>
            <w:pPr>
              <w:pStyle w:val="TableContents"/>
              <w:spacing w:before="0" w:after="283"/>
              <w:jc w:val="left"/>
              <w:rPr/>
            </w:pPr>
            <w:r>
              <w:rPr/>
              <w:t> </w:t>
            </w:r>
          </w:p>
        </w:tc>
      </w:tr>
      <w:tr>
        <w:trPr/>
        <w:tc>
          <w:tcPr>
            <w:tcW w:w="2825" w:type="dxa"/>
            <w:tcBorders/>
            <w:shd w:fill="CCEEFF" w:val="clear"/>
            <w:vAlign w:val="bottom"/>
          </w:tcPr>
          <w:p>
            <w:pPr>
              <w:pStyle w:val="TableContents"/>
              <w:spacing w:before="0" w:after="0"/>
              <w:ind w:left="721" w:right="0" w:hanging="548"/>
              <w:jc w:val="left"/>
              <w:rPr>
                <w:rFonts w:ascii="Times New Roman;Times;serif" w:hAnsi="Times New Roman;Times;serif"/>
                <w:color w:val="000000"/>
                <w:sz w:val="20"/>
              </w:rPr>
            </w:pPr>
            <w:r>
              <w:rPr>
                <w:rFonts w:ascii="Times New Roman;Times;serif" w:hAnsi="Times New Roman;Times;serif"/>
                <w:color w:val="000000"/>
                <w:sz w:val="20"/>
              </w:rPr>
              <w:t>Short-term lease cost</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0"/>
              <w:jc w:val="right"/>
              <w:rPr>
                <w:color w:val="000000"/>
              </w:rPr>
            </w:pPr>
            <w:r>
              <w:rPr>
                <w:color w:val="000000"/>
              </w:rPr>
              <w:t>—</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30</w:t>
            </w:r>
          </w:p>
        </w:tc>
        <w:tc>
          <w:tcPr>
            <w:tcW w:w="75" w:type="dxa"/>
            <w:tcBorders/>
            <w:shd w:fill="CCEEFF" w:val="clear"/>
            <w:vAlign w:val="bottom"/>
          </w:tcPr>
          <w:p>
            <w:pPr>
              <w:pStyle w:val="TableContents"/>
              <w:spacing w:before="0" w:after="283"/>
              <w:jc w:val="left"/>
              <w:rPr/>
            </w:pPr>
            <w:r>
              <w:rPr/>
              <w:t> </w:t>
            </w:r>
          </w:p>
        </w:tc>
      </w:tr>
      <w:tr>
        <w:trPr/>
        <w:tc>
          <w:tcPr>
            <w:tcW w:w="2825"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Finance lease expense</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 </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825" w:type="dxa"/>
            <w:tcBorders/>
            <w:shd w:fill="CCEEFF" w:val="clear"/>
            <w:vAlign w:val="bottom"/>
          </w:tcPr>
          <w:p>
            <w:pPr>
              <w:pStyle w:val="TableContents"/>
              <w:spacing w:before="0" w:after="0"/>
              <w:ind w:left="721" w:right="0" w:hanging="548"/>
              <w:jc w:val="left"/>
              <w:rPr>
                <w:rFonts w:ascii="Times New Roman;Times;serif" w:hAnsi="Times New Roman;Times;serif"/>
                <w:color w:val="000000"/>
                <w:sz w:val="20"/>
              </w:rPr>
            </w:pPr>
            <w:r>
              <w:rPr>
                <w:rFonts w:ascii="Times New Roman;Times;serif" w:hAnsi="Times New Roman;Times;serif"/>
                <w:color w:val="000000"/>
                <w:sz w:val="20"/>
              </w:rPr>
              <w:t>Amortization of right-of-use assets</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1,000</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556</w:t>
            </w:r>
          </w:p>
        </w:tc>
        <w:tc>
          <w:tcPr>
            <w:tcW w:w="75" w:type="dxa"/>
            <w:tcBorders/>
            <w:shd w:fill="CCEEFF" w:val="clear"/>
            <w:vAlign w:val="bottom"/>
          </w:tcPr>
          <w:p>
            <w:pPr>
              <w:pStyle w:val="TableContents"/>
              <w:spacing w:before="0" w:after="283"/>
              <w:jc w:val="left"/>
              <w:rPr/>
            </w:pPr>
            <w:r>
              <w:rPr/>
              <w:t> </w:t>
            </w:r>
          </w:p>
        </w:tc>
      </w:tr>
      <w:tr>
        <w:trPr/>
        <w:tc>
          <w:tcPr>
            <w:tcW w:w="2825" w:type="dxa"/>
            <w:tcBorders/>
            <w:shd w:fill="auto" w:val="clear"/>
            <w:vAlign w:val="bottom"/>
          </w:tcPr>
          <w:p>
            <w:pPr>
              <w:pStyle w:val="TableContents"/>
              <w:spacing w:before="0" w:after="0"/>
              <w:ind w:left="721" w:right="0" w:hanging="548"/>
              <w:jc w:val="left"/>
              <w:rPr>
                <w:rFonts w:ascii="Times New Roman;Times;serif" w:hAnsi="Times New Roman;Times;serif"/>
                <w:color w:val="000000"/>
                <w:sz w:val="20"/>
              </w:rPr>
            </w:pPr>
            <w:r>
              <w:rPr>
                <w:rFonts w:ascii="Times New Roman;Times;serif" w:hAnsi="Times New Roman;Times;serif"/>
                <w:color w:val="000000"/>
                <w:sz w:val="20"/>
              </w:rPr>
              <w:t>Interest on lease liabilities</w:t>
            </w:r>
          </w:p>
        </w:tc>
        <w:tc>
          <w:tcPr>
            <w:tcW w:w="60" w:type="dxa"/>
            <w:tcBorders/>
            <w:shd w:fill="auto" w:val="clear"/>
            <w:vAlign w:val="bottom"/>
          </w:tcPr>
          <w:p>
            <w:pPr>
              <w:pStyle w:val="TableContents"/>
              <w:spacing w:before="0" w:after="283"/>
              <w:jc w:val="right"/>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134</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66</w:t>
            </w:r>
          </w:p>
        </w:tc>
        <w:tc>
          <w:tcPr>
            <w:tcW w:w="75" w:type="dxa"/>
            <w:tcBorders/>
            <w:shd w:fill="auto" w:val="clear"/>
            <w:vAlign w:val="bottom"/>
          </w:tcPr>
          <w:p>
            <w:pPr>
              <w:pStyle w:val="TableContents"/>
              <w:spacing w:before="0" w:after="283"/>
              <w:jc w:val="left"/>
              <w:rPr/>
            </w:pPr>
            <w:r>
              <w:rPr/>
              <w:t> </w:t>
            </w:r>
          </w:p>
        </w:tc>
      </w:tr>
      <w:tr>
        <w:trPr/>
        <w:tc>
          <w:tcPr>
            <w:tcW w:w="2825" w:type="dxa"/>
            <w:tcBorders/>
            <w:shd w:fill="CCEEFF" w:val="clear"/>
            <w:vAlign w:val="bottom"/>
          </w:tcPr>
          <w:p>
            <w:pPr>
              <w:pStyle w:val="TableContents"/>
              <w:spacing w:before="0" w:after="0"/>
              <w:ind w:left="144" w:right="0" w:hanging="144"/>
              <w:jc w:val="left"/>
              <w:rPr>
                <w:rFonts w:ascii="Times New Roman;Times;serif" w:hAnsi="Times New Roman;Times;serif"/>
                <w:b/>
                <w:sz w:val="20"/>
              </w:rPr>
            </w:pPr>
            <w:r>
              <w:rPr>
                <w:rFonts w:ascii="Times New Roman;Times;serif" w:hAnsi="Times New Roman;Times;serif"/>
                <w:b/>
                <w:sz w:val="20"/>
              </w:rPr>
              <w:t>Total lease expense</w:t>
            </w:r>
          </w:p>
        </w:tc>
        <w:tc>
          <w:tcPr>
            <w:tcW w:w="60" w:type="dxa"/>
            <w:tcBorders/>
            <w:shd w:fill="CCEEFF" w:val="clear"/>
            <w:vAlign w:val="bottom"/>
          </w:tcPr>
          <w:p>
            <w:pPr>
              <w:pStyle w:val="TableContents"/>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10,370</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12,248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Supplemental cash flow information related to leases was as follows (U.S. dollars in thousands):</w:t>
      </w:r>
    </w:p>
    <w:p>
      <w:pPr>
        <w:pStyle w:val="TextBody"/>
        <w:spacing w:before="0" w:after="0"/>
        <w:jc w:val="left"/>
        <w:rPr/>
      </w:pPr>
      <w:r>
        <w:rPr/>
      </w:r>
    </w:p>
    <w:tbl>
      <w:tblPr>
        <w:tblW w:w="7806" w:type="dxa"/>
        <w:jc w:val="left"/>
        <w:tblInd w:w="0" w:type="dxa"/>
        <w:tblCellMar>
          <w:top w:w="0" w:type="dxa"/>
          <w:left w:w="0" w:type="dxa"/>
          <w:bottom w:w="0" w:type="dxa"/>
          <w:right w:w="0" w:type="dxa"/>
        </w:tblCellMar>
      </w:tblPr>
      <w:tblGrid>
        <w:gridCol w:w="5885"/>
        <w:gridCol w:w="60"/>
        <w:gridCol w:w="154"/>
        <w:gridCol w:w="600"/>
        <w:gridCol w:w="74"/>
        <w:gridCol w:w="74"/>
        <w:gridCol w:w="154"/>
        <w:gridCol w:w="730"/>
        <w:gridCol w:w="75"/>
      </w:tblGrid>
      <w:tr>
        <w:trPr/>
        <w:tc>
          <w:tcPr>
            <w:tcW w:w="58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8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75" w:type="dxa"/>
            <w:tcBorders/>
            <w:shd w:fill="auto" w:val="clear"/>
            <w:vAlign w:val="bottom"/>
          </w:tcPr>
          <w:p>
            <w:pPr>
              <w:pStyle w:val="TableContents"/>
              <w:spacing w:before="0" w:after="283"/>
              <w:jc w:val="left"/>
              <w:rPr/>
            </w:pPr>
            <w:r>
              <w:rPr/>
              <w:t> </w:t>
            </w:r>
          </w:p>
        </w:tc>
      </w:tr>
      <w:tr>
        <w:trPr/>
        <w:tc>
          <w:tcPr>
            <w:tcW w:w="58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2023</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8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75" w:type="dxa"/>
            <w:tcBorders/>
            <w:shd w:fill="auto" w:val="clear"/>
            <w:vAlign w:val="bottom"/>
          </w:tcPr>
          <w:p>
            <w:pPr>
              <w:pStyle w:val="TableContents"/>
              <w:spacing w:before="0" w:after="283"/>
              <w:jc w:val="left"/>
              <w:rPr/>
            </w:pPr>
            <w:r>
              <w:rPr/>
              <w:t> </w:t>
            </w:r>
          </w:p>
        </w:tc>
      </w:tr>
      <w:tr>
        <w:trPr/>
        <w:tc>
          <w:tcPr>
            <w:tcW w:w="5885" w:type="dxa"/>
            <w:tcBorders/>
            <w:shd w:fill="CCEEFF" w:val="clear"/>
            <w:vAlign w:val="bottom"/>
          </w:tcPr>
          <w:p>
            <w:pPr>
              <w:pStyle w:val="TableContents"/>
              <w:spacing w:before="0" w:after="0"/>
              <w:ind w:left="144" w:right="0" w:hanging="144"/>
              <w:jc w:val="left"/>
              <w:rPr>
                <w:rFonts w:ascii="Times New Roman;Times;serif" w:hAnsi="Times New Roman;Times;serif"/>
                <w:sz w:val="20"/>
              </w:rPr>
            </w:pPr>
            <w:r>
              <w:rPr>
                <w:rFonts w:ascii="Times New Roman;Times;serif" w:hAnsi="Times New Roman;Times;serif"/>
                <w:sz w:val="20"/>
              </w:rPr>
              <w:t>Operating cash outflow from operating leases</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8,150</w:t>
            </w:r>
          </w:p>
        </w:tc>
        <w:tc>
          <w:tcPr>
            <w:tcW w:w="74" w:type="dxa"/>
            <w:tcBorders/>
            <w:shd w:fill="CCEEFF" w:val="clear"/>
            <w:vAlign w:val="bottom"/>
          </w:tcPr>
          <w:p>
            <w:pPr>
              <w:pStyle w:val="TableContents"/>
              <w:spacing w:before="0" w:after="283"/>
              <w:jc w:val="left"/>
              <w:rPr/>
            </w:pPr>
            <w:r>
              <w:rPr/>
              <w:t> </w:t>
            </w:r>
          </w:p>
        </w:tc>
        <w:tc>
          <w:tcPr>
            <w:tcW w:w="7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10,405</w:t>
            </w:r>
          </w:p>
        </w:tc>
        <w:tc>
          <w:tcPr>
            <w:tcW w:w="75" w:type="dxa"/>
            <w:tcBorders/>
            <w:shd w:fill="CCEEFF" w:val="clear"/>
            <w:vAlign w:val="bottom"/>
          </w:tcPr>
          <w:p>
            <w:pPr>
              <w:pStyle w:val="TableContents"/>
              <w:spacing w:before="0" w:after="283"/>
              <w:jc w:val="left"/>
              <w:rPr/>
            </w:pPr>
            <w:r>
              <w:rPr/>
              <w:t> </w:t>
            </w:r>
          </w:p>
        </w:tc>
      </w:tr>
      <w:tr>
        <w:trPr/>
        <w:tc>
          <w:tcPr>
            <w:tcW w:w="5885" w:type="dxa"/>
            <w:tcBorders/>
            <w:shd w:fill="auto" w:val="clear"/>
            <w:vAlign w:val="bottom"/>
          </w:tcPr>
          <w:p>
            <w:pPr>
              <w:pStyle w:val="TableContents"/>
              <w:spacing w:before="0" w:after="0"/>
              <w:ind w:left="144" w:right="0" w:hanging="144"/>
              <w:jc w:val="left"/>
              <w:rPr>
                <w:rFonts w:ascii="Times New Roman;Times;serif" w:hAnsi="Times New Roman;Times;serif"/>
                <w:sz w:val="20"/>
              </w:rPr>
            </w:pPr>
            <w:r>
              <w:rPr>
                <w:rFonts w:ascii="Times New Roman;Times;serif" w:hAnsi="Times New Roman;Times;serif"/>
                <w:sz w:val="20"/>
              </w:rPr>
              <w:t>Operating cash outflow from finance leases</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shd w:fill="auto" w:val="cle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132</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0" w:type="dxa"/>
            <w:tcBorders/>
            <w:shd w:fill="auto" w:val="cle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68</w:t>
            </w:r>
          </w:p>
        </w:tc>
        <w:tc>
          <w:tcPr>
            <w:tcW w:w="75" w:type="dxa"/>
            <w:tcBorders/>
            <w:shd w:fill="auto" w:val="clear"/>
            <w:vAlign w:val="bottom"/>
          </w:tcPr>
          <w:p>
            <w:pPr>
              <w:pStyle w:val="TableContents"/>
              <w:spacing w:before="0" w:after="283"/>
              <w:jc w:val="left"/>
              <w:rPr/>
            </w:pPr>
            <w:r>
              <w:rPr/>
              <w:t> </w:t>
            </w:r>
          </w:p>
        </w:tc>
      </w:tr>
      <w:tr>
        <w:trPr/>
        <w:tc>
          <w:tcPr>
            <w:tcW w:w="5885" w:type="dxa"/>
            <w:tcBorders/>
            <w:shd w:fill="CCEEFF" w:val="clear"/>
            <w:vAlign w:val="bottom"/>
          </w:tcPr>
          <w:p>
            <w:pPr>
              <w:pStyle w:val="TableContents"/>
              <w:spacing w:before="0" w:after="0"/>
              <w:ind w:left="144" w:right="0" w:hanging="144"/>
              <w:jc w:val="left"/>
              <w:rPr>
                <w:rFonts w:ascii="Times New Roman;Times;serif" w:hAnsi="Times New Roman;Times;serif"/>
                <w:sz w:val="20"/>
              </w:rPr>
            </w:pPr>
            <w:r>
              <w:rPr>
                <w:rFonts w:ascii="Times New Roman;Times;serif" w:hAnsi="Times New Roman;Times;serif"/>
                <w:sz w:val="20"/>
              </w:rPr>
              <w:t>Financing cash outflow from finance leases</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912</w:t>
            </w:r>
          </w:p>
        </w:tc>
        <w:tc>
          <w:tcPr>
            <w:tcW w:w="74" w:type="dxa"/>
            <w:tcBorders/>
            <w:shd w:fill="CCEEFF" w:val="clear"/>
            <w:vAlign w:val="bottom"/>
          </w:tcPr>
          <w:p>
            <w:pPr>
              <w:pStyle w:val="TableContents"/>
              <w:spacing w:before="0" w:after="283"/>
              <w:jc w:val="left"/>
              <w:rPr/>
            </w:pPr>
            <w:r>
              <w:rPr/>
              <w:t> </w:t>
            </w:r>
          </w:p>
        </w:tc>
        <w:tc>
          <w:tcPr>
            <w:tcW w:w="7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476</w:t>
            </w:r>
          </w:p>
        </w:tc>
        <w:tc>
          <w:tcPr>
            <w:tcW w:w="75" w:type="dxa"/>
            <w:tcBorders/>
            <w:shd w:fill="CCEEFF" w:val="clear"/>
            <w:vAlign w:val="bottom"/>
          </w:tcPr>
          <w:p>
            <w:pPr>
              <w:pStyle w:val="TableContents"/>
              <w:spacing w:before="0" w:after="283"/>
              <w:jc w:val="left"/>
              <w:rPr/>
            </w:pPr>
            <w:r>
              <w:rPr/>
              <w:t> </w:t>
            </w:r>
          </w:p>
        </w:tc>
      </w:tr>
      <w:tr>
        <w:trPr/>
        <w:tc>
          <w:tcPr>
            <w:tcW w:w="5885" w:type="dxa"/>
            <w:tcBorders/>
            <w:shd w:fill="auto" w:val="clear"/>
            <w:vAlign w:val="bottom"/>
          </w:tcPr>
          <w:p>
            <w:pPr>
              <w:pStyle w:val="TableContents"/>
              <w:spacing w:before="0" w:after="0"/>
              <w:ind w:left="144" w:right="0" w:hanging="144"/>
              <w:jc w:val="left"/>
              <w:rPr>
                <w:rFonts w:ascii="Times New Roman;Times;serif" w:hAnsi="Times New Roman;Times;serif"/>
                <w:sz w:val="20"/>
              </w:rPr>
            </w:pPr>
            <w:r>
              <w:rPr>
                <w:rFonts w:ascii="Times New Roman;Times;serif" w:hAnsi="Times New Roman;Times;serif"/>
                <w:sz w:val="20"/>
              </w:rPr>
              <w:t>Right-of-use assets obtained in exchange for operating lease obligations</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shd w:fill="auto" w:val="cle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7,981</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0" w:type="dxa"/>
            <w:tcBorders/>
            <w:shd w:fill="auto" w:val="cle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23,730</w:t>
            </w:r>
          </w:p>
        </w:tc>
        <w:tc>
          <w:tcPr>
            <w:tcW w:w="75" w:type="dxa"/>
            <w:tcBorders/>
            <w:shd w:fill="auto" w:val="clear"/>
            <w:vAlign w:val="bottom"/>
          </w:tcPr>
          <w:p>
            <w:pPr>
              <w:pStyle w:val="TableContents"/>
              <w:spacing w:before="0" w:after="283"/>
              <w:jc w:val="left"/>
              <w:rPr/>
            </w:pPr>
            <w:r>
              <w:rPr/>
              <w:t> </w:t>
            </w:r>
          </w:p>
        </w:tc>
      </w:tr>
      <w:tr>
        <w:trPr/>
        <w:tc>
          <w:tcPr>
            <w:tcW w:w="5885" w:type="dxa"/>
            <w:tcBorders/>
            <w:shd w:fill="CCEEFF" w:val="clear"/>
            <w:vAlign w:val="bottom"/>
          </w:tcPr>
          <w:p>
            <w:pPr>
              <w:pStyle w:val="TableContents"/>
              <w:spacing w:before="0" w:after="0"/>
              <w:ind w:left="144" w:right="0" w:hanging="144"/>
              <w:jc w:val="left"/>
              <w:rPr>
                <w:rFonts w:ascii="Times New Roman;Times;serif" w:hAnsi="Times New Roman;Times;serif"/>
                <w:sz w:val="20"/>
              </w:rPr>
            </w:pPr>
            <w:r>
              <w:rPr>
                <w:rFonts w:ascii="Times New Roman;Times;serif" w:hAnsi="Times New Roman;Times;serif"/>
                <w:sz w:val="20"/>
              </w:rPr>
              <w:t>Right-of-use assets obtained in exchange for finance lease obligations</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520</w:t>
            </w:r>
          </w:p>
        </w:tc>
        <w:tc>
          <w:tcPr>
            <w:tcW w:w="74" w:type="dxa"/>
            <w:tcBorders/>
            <w:shd w:fill="CCEEFF" w:val="clear"/>
            <w:vAlign w:val="bottom"/>
          </w:tcPr>
          <w:p>
            <w:pPr>
              <w:pStyle w:val="TableContents"/>
              <w:spacing w:before="0" w:after="283"/>
              <w:jc w:val="left"/>
              <w:rPr/>
            </w:pPr>
            <w:r>
              <w:rPr/>
              <w:t> </w:t>
            </w:r>
          </w:p>
        </w:tc>
        <w:tc>
          <w:tcPr>
            <w:tcW w:w="74"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Maturities of lease liabilities were as follows (U.S. dollars in thousands):</w:t>
      </w:r>
    </w:p>
    <w:p>
      <w:pPr>
        <w:pStyle w:val="TextBody"/>
        <w:spacing w:before="0" w:after="0"/>
        <w:jc w:val="left"/>
        <w:rPr/>
      </w:pPr>
      <w:r>
        <w:rPr/>
      </w:r>
    </w:p>
    <w:tbl>
      <w:tblPr>
        <w:tblW w:w="4130" w:type="dxa"/>
        <w:jc w:val="left"/>
        <w:tblInd w:w="0" w:type="dxa"/>
        <w:tblCellMar>
          <w:top w:w="0" w:type="dxa"/>
          <w:left w:w="0" w:type="dxa"/>
          <w:bottom w:w="0" w:type="dxa"/>
          <w:right w:w="0" w:type="dxa"/>
        </w:tblCellMar>
      </w:tblPr>
      <w:tblGrid>
        <w:gridCol w:w="2270"/>
        <w:gridCol w:w="60"/>
        <w:gridCol w:w="135"/>
        <w:gridCol w:w="755"/>
        <w:gridCol w:w="60"/>
        <w:gridCol w:w="60"/>
        <w:gridCol w:w="125"/>
        <w:gridCol w:w="590"/>
        <w:gridCol w:w="75"/>
      </w:tblGrid>
      <w:tr>
        <w:trPr/>
        <w:tc>
          <w:tcPr>
            <w:tcW w:w="2270" w:type="dxa"/>
            <w:tcBorders/>
            <w:shd w:fill="auto" w:val="clear"/>
            <w:vAlign w:val="bottom"/>
          </w:tcPr>
          <w:p>
            <w:pPr>
              <w:pStyle w:val="TableContents"/>
              <w:spacing w:before="0" w:after="0"/>
              <w:ind w:left="144" w:right="0" w:hanging="144"/>
              <w:jc w:val="left"/>
              <w:rPr>
                <w:rFonts w:ascii="Times New Roman;Times;serif" w:hAnsi="Times New Roman;Times;serif"/>
                <w:b/>
                <w:color w:val="000000"/>
                <w:sz w:val="20"/>
              </w:rPr>
            </w:pPr>
            <w:r>
              <w:rPr>
                <w:rFonts w:ascii="Times New Roman;Times;serif" w:hAnsi="Times New Roman;Times;serif"/>
                <w:b/>
                <w:color w:val="000000"/>
                <w:sz w:val="20"/>
              </w:rPr>
              <w:t>Year Ending December 31</w:t>
            </w:r>
          </w:p>
        </w:tc>
        <w:tc>
          <w:tcPr>
            <w:tcW w:w="60" w:type="dxa"/>
            <w:tcBorders/>
            <w:shd w:fill="auto" w:val="clear"/>
            <w:vAlign w:val="bottom"/>
          </w:tcPr>
          <w:p>
            <w:pPr>
              <w:pStyle w:val="TableContents"/>
              <w:spacing w:before="0" w:after="283"/>
              <w:rPr/>
            </w:pPr>
            <w:r>
              <w:rPr/>
              <w:t> </w:t>
            </w:r>
          </w:p>
        </w:tc>
        <w:tc>
          <w:tcPr>
            <w:tcW w:w="8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Operating</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Leases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Finance</w:t>
            </w:r>
          </w:p>
          <w:p>
            <w:pPr>
              <w:pStyle w:val="TableContents"/>
              <w:spacing w:before="0" w:after="0"/>
              <w:jc w:val="center"/>
              <w:rPr>
                <w:rFonts w:ascii="Times New Roman;Times;serif" w:hAnsi="Times New Roman;Times;serif"/>
                <w:b/>
                <w:sz w:val="20"/>
              </w:rPr>
            </w:pPr>
            <w:r>
              <w:rPr>
                <w:rFonts w:ascii="Times New Roman;Times;serif" w:hAnsi="Times New Roman;Times;serif"/>
                <w:b/>
                <w:sz w:val="20"/>
              </w:rPr>
              <w:t>Leases</w:t>
            </w:r>
          </w:p>
        </w:tc>
        <w:tc>
          <w:tcPr>
            <w:tcW w:w="75" w:type="dxa"/>
            <w:tcBorders/>
            <w:shd w:fill="auto" w:val="clear"/>
            <w:vAlign w:val="bottom"/>
          </w:tcPr>
          <w:p>
            <w:pPr>
              <w:pStyle w:val="TableContents"/>
              <w:spacing w:before="0" w:after="283"/>
              <w:jc w:val="left"/>
              <w:rPr/>
            </w:pPr>
            <w:r>
              <w:rPr/>
              <w:t> </w:t>
            </w:r>
          </w:p>
        </w:tc>
      </w:tr>
      <w:tr>
        <w:trPr/>
        <w:tc>
          <w:tcPr>
            <w:tcW w:w="2270" w:type="dxa"/>
            <w:tcBorders/>
            <w:shd w:fill="CCEEFF" w:val="clear"/>
            <w:vAlign w:val="bottom"/>
          </w:tcPr>
          <w:p>
            <w:pPr>
              <w:pStyle w:val="TableContents"/>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5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18,542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2,875</w:t>
            </w:r>
          </w:p>
        </w:tc>
        <w:tc>
          <w:tcPr>
            <w:tcW w:w="75" w:type="dxa"/>
            <w:tcBorders/>
            <w:shd w:fill="CCEEFF" w:val="clear"/>
            <w:vAlign w:val="bottom"/>
          </w:tcPr>
          <w:p>
            <w:pPr>
              <w:pStyle w:val="TableContents"/>
              <w:spacing w:before="0" w:after="283"/>
              <w:jc w:val="left"/>
              <w:rPr/>
            </w:pPr>
            <w:r>
              <w:rPr/>
              <w:t> </w:t>
            </w:r>
          </w:p>
        </w:tc>
      </w:tr>
      <w:tr>
        <w:trPr/>
        <w:tc>
          <w:tcPr>
            <w:tcW w:w="2270" w:type="dxa"/>
            <w:tcBorders/>
            <w:shd w:fill="auto" w:val="clear"/>
            <w:vAlign w:val="bottom"/>
          </w:tcPr>
          <w:p>
            <w:pPr>
              <w:pStyle w:val="TableContents"/>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20,249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3,474</w:t>
            </w:r>
          </w:p>
        </w:tc>
        <w:tc>
          <w:tcPr>
            <w:tcW w:w="75" w:type="dxa"/>
            <w:tcBorders/>
            <w:shd w:fill="auto" w:val="clear"/>
            <w:vAlign w:val="bottom"/>
          </w:tcPr>
          <w:p>
            <w:pPr>
              <w:pStyle w:val="TableContents"/>
              <w:spacing w:before="0" w:after="283"/>
              <w:jc w:val="left"/>
              <w:rPr/>
            </w:pPr>
            <w:r>
              <w:rPr/>
              <w:t> </w:t>
            </w:r>
          </w:p>
        </w:tc>
      </w:tr>
      <w:tr>
        <w:trPr/>
        <w:tc>
          <w:tcPr>
            <w:tcW w:w="2270" w:type="dxa"/>
            <w:tcBorders/>
            <w:shd w:fill="CCEEFF" w:val="clear"/>
            <w:vAlign w:val="bottom"/>
          </w:tcPr>
          <w:p>
            <w:pPr>
              <w:pStyle w:val="TableContents"/>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14,916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3,400</w:t>
            </w:r>
          </w:p>
        </w:tc>
        <w:tc>
          <w:tcPr>
            <w:tcW w:w="75" w:type="dxa"/>
            <w:tcBorders/>
            <w:shd w:fill="CCEEFF" w:val="clear"/>
            <w:vAlign w:val="bottom"/>
          </w:tcPr>
          <w:p>
            <w:pPr>
              <w:pStyle w:val="TableContents"/>
              <w:spacing w:before="0" w:after="283"/>
              <w:jc w:val="left"/>
              <w:rPr/>
            </w:pPr>
            <w:r>
              <w:rPr/>
              <w:t> </w:t>
            </w:r>
          </w:p>
        </w:tc>
      </w:tr>
      <w:tr>
        <w:trPr/>
        <w:tc>
          <w:tcPr>
            <w:tcW w:w="2270" w:type="dxa"/>
            <w:tcBorders/>
            <w:shd w:fill="auto" w:val="clear"/>
            <w:vAlign w:val="bottom"/>
          </w:tcPr>
          <w:p>
            <w:pPr>
              <w:pStyle w:val="TableContents"/>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6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10,241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3,305</w:t>
            </w:r>
          </w:p>
        </w:tc>
        <w:tc>
          <w:tcPr>
            <w:tcW w:w="75" w:type="dxa"/>
            <w:tcBorders/>
            <w:shd w:fill="auto" w:val="clear"/>
            <w:vAlign w:val="bottom"/>
          </w:tcPr>
          <w:p>
            <w:pPr>
              <w:pStyle w:val="TableContents"/>
              <w:spacing w:before="0" w:after="283"/>
              <w:jc w:val="left"/>
              <w:rPr/>
            </w:pPr>
            <w:r>
              <w:rPr/>
              <w:t> </w:t>
            </w:r>
          </w:p>
        </w:tc>
      </w:tr>
      <w:tr>
        <w:trPr/>
        <w:tc>
          <w:tcPr>
            <w:tcW w:w="2270" w:type="dxa"/>
            <w:tcBorders/>
            <w:shd w:fill="CCEEFF" w:val="clear"/>
            <w:vAlign w:val="bottom"/>
          </w:tcPr>
          <w:p>
            <w:pPr>
              <w:pStyle w:val="TableContents"/>
              <w:spacing w:before="0" w:after="0"/>
              <w:ind w:left="144"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7,885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2,953</w:t>
            </w:r>
          </w:p>
        </w:tc>
        <w:tc>
          <w:tcPr>
            <w:tcW w:w="75" w:type="dxa"/>
            <w:tcBorders/>
            <w:shd w:fill="CCEEFF" w:val="clear"/>
            <w:vAlign w:val="bottom"/>
          </w:tcPr>
          <w:p>
            <w:pPr>
              <w:pStyle w:val="TableContents"/>
              <w:spacing w:before="0" w:after="283"/>
              <w:jc w:val="left"/>
              <w:rPr/>
            </w:pPr>
            <w:r>
              <w:rPr/>
              <w:t> </w:t>
            </w:r>
          </w:p>
        </w:tc>
      </w:tr>
      <w:tr>
        <w:trPr/>
        <w:tc>
          <w:tcPr>
            <w:tcW w:w="2270"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60" w:type="dxa"/>
            <w:tcBorders/>
            <w:shd w:fill="auto" w:val="clear"/>
            <w:vAlign w:val="bottom"/>
          </w:tcPr>
          <w:p>
            <w:pPr>
              <w:pStyle w:val="TableContents"/>
              <w:spacing w:before="0" w:after="283"/>
              <w:rPr/>
            </w:pPr>
            <w:r>
              <w:rPr/>
              <w:t> </w:t>
            </w:r>
          </w:p>
        </w:tc>
        <w:tc>
          <w:tcPr>
            <w:tcW w:w="13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43,851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270" w:type="dxa"/>
            <w:tcBorders/>
            <w:shd w:fill="CCEEFF" w:val="clear"/>
            <w:vAlign w:val="bottom"/>
          </w:tcPr>
          <w:p>
            <w:pPr>
              <w:pStyle w:val="TableContents"/>
              <w:spacing w:before="0" w:after="0"/>
              <w:ind w:left="144" w:right="0" w:hanging="144"/>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6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115,684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16,007</w:t>
            </w:r>
          </w:p>
        </w:tc>
        <w:tc>
          <w:tcPr>
            <w:tcW w:w="75" w:type="dxa"/>
            <w:tcBorders/>
            <w:shd w:fill="CCEEFF" w:val="clear"/>
            <w:vAlign w:val="bottom"/>
          </w:tcPr>
          <w:p>
            <w:pPr>
              <w:pStyle w:val="TableContents"/>
              <w:spacing w:before="0" w:after="283"/>
              <w:jc w:val="left"/>
              <w:rPr/>
            </w:pPr>
            <w:r>
              <w:rPr/>
              <w:t> </w:t>
            </w:r>
          </w:p>
        </w:tc>
      </w:tr>
      <w:tr>
        <w:trPr/>
        <w:tc>
          <w:tcPr>
            <w:tcW w:w="2270"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Less: Finance charges</w:t>
            </w:r>
          </w:p>
        </w:tc>
        <w:tc>
          <w:tcPr>
            <w:tcW w:w="60" w:type="dxa"/>
            <w:tcBorders/>
            <w:shd w:fill="auto" w:val="clear"/>
            <w:vAlign w:val="bottom"/>
          </w:tcPr>
          <w:p>
            <w:pPr>
              <w:pStyle w:val="TableContents"/>
              <w:spacing w:before="0" w:after="283"/>
              <w:rPr/>
            </w:pPr>
            <w:r>
              <w:rPr/>
              <w:t> </w:t>
            </w:r>
          </w:p>
        </w:tc>
        <w:tc>
          <w:tcPr>
            <w:tcW w:w="13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15,200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1,269</w:t>
            </w:r>
          </w:p>
        </w:tc>
        <w:tc>
          <w:tcPr>
            <w:tcW w:w="75" w:type="dxa"/>
            <w:tcBorders/>
            <w:shd w:fill="auto" w:val="clear"/>
            <w:vAlign w:val="bottom"/>
          </w:tcPr>
          <w:p>
            <w:pPr>
              <w:pStyle w:val="TableContents"/>
              <w:spacing w:before="0" w:after="283"/>
              <w:jc w:val="left"/>
              <w:rPr/>
            </w:pPr>
            <w:r>
              <w:rPr/>
              <w:t> </w:t>
            </w:r>
          </w:p>
        </w:tc>
      </w:tr>
      <w:tr>
        <w:trPr/>
        <w:tc>
          <w:tcPr>
            <w:tcW w:w="2270" w:type="dxa"/>
            <w:tcBorders/>
            <w:shd w:fill="CCEEFF" w:val="clear"/>
            <w:vAlign w:val="bottom"/>
          </w:tcPr>
          <w:p>
            <w:pPr>
              <w:pStyle w:val="TableContents"/>
              <w:spacing w:before="0" w:after="0"/>
              <w:ind w:left="144" w:right="0" w:hanging="144"/>
              <w:jc w:val="left"/>
              <w:rPr>
                <w:rFonts w:ascii="Times New Roman;Times;serif" w:hAnsi="Times New Roman;Times;serif"/>
                <w:b/>
                <w:color w:val="000000"/>
                <w:sz w:val="20"/>
              </w:rPr>
            </w:pPr>
            <w:r>
              <w:rPr>
                <w:rFonts w:ascii="Times New Roman;Times;serif" w:hAnsi="Times New Roman;Times;serif"/>
                <w:b/>
                <w:color w:val="000000"/>
                <w:sz w:val="20"/>
              </w:rPr>
              <w:t>Total principal liability</w:t>
            </w:r>
          </w:p>
        </w:tc>
        <w:tc>
          <w:tcPr>
            <w:tcW w:w="60" w:type="dxa"/>
            <w:tcBorders/>
            <w:shd w:fill="CCEEFF" w:val="clear"/>
            <w:vAlign w:val="bottom"/>
          </w:tcPr>
          <w:p>
            <w:pPr>
              <w:pStyle w:val="TableContents"/>
              <w:spacing w:before="0" w:after="283"/>
              <w:rPr/>
            </w:pPr>
            <w:r>
              <w:rPr/>
              <w:t> </w:t>
            </w:r>
          </w:p>
        </w:tc>
        <w:tc>
          <w:tcPr>
            <w:tcW w:w="13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55"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100,484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14,738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has additional lease liabilities of $1.3 million which have not yet commenced as of March 31, 2023, and as such, have not been recognized on the consolidated balance sheets.</w:t>
      </w:r>
    </w:p>
    <w:p>
      <w:pPr>
        <w:pStyle w:val="TextBody"/>
        <w:spacing w:before="0" w:after="0"/>
        <w:jc w:val="left"/>
        <w:rPr/>
      </w:pPr>
      <w:r>
        <w:rPr/>
      </w:r>
    </w:p>
    <w:tbl>
      <w:tblPr>
        <w:tblW w:w="1360" w:type="dxa"/>
        <w:jc w:val="left"/>
        <w:tblInd w:w="0" w:type="dxa"/>
        <w:tblCellMar>
          <w:top w:w="0" w:type="dxa"/>
          <w:left w:w="0" w:type="dxa"/>
          <w:bottom w:w="0" w:type="dxa"/>
          <w:right w:w="0" w:type="dxa"/>
        </w:tblCellMar>
      </w:tblPr>
      <w:tblGrid>
        <w:gridCol w:w="185"/>
        <w:gridCol w:w="1175"/>
      </w:tblGrid>
      <w:tr>
        <w:trPr/>
        <w:tc>
          <w:tcPr>
            <w:tcW w:w="185" w:type="dxa"/>
            <w:tcBorders/>
            <w:shd w:fill="auto" w:val="clear"/>
            <w:vAlign w:val="center"/>
          </w:tcPr>
          <w:p>
            <w:pPr>
              <w:pStyle w:val="TableContents"/>
              <w:spacing w:before="0" w:after="283"/>
              <w:rPr>
                <w:rFonts w:ascii="Times New Roman" w:hAnsi="Times New Roman"/>
                <w:b/>
                <w:color w:val="000000"/>
                <w:sz w:val="20"/>
              </w:rPr>
            </w:pPr>
            <w:r>
              <w:rPr>
                <w:rFonts w:ascii="Times New Roman" w:hAnsi="Times New Roman"/>
                <w:b/>
                <w:color w:val="000000"/>
                <w:sz w:val="20"/>
              </w:rPr>
              <w:t>6.</w:t>
            </w:r>
          </w:p>
        </w:tc>
        <w:tc>
          <w:tcPr>
            <w:tcW w:w="1175" w:type="dxa"/>
            <w:tcBorders/>
            <w:shd w:fill="auto" w:val="clear"/>
            <w:vAlign w:val="center"/>
          </w:tcPr>
          <w:p>
            <w:pPr>
              <w:pStyle w:val="TableContents"/>
              <w:spacing w:before="0" w:after="0"/>
              <w:jc w:val="both"/>
              <w:rPr>
                <w:rFonts w:ascii="Times New Roman" w:hAnsi="Times New Roman"/>
                <w:b/>
                <w:color w:val="000000"/>
                <w:sz w:val="20"/>
              </w:rPr>
            </w:pPr>
            <w:r>
              <w:rPr>
                <w:rFonts w:ascii="Times New Roman" w:hAnsi="Times New Roman"/>
                <w:b/>
                <w:color w:val="000000"/>
                <w:sz w:val="20"/>
              </w:rPr>
              <w:t>Capital Stock</w:t>
            </w:r>
          </w:p>
        </w:tc>
      </w:tr>
    </w:tbl>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Net income per share</w:t>
      </w:r>
    </w:p>
    <w:p>
      <w:pPr>
        <w:pStyle w:val="TextBody"/>
        <w:spacing w:before="0" w:after="0"/>
        <w:jc w:val="left"/>
        <w:rPr/>
      </w:pPr>
      <w:r>
        <w:rPr/>
      </w:r>
    </w:p>
    <w:p>
      <w:pPr>
        <w:pStyle w:val="TextBody"/>
        <w:spacing w:before="0" w:after="0"/>
        <w:jc w:val="both"/>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val="false"/>
          <w:caps w:val="false"/>
          <w:smallCaps w:val="false"/>
          <w:color w:val="000000"/>
          <w:sz w:val="20"/>
          <w:highlight w:val="white"/>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March 31, 2023 and 2022, the only dilutive common shares outstanding relate to the Company’s outstanding stock awards and options. For the three-month periods ended March 31, 2023 and 2022, stock options of 0.1 million and 0.1 million, respectively, were excluded from the calculation of diluted earnings per share because they were anti-dilutive.</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i/>
          <w:color w:val="000000"/>
          <w:sz w:val="20"/>
        </w:rPr>
      </w:pPr>
      <w:r>
        <w:rPr>
          <w:rFonts w:ascii="Times New Roman" w:hAnsi="Times New Roman"/>
          <w:i/>
          <w:color w:val="000000"/>
          <w:sz w:val="20"/>
        </w:rPr>
        <w:t>Dividends</w:t>
      </w:r>
    </w:p>
    <w:p>
      <w:pPr>
        <w:pStyle w:val="TextBody"/>
        <w:spacing w:before="0" w:after="0"/>
        <w:jc w:val="left"/>
        <w:rPr/>
      </w:pPr>
      <w:r>
        <w:rPr/>
      </w:r>
    </w:p>
    <w:p>
      <w:pPr>
        <w:pStyle w:val="TextBody"/>
        <w:spacing w:before="0" w:after="0"/>
        <w:ind w:left="0" w:right="0" w:hanging="0"/>
        <w:jc w:val="both"/>
        <w:rPr>
          <w:rFonts w:ascii="Times New Roman" w:hAnsi="Times New Roman"/>
          <w:color w:val="000000"/>
          <w:sz w:val="20"/>
        </w:rPr>
      </w:pPr>
      <w:r>
        <w:rPr>
          <w:rFonts w:ascii="Times New Roman;Times;serif" w:hAnsi="Times New Roman;Times;serif"/>
          <w:b w:val="false"/>
          <w:i w:val="false"/>
          <w:caps w:val="false"/>
          <w:smallCaps w:val="false"/>
          <w:color w:val="000000"/>
          <w:spacing w:val="0"/>
          <w:sz w:val="20"/>
          <w:highlight w:val="white"/>
        </w:rPr>
        <w:t>In February 2023, the Company’s board of directors declared a quarterly cash dividend of $0.39 per share. This quarterly cash dividend of $19.4 million was paid on March 8, 2023 to stockholders of record on February 27, 2023. In April 2023, the board of directors declared a quarterly cash dividend of $0.39 per share to be paid on June 7, 2023 to stockholders of record on May 26, 2023.</w:t>
      </w:r>
      <w:r>
        <w:rPr>
          <w:rFonts w:ascii="Times New Roman" w:hAnsi="Times New Roman"/>
          <w:color w:val="000000"/>
          <w:sz w:val="20"/>
        </w:rPr>
        <w:t xml:space="preserve"> </w:t>
      </w:r>
    </w:p>
    <w:p>
      <w:pPr>
        <w:pStyle w:val="TextBody"/>
        <w:spacing w:before="0" w:after="0"/>
        <w:ind w:left="0" w:right="0" w:hanging="0"/>
        <w:jc w:val="both"/>
        <w:rPr>
          <w:rFonts w:ascii="Times New Roman;Times;serif" w:hAnsi="Times New Roman;Times;serif"/>
          <w:b w:val="false"/>
          <w:i w:val="false"/>
          <w:caps w:val="false"/>
          <w:smallCaps w:val="false"/>
          <w:color w:val="000000"/>
          <w:spacing w:val="0"/>
          <w:sz w:val="20"/>
          <w:highlight w:val="white"/>
        </w:rPr>
      </w:pPr>
      <w:r>
        <w:rPr>
          <w:rFonts w:ascii="Times New Roman;Times;serif" w:hAnsi="Times New Roman;Times;serif"/>
          <w:b w:val="false"/>
          <w:i w:val="false"/>
          <w:caps w:val="false"/>
          <w:smallCaps w:val="false"/>
          <w:color w:val="000000"/>
          <w:spacing w:val="0"/>
          <w:sz w:val="20"/>
          <w:highlight w:val="white"/>
        </w:rPr>
      </w:r>
    </w:p>
    <w:p>
      <w:pPr>
        <w:pStyle w:val="TextBody"/>
        <w:spacing w:before="0" w:after="0"/>
        <w:jc w:val="both"/>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t xml:space="preserve">Repurchase of common stock </w:t>
      </w:r>
    </w:p>
    <w:p>
      <w:pPr>
        <w:pStyle w:val="TextBody"/>
        <w:spacing w:before="0" w:after="0"/>
        <w:ind w:left="0" w:right="0" w:hanging="0"/>
        <w:jc w:val="both"/>
        <w:rPr>
          <w:rFonts w:ascii="Times New Roman;Times;serif" w:hAnsi="Times New Roman;Times;serif"/>
          <w:b w:val="false"/>
          <w:i w:val="false"/>
          <w:caps w:val="false"/>
          <w:smallCaps w:val="false"/>
          <w:color w:val="000000"/>
          <w:spacing w:val="0"/>
          <w:sz w:val="20"/>
          <w:highlight w:val="white"/>
        </w:rPr>
      </w:pPr>
      <w:r>
        <w:rPr>
          <w:rFonts w:ascii="Times New Roman;Times;serif" w:hAnsi="Times New Roman;Times;serif"/>
          <w:b w:val="false"/>
          <w:i w:val="false"/>
          <w:caps w:val="false"/>
          <w:smallCaps w:val="false"/>
          <w:color w:val="000000"/>
          <w:spacing w:val="0"/>
          <w:sz w:val="20"/>
          <w:highlight w:val="white"/>
        </w:rPr>
      </w:r>
    </w:p>
    <w:p>
      <w:pPr>
        <w:pStyle w:val="TextBody"/>
        <w:spacing w:before="0" w:after="0"/>
        <w:jc w:val="both"/>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val="false"/>
          <w:caps w:val="false"/>
          <w:smallCaps w:val="false"/>
          <w:color w:val="000000"/>
          <w:sz w:val="20"/>
          <w:highlight w:val="white"/>
        </w:rPr>
        <w:t>During the three-month periods ended March 31, 2023 and 2022, the Company repurchased zero and 0.2 million shares of its Class A common stock under its stock repurchase plans for zero and $10.0 million, respectively.  As of March 31, 2023, $175.4 million was available for repurchases under the Company’s stock repurchase plan.</w:t>
      </w:r>
    </w:p>
    <w:p>
      <w:pPr>
        <w:pStyle w:val="TextBody"/>
        <w:spacing w:before="0" w:after="0"/>
        <w:jc w:val="both"/>
        <w:rPr>
          <w:rFonts w:ascii="Times New Roman;Times;serif" w:hAnsi="Times New Roman;Times;serif"/>
          <w:b w:val="false"/>
          <w:i w:val="false"/>
          <w:caps w:val="false"/>
          <w:smallCaps w:val="false"/>
          <w:color w:val="000000"/>
          <w:sz w:val="20"/>
          <w:highlight w:val="white"/>
        </w:rPr>
      </w:pPr>
      <w:r>
        <w:rPr>
          <w:rFonts w:ascii="Times New Roman;Times;serif" w:hAnsi="Times New Roman;Times;serif"/>
          <w:b w:val="false"/>
          <w:i w:val="false"/>
          <w:caps w:val="false"/>
          <w:smallCaps w:val="false"/>
          <w:color w:val="000000"/>
          <w:sz w:val="20"/>
          <w:highlight w:val="white"/>
        </w:rPr>
      </w:r>
    </w:p>
    <w:tbl>
      <w:tblPr>
        <w:tblW w:w="3160" w:type="dxa"/>
        <w:jc w:val="left"/>
        <w:tblInd w:w="0" w:type="dxa"/>
        <w:tblCellMar>
          <w:top w:w="0" w:type="dxa"/>
          <w:left w:w="0" w:type="dxa"/>
          <w:bottom w:w="0" w:type="dxa"/>
          <w:right w:w="0" w:type="dxa"/>
        </w:tblCellMar>
      </w:tblPr>
      <w:tblGrid>
        <w:gridCol w:w="185"/>
        <w:gridCol w:w="2975"/>
      </w:tblGrid>
      <w:tr>
        <w:trPr/>
        <w:tc>
          <w:tcPr>
            <w:tcW w:w="185" w:type="dxa"/>
            <w:tcBorders/>
            <w:shd w:fill="auto" w:val="clear"/>
            <w:vAlign w:val="center"/>
          </w:tcPr>
          <w:p>
            <w:pPr>
              <w:pStyle w:val="TableContents"/>
              <w:spacing w:before="0" w:after="283"/>
              <w:rPr>
                <w:rFonts w:ascii="Times New Roman" w:hAnsi="Times New Roman"/>
                <w:b/>
                <w:color w:val="000000"/>
                <w:sz w:val="20"/>
              </w:rPr>
            </w:pPr>
            <w:r>
              <w:rPr>
                <w:rFonts w:ascii="Times New Roman" w:hAnsi="Times New Roman"/>
                <w:b/>
                <w:color w:val="000000"/>
                <w:sz w:val="20"/>
              </w:rPr>
              <w:t>7.</w:t>
            </w:r>
          </w:p>
        </w:tc>
        <w:tc>
          <w:tcPr>
            <w:tcW w:w="2975" w:type="dxa"/>
            <w:tcBorders/>
            <w:shd w:fill="auto" w:val="clear"/>
            <w:vAlign w:val="center"/>
          </w:tcPr>
          <w:p>
            <w:pPr>
              <w:pStyle w:val="TableContents"/>
              <w:spacing w:before="0" w:after="0"/>
              <w:jc w:val="left"/>
              <w:rPr>
                <w:rFonts w:ascii="Times New Roman" w:hAnsi="Times New Roman"/>
                <w:b/>
                <w:color w:val="000000"/>
                <w:sz w:val="20"/>
              </w:rPr>
            </w:pPr>
            <w:r>
              <w:rPr>
                <w:rFonts w:ascii="Times New Roman" w:hAnsi="Times New Roman"/>
                <w:b/>
                <w:color w:val="000000"/>
                <w:sz w:val="20"/>
              </w:rPr>
              <w:t>Fair Value and Equity Investments</w:t>
            </w:r>
          </w:p>
        </w:tc>
      </w:tr>
    </w:tbl>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Fair Value</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pStyle w:val="TextBody"/>
        <w:spacing w:before="0" w:after="0"/>
        <w:jc w:val="left"/>
        <w:rPr/>
      </w:pPr>
      <w:r>
        <w:rPr/>
      </w:r>
    </w:p>
    <w:tbl>
      <w:tblPr>
        <w:tblW w:w="6213" w:type="dxa"/>
        <w:jc w:val="left"/>
        <w:tblInd w:w="0" w:type="dxa"/>
        <w:tblCellMar>
          <w:top w:w="0" w:type="dxa"/>
          <w:left w:w="0" w:type="dxa"/>
          <w:bottom w:w="0" w:type="dxa"/>
          <w:right w:w="0" w:type="dxa"/>
        </w:tblCellMar>
      </w:tblPr>
      <w:tblGrid>
        <w:gridCol w:w="38"/>
        <w:gridCol w:w="170"/>
        <w:gridCol w:w="60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olor w:val="000000"/>
              </w:rPr>
            </w:pPr>
            <w:r>
              <w:rPr>
                <w:color w:val="000000"/>
              </w:rPr>
              <w:t>■</w:t>
            </w:r>
          </w:p>
        </w:tc>
        <w:tc>
          <w:tcPr>
            <w:tcW w:w="600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Level 1 – quoted prices in active markets for identical assets or liabilities;</w:t>
            </w:r>
          </w:p>
        </w:tc>
      </w:tr>
    </w:tbl>
    <w:tbl>
      <w:tblPr>
        <w:tblW w:w="9603" w:type="dxa"/>
        <w:jc w:val="left"/>
        <w:tblInd w:w="0" w:type="dxa"/>
        <w:tblCellMar>
          <w:top w:w="0" w:type="dxa"/>
          <w:left w:w="0" w:type="dxa"/>
          <w:bottom w:w="0" w:type="dxa"/>
          <w:right w:w="0" w:type="dxa"/>
        </w:tblCellMar>
      </w:tblPr>
      <w:tblGrid>
        <w:gridCol w:w="38"/>
        <w:gridCol w:w="170"/>
        <w:gridCol w:w="93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olor w:val="000000"/>
              </w:rPr>
            </w:pPr>
            <w:r>
              <w:rPr>
                <w:color w:val="000000"/>
              </w:rPr>
              <w:t>■</w:t>
            </w:r>
          </w:p>
        </w:tc>
        <w:tc>
          <w:tcPr>
            <w:tcW w:w="939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Level 2 – inputs, other than the quoted prices in active markets, that are observable either directly or indirectly; and</w:t>
            </w:r>
          </w:p>
        </w:tc>
      </w:tr>
    </w:tbl>
    <w:tbl>
      <w:tblPr>
        <w:tblW w:w="6228" w:type="dxa"/>
        <w:jc w:val="left"/>
        <w:tblInd w:w="0" w:type="dxa"/>
        <w:tblCellMar>
          <w:top w:w="0" w:type="dxa"/>
          <w:left w:w="0" w:type="dxa"/>
          <w:bottom w:w="0" w:type="dxa"/>
          <w:right w:w="0" w:type="dxa"/>
        </w:tblCellMar>
      </w:tblPr>
      <w:tblGrid>
        <w:gridCol w:w="38"/>
        <w:gridCol w:w="170"/>
        <w:gridCol w:w="60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olor w:val="000000"/>
              </w:rPr>
            </w:pPr>
            <w:r>
              <w:rPr>
                <w:color w:val="000000"/>
              </w:rPr>
              <w:t>■</w:t>
            </w:r>
          </w:p>
        </w:tc>
        <w:tc>
          <w:tcPr>
            <w:tcW w:w="602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Level 3 – unobservable inputs based on the Company’s own assumptions.</w:t>
            </w:r>
          </w:p>
        </w:tc>
      </w:tr>
    </w:tbl>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tables present the fair value hierarchy for those assets and liabilities measured at fair value on a recurring basis (U.S. dollars in thousands):</w:t>
      </w:r>
    </w:p>
    <w:p>
      <w:pPr>
        <w:pStyle w:val="TextBody"/>
        <w:spacing w:before="0" w:after="0"/>
        <w:jc w:val="left"/>
        <w:rPr/>
      </w:pPr>
      <w:r>
        <w:rPr/>
      </w:r>
    </w:p>
    <w:tbl>
      <w:tblPr>
        <w:tblW w:w="6805" w:type="dxa"/>
        <w:jc w:val="left"/>
        <w:tblInd w:w="0" w:type="dxa"/>
        <w:tblCellMar>
          <w:top w:w="0" w:type="dxa"/>
          <w:left w:w="0" w:type="dxa"/>
          <w:bottom w:w="0" w:type="dxa"/>
          <w:right w:w="0" w:type="dxa"/>
        </w:tblCellMar>
      </w:tblPr>
      <w:tblGrid>
        <w:gridCol w:w="3410"/>
        <w:gridCol w:w="60"/>
        <w:gridCol w:w="125"/>
        <w:gridCol w:w="590"/>
        <w:gridCol w:w="60"/>
        <w:gridCol w:w="60"/>
        <w:gridCol w:w="125"/>
        <w:gridCol w:w="590"/>
        <w:gridCol w:w="60"/>
        <w:gridCol w:w="60"/>
        <w:gridCol w:w="125"/>
        <w:gridCol w:w="590"/>
        <w:gridCol w:w="80"/>
        <w:gridCol w:w="60"/>
        <w:gridCol w:w="125"/>
        <w:gridCol w:w="590"/>
        <w:gridCol w:w="95"/>
      </w:tblGrid>
      <w:tr>
        <w:trPr/>
        <w:tc>
          <w:tcPr>
            <w:tcW w:w="3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40" w:type="dxa"/>
            <w:gridSpan w:val="1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Fair Value at March 31, 2023</w:t>
            </w:r>
          </w:p>
        </w:tc>
        <w:tc>
          <w:tcPr>
            <w:tcW w:w="95" w:type="dxa"/>
            <w:tcBorders/>
            <w:shd w:fill="auto" w:val="clear"/>
            <w:vAlign w:val="bottom"/>
          </w:tcPr>
          <w:p>
            <w:pPr>
              <w:pStyle w:val="TableContents"/>
              <w:spacing w:before="0" w:after="283"/>
              <w:jc w:val="left"/>
              <w:rPr/>
            </w:pPr>
            <w:r>
              <w:rPr/>
              <w:t> </w:t>
            </w:r>
          </w:p>
        </w:tc>
      </w:tr>
      <w:tr>
        <w:trPr/>
        <w:tc>
          <w:tcPr>
            <w:tcW w:w="34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Level 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Level 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Level 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Total</w:t>
            </w:r>
          </w:p>
        </w:tc>
        <w:tc>
          <w:tcPr>
            <w:tcW w:w="95" w:type="dxa"/>
            <w:tcBorders/>
            <w:shd w:fill="auto" w:val="clear"/>
            <w:vAlign w:val="bottom"/>
          </w:tcPr>
          <w:p>
            <w:pPr>
              <w:pStyle w:val="TableContents"/>
              <w:spacing w:before="0" w:after="283"/>
              <w:jc w:val="left"/>
              <w:rPr/>
            </w:pPr>
            <w:r>
              <w:rPr/>
              <w:t> </w:t>
            </w:r>
          </w:p>
        </w:tc>
      </w:tr>
      <w:tr>
        <w:trPr/>
        <w:tc>
          <w:tcPr>
            <w:tcW w:w="3410" w:type="dxa"/>
            <w:tcBorders/>
            <w:shd w:fill="auto" w:val="clear"/>
            <w:vAlign w:val="bottom"/>
          </w:tcPr>
          <w:p>
            <w:pPr>
              <w:pStyle w:val="TableContents"/>
              <w:spacing w:before="0" w:after="0"/>
              <w:ind w:left="144" w:right="0" w:hanging="144"/>
              <w:jc w:val="left"/>
              <w:rPr>
                <w:rFonts w:ascii="Times New Roman" w:hAnsi="Times New Roman"/>
                <w:b/>
                <w:sz w:val="20"/>
              </w:rPr>
            </w:pPr>
            <w:r>
              <w:rPr>
                <w:rFonts w:ascii="Times New Roman" w:hAnsi="Times New Roman"/>
                <w:b/>
                <w:sz w:val="20"/>
              </w:rPr>
              <w:t>Financial assets (liabilities):</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41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Cash equivalents and current investments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46,632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46,632</w:t>
            </w:r>
          </w:p>
        </w:tc>
        <w:tc>
          <w:tcPr>
            <w:tcW w:w="95" w:type="dxa"/>
            <w:tcBorders/>
            <w:shd w:fill="CCEEFF" w:val="clear"/>
            <w:vAlign w:val="bottom"/>
          </w:tcPr>
          <w:p>
            <w:pPr>
              <w:pStyle w:val="TableContents"/>
              <w:spacing w:before="0" w:after="283"/>
              <w:jc w:val="left"/>
              <w:rPr/>
            </w:pPr>
            <w:r>
              <w:rPr/>
              <w:t> </w:t>
            </w:r>
          </w:p>
        </w:tc>
      </w:tr>
      <w:tr>
        <w:trPr/>
        <w:tc>
          <w:tcPr>
            <w:tcW w:w="341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Derivative financial instruments asset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16,731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16,731</w:t>
            </w:r>
          </w:p>
        </w:tc>
        <w:tc>
          <w:tcPr>
            <w:tcW w:w="95" w:type="dxa"/>
            <w:tcBorders/>
            <w:shd w:fill="auto" w:val="clear"/>
            <w:vAlign w:val="bottom"/>
          </w:tcPr>
          <w:p>
            <w:pPr>
              <w:pStyle w:val="TableContents"/>
              <w:spacing w:before="0" w:after="283"/>
              <w:jc w:val="left"/>
              <w:rPr/>
            </w:pPr>
            <w:r>
              <w:rPr/>
              <w:t> </w:t>
            </w:r>
          </w:p>
        </w:tc>
      </w:tr>
      <w:tr>
        <w:trPr/>
        <w:tc>
          <w:tcPr>
            <w:tcW w:w="3410"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Life insurance contracts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42,053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42,053</w:t>
            </w:r>
          </w:p>
        </w:tc>
        <w:tc>
          <w:tcPr>
            <w:tcW w:w="95" w:type="dxa"/>
            <w:tcBorders/>
            <w:shd w:fill="CCEEFF" w:val="clear"/>
            <w:vAlign w:val="bottom"/>
          </w:tcPr>
          <w:p>
            <w:pPr>
              <w:pStyle w:val="TableContents"/>
              <w:spacing w:before="0" w:after="283"/>
              <w:jc w:val="left"/>
              <w:rPr/>
            </w:pPr>
            <w:r>
              <w:rPr/>
              <w:t> </w:t>
            </w:r>
          </w:p>
        </w:tc>
      </w:tr>
      <w:tr>
        <w:trPr/>
        <w:tc>
          <w:tcPr>
            <w:tcW w:w="3410"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Contingent consideration</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(6,271</w:t>
            </w:r>
          </w:p>
        </w:tc>
        <w:tc>
          <w:tcPr>
            <w:tcW w:w="8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(6,271</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410"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46,632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16,731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35,782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99,145</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6910" w:type="dxa"/>
        <w:jc w:val="left"/>
        <w:tblInd w:w="0" w:type="dxa"/>
        <w:tblCellMar>
          <w:top w:w="0" w:type="dxa"/>
          <w:left w:w="0" w:type="dxa"/>
          <w:bottom w:w="0" w:type="dxa"/>
          <w:right w:w="0" w:type="dxa"/>
        </w:tblCellMar>
      </w:tblPr>
      <w:tblGrid>
        <w:gridCol w:w="3410"/>
        <w:gridCol w:w="60"/>
        <w:gridCol w:w="125"/>
        <w:gridCol w:w="590"/>
        <w:gridCol w:w="60"/>
        <w:gridCol w:w="60"/>
        <w:gridCol w:w="125"/>
        <w:gridCol w:w="590"/>
        <w:gridCol w:w="60"/>
        <w:gridCol w:w="60"/>
        <w:gridCol w:w="125"/>
        <w:gridCol w:w="590"/>
        <w:gridCol w:w="80"/>
        <w:gridCol w:w="60"/>
        <w:gridCol w:w="125"/>
        <w:gridCol w:w="695"/>
        <w:gridCol w:w="95"/>
      </w:tblGrid>
      <w:tr>
        <w:trPr/>
        <w:tc>
          <w:tcPr>
            <w:tcW w:w="34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45" w:type="dxa"/>
            <w:gridSpan w:val="14"/>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Fair Value at December 31, 2022</w:t>
            </w:r>
          </w:p>
        </w:tc>
        <w:tc>
          <w:tcPr>
            <w:tcW w:w="95" w:type="dxa"/>
            <w:tcBorders/>
            <w:shd w:fill="auto" w:val="clear"/>
            <w:vAlign w:val="bottom"/>
          </w:tcPr>
          <w:p>
            <w:pPr>
              <w:pStyle w:val="TableContents"/>
              <w:spacing w:before="0" w:after="283"/>
              <w:jc w:val="left"/>
              <w:rPr/>
            </w:pPr>
            <w:r>
              <w:rPr/>
              <w:t> </w:t>
            </w:r>
          </w:p>
        </w:tc>
      </w:tr>
      <w:tr>
        <w:trPr/>
        <w:tc>
          <w:tcPr>
            <w:tcW w:w="34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Level 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Level 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Level 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Total</w:t>
            </w:r>
          </w:p>
        </w:tc>
        <w:tc>
          <w:tcPr>
            <w:tcW w:w="95" w:type="dxa"/>
            <w:tcBorders/>
            <w:shd w:fill="auto" w:val="clear"/>
            <w:vAlign w:val="bottom"/>
          </w:tcPr>
          <w:p>
            <w:pPr>
              <w:pStyle w:val="TableContents"/>
              <w:spacing w:before="0" w:after="283"/>
              <w:jc w:val="left"/>
              <w:rPr/>
            </w:pPr>
            <w:r>
              <w:rPr/>
              <w:t> </w:t>
            </w:r>
          </w:p>
        </w:tc>
      </w:tr>
      <w:tr>
        <w:trPr/>
        <w:tc>
          <w:tcPr>
            <w:tcW w:w="3410"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Financial assets (liabilities):</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41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Cash equivalents and current investments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55,356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55,356</w:t>
            </w:r>
          </w:p>
        </w:tc>
        <w:tc>
          <w:tcPr>
            <w:tcW w:w="95" w:type="dxa"/>
            <w:tcBorders/>
            <w:shd w:fill="CCEEFF" w:val="clear"/>
            <w:vAlign w:val="bottom"/>
          </w:tcPr>
          <w:p>
            <w:pPr>
              <w:pStyle w:val="TableContents"/>
              <w:spacing w:before="0" w:after="283"/>
              <w:jc w:val="left"/>
              <w:rPr/>
            </w:pPr>
            <w:r>
              <w:rPr/>
              <w:t> </w:t>
            </w:r>
          </w:p>
        </w:tc>
      </w:tr>
      <w:tr>
        <w:trPr/>
        <w:tc>
          <w:tcPr>
            <w:tcW w:w="341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Derivative financial instruments asset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19,738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color w:val="000000"/>
              </w:rPr>
            </w:pPr>
            <w:r>
              <w:rPr>
                <w:color w:val="00000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19,738</w:t>
            </w:r>
          </w:p>
        </w:tc>
        <w:tc>
          <w:tcPr>
            <w:tcW w:w="95" w:type="dxa"/>
            <w:tcBorders/>
            <w:shd w:fill="auto" w:val="clear"/>
            <w:vAlign w:val="bottom"/>
          </w:tcPr>
          <w:p>
            <w:pPr>
              <w:pStyle w:val="TableContents"/>
              <w:spacing w:before="0" w:after="283"/>
              <w:jc w:val="left"/>
              <w:rPr/>
            </w:pPr>
            <w:r>
              <w:rPr/>
              <w:t> </w:t>
            </w:r>
          </w:p>
        </w:tc>
      </w:tr>
      <w:tr>
        <w:trPr/>
        <w:tc>
          <w:tcPr>
            <w:tcW w:w="341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Life insurance contracts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40,055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40,055</w:t>
            </w:r>
          </w:p>
        </w:tc>
        <w:tc>
          <w:tcPr>
            <w:tcW w:w="95" w:type="dxa"/>
            <w:tcBorders/>
            <w:shd w:fill="CCEEFF" w:val="clear"/>
            <w:vAlign w:val="bottom"/>
          </w:tcPr>
          <w:p>
            <w:pPr>
              <w:pStyle w:val="TableContents"/>
              <w:spacing w:before="0" w:after="283"/>
              <w:jc w:val="left"/>
              <w:rPr/>
            </w:pPr>
            <w:r>
              <w:rPr/>
              <w:t> </w:t>
            </w:r>
          </w:p>
        </w:tc>
      </w:tr>
      <w:tr>
        <w:trPr/>
        <w:tc>
          <w:tcPr>
            <w:tcW w:w="341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Contingent consideration</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(6,364</w:t>
            </w:r>
          </w:p>
        </w:tc>
        <w:tc>
          <w:tcPr>
            <w:tcW w:w="8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(6,364</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410" w:type="dxa"/>
            <w:tcBorders/>
            <w:shd w:fill="CCEEFF"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55,356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19,738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33,691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108,785</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provides a summary of changes in fair value of the Company’s Level 3 life insurance contracts (U.S. dollars in thousands):</w:t>
      </w:r>
    </w:p>
    <w:p>
      <w:pPr>
        <w:pStyle w:val="TextBody"/>
        <w:spacing w:before="0" w:after="0"/>
        <w:jc w:val="left"/>
        <w:rPr/>
      </w:pPr>
      <w:r>
        <w:rPr/>
      </w:r>
    </w:p>
    <w:tbl>
      <w:tblPr>
        <w:tblW w:w="4305" w:type="dxa"/>
        <w:jc w:val="left"/>
        <w:tblInd w:w="0" w:type="dxa"/>
        <w:tblCellMar>
          <w:top w:w="0" w:type="dxa"/>
          <w:left w:w="0" w:type="dxa"/>
          <w:bottom w:w="0" w:type="dxa"/>
          <w:right w:w="0" w:type="dxa"/>
        </w:tblCellMar>
      </w:tblPr>
      <w:tblGrid>
        <w:gridCol w:w="2600"/>
        <w:gridCol w:w="60"/>
        <w:gridCol w:w="125"/>
        <w:gridCol w:w="590"/>
        <w:gridCol w:w="60"/>
        <w:gridCol w:w="60"/>
        <w:gridCol w:w="125"/>
        <w:gridCol w:w="590"/>
        <w:gridCol w:w="95"/>
      </w:tblGrid>
      <w:tr>
        <w:trPr/>
        <w:tc>
          <w:tcPr>
            <w:tcW w:w="26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95" w:type="dxa"/>
            <w:tcBorders/>
            <w:shd w:fill="auto" w:val="clear"/>
            <w:vAlign w:val="bottom"/>
          </w:tcPr>
          <w:p>
            <w:pPr>
              <w:pStyle w:val="TableContents"/>
              <w:spacing w:before="0" w:after="283"/>
              <w:jc w:val="left"/>
              <w:rPr/>
            </w:pPr>
            <w:r>
              <w:rPr/>
              <w:t> </w:t>
            </w:r>
          </w:p>
        </w:tc>
      </w:tr>
      <w:tr>
        <w:trPr/>
        <w:tc>
          <w:tcPr>
            <w:tcW w:w="260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Beginning balance at January 1</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40,055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49,851</w:t>
            </w:r>
          </w:p>
        </w:tc>
        <w:tc>
          <w:tcPr>
            <w:tcW w:w="95" w:type="dxa"/>
            <w:tcBorders/>
            <w:shd w:fill="CCEEFF" w:val="clear"/>
            <w:vAlign w:val="bottom"/>
          </w:tcPr>
          <w:p>
            <w:pPr>
              <w:pStyle w:val="TableContents"/>
              <w:spacing w:before="0" w:after="283"/>
              <w:jc w:val="left"/>
              <w:rPr/>
            </w:pPr>
            <w:r>
              <w:rPr/>
              <w:t> </w:t>
            </w:r>
          </w:p>
        </w:tc>
      </w:tr>
      <w:tr>
        <w:trPr/>
        <w:tc>
          <w:tcPr>
            <w:tcW w:w="2600" w:type="dxa"/>
            <w:tcBorders/>
            <w:shd w:fill="auto"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Actual return on plan assets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1,998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(3,401</w:t>
            </w:r>
          </w:p>
        </w:tc>
        <w:tc>
          <w:tcPr>
            <w:tcW w:w="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260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Ending balance at March 31</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42,053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46,450</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Life insurance contracts:</w:t>
      </w:r>
      <w:r>
        <w:rPr>
          <w:rFonts w:ascii="Times New Roman" w:hAnsi="Times New Roman"/>
          <w:color w:val="000000"/>
          <w:sz w:val="20"/>
        </w:rPr>
        <w:t xml:space="preserve"> Accounting Standards Codification (“ASC”) 820 preserves practicability exceptions to fair value measurements provided by other 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pStyle w:val="TextBody"/>
        <w:spacing w:before="0" w:after="0"/>
        <w:jc w:val="both"/>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provides a summary of changes in fair value of the Company’s Level 3 contingent consideration (U.S. dollars in thousands):</w:t>
      </w:r>
    </w:p>
    <w:p>
      <w:pPr>
        <w:pStyle w:val="TextBody"/>
        <w:spacing w:before="0" w:after="0"/>
        <w:jc w:val="left"/>
        <w:rPr/>
      </w:pPr>
      <w:r>
        <w:rPr/>
      </w:r>
    </w:p>
    <w:tbl>
      <w:tblPr>
        <w:tblW w:w="5795" w:type="dxa"/>
        <w:jc w:val="left"/>
        <w:tblInd w:w="0" w:type="dxa"/>
        <w:tblCellMar>
          <w:top w:w="0" w:type="dxa"/>
          <w:left w:w="0" w:type="dxa"/>
          <w:bottom w:w="0" w:type="dxa"/>
          <w:right w:w="0" w:type="dxa"/>
        </w:tblCellMar>
      </w:tblPr>
      <w:tblGrid>
        <w:gridCol w:w="4055"/>
        <w:gridCol w:w="60"/>
        <w:gridCol w:w="125"/>
        <w:gridCol w:w="545"/>
        <w:gridCol w:w="80"/>
        <w:gridCol w:w="60"/>
        <w:gridCol w:w="125"/>
        <w:gridCol w:w="650"/>
        <w:gridCol w:w="95"/>
      </w:tblGrid>
      <w:tr>
        <w:trPr/>
        <w:tc>
          <w:tcPr>
            <w:tcW w:w="4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95" w:type="dxa"/>
            <w:tcBorders/>
            <w:shd w:fill="auto" w:val="clear"/>
            <w:vAlign w:val="bottom"/>
          </w:tcPr>
          <w:p>
            <w:pPr>
              <w:pStyle w:val="TableContents"/>
              <w:spacing w:before="0" w:after="283"/>
              <w:jc w:val="left"/>
              <w:rPr/>
            </w:pPr>
            <w:r>
              <w:rPr/>
              <w:t> </w:t>
            </w:r>
          </w:p>
        </w:tc>
      </w:tr>
      <w:tr>
        <w:trPr/>
        <w:tc>
          <w:tcPr>
            <w:tcW w:w="405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Beginning balance at January 1</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(6,364</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(10,341</w:t>
            </w:r>
          </w:p>
        </w:tc>
        <w:tc>
          <w:tcPr>
            <w:tcW w:w="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55" w:type="dxa"/>
            <w:tcBorders/>
            <w:shd w:fill="auto" w:val="clear"/>
            <w:vAlign w:val="bottom"/>
          </w:tcPr>
          <w:p>
            <w:pPr>
              <w:pStyle w:val="TableContents"/>
              <w:spacing w:before="0" w:after="0"/>
              <w:ind w:left="288" w:right="0" w:hanging="144"/>
              <w:jc w:val="left"/>
              <w:rPr>
                <w:rFonts w:ascii="Times New Roman" w:hAnsi="Times New Roman"/>
                <w:color w:val="000000"/>
                <w:sz w:val="20"/>
              </w:rPr>
            </w:pPr>
            <w:r>
              <w:rPr>
                <w:rFonts w:ascii="Times New Roman" w:hAnsi="Times New Roman"/>
                <w:color w:val="000000"/>
                <w:sz w:val="20"/>
              </w:rPr>
              <w:t>Changes in fair value of contingent consideration</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4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115</w:t>
            </w:r>
          </w:p>
        </w:tc>
        <w:tc>
          <w:tcPr>
            <w:tcW w:w="95" w:type="dxa"/>
            <w:tcBorders/>
            <w:shd w:fill="auto" w:val="clear"/>
            <w:vAlign w:val="bottom"/>
          </w:tcPr>
          <w:p>
            <w:pPr>
              <w:pStyle w:val="TableContents"/>
              <w:spacing w:before="0" w:after="283"/>
              <w:rPr>
                <w:sz w:val="4"/>
                <w:szCs w:val="4"/>
              </w:rPr>
            </w:pPr>
            <w:r>
              <w:rPr>
                <w:sz w:val="4"/>
                <w:szCs w:val="4"/>
              </w:rPr>
            </w:r>
          </w:p>
        </w:tc>
      </w:tr>
      <w:tr>
        <w:trPr/>
        <w:tc>
          <w:tcPr>
            <w:tcW w:w="405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Ending balance at March 31</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(6,271</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(10,226</w:t>
            </w:r>
          </w:p>
        </w:tc>
        <w:tc>
          <w:tcPr>
            <w:tcW w:w="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 xml:space="preserve">Contingent consideration: </w:t>
      </w:r>
      <w:r>
        <w:rPr>
          <w:rFonts w:ascii="Times New Roman" w:hAnsi="Times New Roman"/>
          <w:color w:val="000000"/>
          <w:sz w:val="20"/>
        </w:rPr>
        <w:t>Contingent consideration represents the obligations incurred in connection with acquisitions. The estimate of fair value of the 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i/>
          <w:color w:val="000000"/>
          <w:sz w:val="20"/>
        </w:rPr>
      </w:pPr>
      <w:r>
        <w:rPr>
          <w:rFonts w:ascii="Times New Roman" w:hAnsi="Times New Roman"/>
          <w:i/>
          <w:color w:val="000000"/>
          <w:sz w:val="20"/>
        </w:rPr>
        <w:t>Equity Investments</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maintains equity investments in companies which are accounted for under the measurement alternative described in ASC 321-10-35-2 for equity securities that lack readily determinable fair values. The carrying amount of equity securities held by the Company without readily determinable fair values was $28.1 million at each of March 31, 2023 and December 31, 2022. During the three months ended September 30, 2021 the Company recognized $18.1 million upward fair value adjustments, based on the valuation of additional equity issued by the investee which was deemed to be an observable transaction of a similar investment under ASC 321. The third quarter of 2021 gain was recorded within Other income (expense), net on the Consolidated Statement of Income. The upward fair value adjustment represents a nonrecurring fair value measurement based on observable price changes and is classified as a Level 3 fair value measurement.</w:t>
      </w:r>
    </w:p>
    <w:p>
      <w:pPr>
        <w:pStyle w:val="TextBody"/>
        <w:spacing w:before="0" w:after="0"/>
        <w:jc w:val="left"/>
        <w:rPr/>
      </w:pPr>
      <w:r>
        <w:rPr/>
      </w:r>
    </w:p>
    <w:tbl>
      <w:tblPr>
        <w:tblW w:w="1405" w:type="dxa"/>
        <w:jc w:val="left"/>
        <w:tblInd w:w="0" w:type="dxa"/>
        <w:tblCellMar>
          <w:top w:w="0" w:type="dxa"/>
          <w:left w:w="0" w:type="dxa"/>
          <w:bottom w:w="0" w:type="dxa"/>
          <w:right w:w="0" w:type="dxa"/>
        </w:tblCellMar>
      </w:tblPr>
      <w:tblGrid>
        <w:gridCol w:w="185"/>
        <w:gridCol w:w="1220"/>
      </w:tblGrid>
      <w:tr>
        <w:trPr/>
        <w:tc>
          <w:tcPr>
            <w:tcW w:w="185" w:type="dxa"/>
            <w:tcBorders/>
            <w:shd w:fill="auto" w:val="clear"/>
            <w:vAlign w:val="center"/>
          </w:tcPr>
          <w:p>
            <w:pPr>
              <w:pStyle w:val="TableContents"/>
              <w:spacing w:before="0" w:after="283"/>
              <w:rPr>
                <w:rFonts w:ascii="Times New Roman" w:hAnsi="Times New Roman"/>
                <w:b/>
                <w:color w:val="000000"/>
                <w:sz w:val="20"/>
              </w:rPr>
            </w:pPr>
            <w:r>
              <w:rPr>
                <w:rFonts w:ascii="Times New Roman" w:hAnsi="Times New Roman"/>
                <w:b/>
                <w:color w:val="000000"/>
                <w:sz w:val="20"/>
              </w:rPr>
              <w:t>8.</w:t>
            </w:r>
          </w:p>
        </w:tc>
        <w:tc>
          <w:tcPr>
            <w:tcW w:w="1220" w:type="dxa"/>
            <w:tcBorders/>
            <w:shd w:fill="auto" w:val="clear"/>
            <w:vAlign w:val="center"/>
          </w:tcPr>
          <w:p>
            <w:pPr>
              <w:pStyle w:val="TableContents"/>
              <w:spacing w:before="0" w:after="0"/>
              <w:jc w:val="left"/>
              <w:rPr>
                <w:rFonts w:ascii="Times New Roman" w:hAnsi="Times New Roman"/>
                <w:b/>
                <w:color w:val="000000"/>
                <w:sz w:val="20"/>
              </w:rPr>
            </w:pPr>
            <w:r>
              <w:rPr>
                <w:rFonts w:ascii="Times New Roman" w:hAnsi="Times New Roman"/>
                <w:b/>
                <w:color w:val="000000"/>
                <w:sz w:val="20"/>
              </w:rPr>
              <w:t>Income Taxes</w:t>
            </w:r>
          </w:p>
        </w:tc>
      </w:tr>
    </w:tbl>
    <w:p>
      <w:pPr>
        <w:pStyle w:val="TextBody"/>
        <w:spacing w:before="0" w:after="0"/>
        <w:jc w:val="left"/>
        <w:rPr/>
      </w:pPr>
      <w:r>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Provision for income taxes for the first quarter of 2023 was $3.2 million, compared to $12.0 million for the prior-year period. The effective tax rates for the first quarter 2023 was 22.0% of pre-tax income compared to 23.6% in the prior-year period.</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$91.8 million and $89.3 million as of March 31, 2023 and December 31, 2022, respectively.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2022. If the amount designated as indefinitely reinvested as of December 31, 2022 was repatriated to the United States, the amount of incremental taxes would be approximately $6.0 million.  The Company intends to utilize the indefinitely reinvested offshore earnings to fund foreign investments, specifically capital expenditures.</w:t>
      </w:r>
    </w:p>
    <w:p>
      <w:pPr>
        <w:pStyle w:val="TextBody"/>
        <w:spacing w:before="0" w:after="0"/>
        <w:jc w:val="left"/>
        <w:rPr/>
      </w:pPr>
      <w:r>
        <w:rPr/>
      </w:r>
    </w:p>
    <w:p>
      <w:pPr>
        <w:pStyle w:val="TextBody"/>
        <w:spacing w:before="0" w:after="0"/>
        <w:jc w:val="both"/>
        <w:rPr>
          <w:rFonts w:ascii="Times New Roman;serif" w:hAnsi="Times New Roman;serif"/>
          <w:color w:val="000000"/>
          <w:sz w:val="20"/>
        </w:rPr>
      </w:pPr>
      <w:r>
        <w:rPr>
          <w:rFonts w:ascii="Times New Roman;serif" w:hAnsi="Times New Roman;serif"/>
          <w:color w:val="000000"/>
          <w:sz w:val="20"/>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December 31, 2022, tax years through 2020 have been audited and are effectively closed to further examination. For tax years 2021 and 2023, the Company is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For tax year 2022, the Company has accepted an invitation to participate in the IRS’s new pilot program, Bridge Plus. The Company may elect to continue participating in CAP for future tax years; the Company may withdraw from the program at any time. With a few exceptions, the Company is no longer subject to state and local income tax examination by tax authorities for the years before 2019. Foreign jurisdictions have varying lengths of statues of limitations for income tax examinations. Some statutes are as short as three years and in certain markets may be as long as ten years. The Company is currently under examination in certain foreign jurisdictions; however, the outcomes of those reviews are not yet determinable.  The Company’s unrecognized tax benefits relate to multiple jurisdictions. Due to potential increases in unrecognized tax benefits from the multiple jurisdictions in which the Company operates, as well as the expiration of various statutes of limitations, it is reasonably possible that the Company’s gross unrecognized tax benefits, net of foreign currency adjustments, may increase in the next 12 months by approximately $3.0 to $4.0 million.</w:t>
      </w:r>
    </w:p>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tbl>
      <w:tblPr>
        <w:tblW w:w="3160" w:type="dxa"/>
        <w:jc w:val="left"/>
        <w:tblInd w:w="0" w:type="dxa"/>
        <w:tblCellMar>
          <w:top w:w="0" w:type="dxa"/>
          <w:left w:w="0" w:type="dxa"/>
          <w:bottom w:w="0" w:type="dxa"/>
          <w:right w:w="0" w:type="dxa"/>
        </w:tblCellMar>
      </w:tblPr>
      <w:tblGrid>
        <w:gridCol w:w="185"/>
        <w:gridCol w:w="2975"/>
      </w:tblGrid>
      <w:tr>
        <w:trPr/>
        <w:tc>
          <w:tcPr>
            <w:tcW w:w="185" w:type="dxa"/>
            <w:tcBorders/>
            <w:shd w:fill="auto" w:val="clear"/>
            <w:vAlign w:val="center"/>
          </w:tcPr>
          <w:p>
            <w:pPr>
              <w:pStyle w:val="TableContents"/>
              <w:spacing w:before="0" w:after="283"/>
              <w:rPr>
                <w:rFonts w:ascii="Times New Roman;Times;serif" w:hAnsi="Times New Roman;Times;serif"/>
                <w:b/>
                <w:color w:val="000000"/>
                <w:sz w:val="20"/>
              </w:rPr>
            </w:pPr>
            <w:r>
              <w:rPr>
                <w:rFonts w:ascii="Times New Roman;Times;serif" w:hAnsi="Times New Roman;Times;serif"/>
                <w:b/>
                <w:color w:val="000000"/>
                <w:sz w:val="20"/>
              </w:rPr>
              <w:t>9.</w:t>
            </w:r>
          </w:p>
        </w:tc>
        <w:tc>
          <w:tcPr>
            <w:tcW w:w="2975" w:type="dxa"/>
            <w:tcBorders/>
            <w:shd w:fill="auto" w:val="clear"/>
            <w:vAlign w:val="center"/>
          </w:tcPr>
          <w:p>
            <w:pPr>
              <w:pStyle w:val="TableContents"/>
              <w:spacing w:before="0" w:after="0"/>
              <w:jc w:val="both"/>
              <w:rPr>
                <w:rFonts w:ascii="Times New Roman;Times;serif" w:hAnsi="Times New Roman;Times;serif"/>
                <w:b/>
                <w:color w:val="000000"/>
                <w:sz w:val="20"/>
              </w:rPr>
            </w:pPr>
            <w:r>
              <w:rPr>
                <w:rFonts w:ascii="Times New Roman;Times;serif" w:hAnsi="Times New Roman;Times;serif"/>
                <w:b/>
                <w:color w:val="000000"/>
                <w:sz w:val="20"/>
              </w:rPr>
              <w:t>Derivatives and Hedging Activities</w:t>
            </w:r>
          </w:p>
        </w:tc>
      </w:tr>
    </w:tbl>
    <w:p>
      <w:pPr>
        <w:pStyle w:val="TextBody"/>
        <w:spacing w:before="0" w:after="0"/>
        <w:jc w:val="left"/>
        <w:rPr/>
      </w:pPr>
      <w:r>
        <w:rPr/>
      </w:r>
    </w:p>
    <w:p>
      <w:pPr>
        <w:pStyle w:val="TextBody"/>
        <w:spacing w:before="0" w:after="0"/>
        <w:jc w:val="both"/>
        <w:rPr>
          <w:rFonts w:ascii="Times New Roman;Times;serif" w:hAnsi="Times New Roman;Times;serif"/>
          <w:i/>
          <w:color w:val="000000"/>
          <w:sz w:val="20"/>
        </w:rPr>
      </w:pPr>
      <w:r>
        <w:rPr>
          <w:rFonts w:ascii="Times New Roman;Times;serif" w:hAnsi="Times New Roman;Times;serif"/>
          <w:i/>
          <w:color w:val="000000"/>
          <w:sz w:val="20"/>
        </w:rPr>
        <w:t>Risk Management Objective of Using Derivatives</w:t>
      </w:r>
    </w:p>
    <w:p>
      <w:pPr>
        <w:pStyle w:val="TextBody"/>
        <w:spacing w:before="0" w:after="0"/>
        <w:jc w:val="left"/>
        <w:rPr/>
      </w:pPr>
      <w:r>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pStyle w:val="TextBody"/>
        <w:spacing w:before="0" w:after="0"/>
        <w:jc w:val="left"/>
        <w:rPr/>
      </w:pPr>
      <w:r>
        <w:rPr/>
      </w:r>
    </w:p>
    <w:p>
      <w:pPr>
        <w:pStyle w:val="TextBody"/>
        <w:spacing w:before="0" w:after="0"/>
        <w:jc w:val="both"/>
        <w:rPr>
          <w:rFonts w:ascii="Times New Roman;Times;serif" w:hAnsi="Times New Roman;Times;serif"/>
          <w:i/>
          <w:color w:val="000000"/>
          <w:sz w:val="20"/>
        </w:rPr>
      </w:pPr>
      <w:r>
        <w:rPr>
          <w:rFonts w:ascii="Times New Roman;Times;serif" w:hAnsi="Times New Roman;Times;serif"/>
          <w:i/>
          <w:color w:val="000000"/>
          <w:sz w:val="20"/>
        </w:rPr>
        <w:t>Cash Flow Hedges of Interest Rate Risk</w:t>
      </w:r>
    </w:p>
    <w:p>
      <w:pPr>
        <w:pStyle w:val="TextBody"/>
        <w:spacing w:before="0" w:after="0"/>
        <w:jc w:val="left"/>
        <w:rPr/>
      </w:pPr>
      <w:r>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2023, such derivatives were used to hedge the variable cash flows associated with existing variable-rate debt.</w:t>
      </w:r>
    </w:p>
    <w:p>
      <w:pPr>
        <w:pStyle w:val="TextBody"/>
        <w:spacing w:before="0" w:after="0"/>
        <w:jc w:val="both"/>
        <w:rPr>
          <w:rFonts w:ascii="Times New Roman;Times;serif" w:hAnsi="Times New Roman;Times;serif"/>
          <w:sz w:val="20"/>
        </w:rPr>
      </w:pPr>
      <w:r>
        <w:rPr>
          <w:rFonts w:ascii="Times New Roman;Times;serif" w:hAnsi="Times New Roman;Times;serif"/>
          <w:sz w:val="20"/>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$8.8 million will be reclassified as a reduction to interest expense.</w:t>
      </w:r>
    </w:p>
    <w:p>
      <w:pPr>
        <w:pStyle w:val="TextBody"/>
        <w:spacing w:before="0" w:after="0"/>
        <w:jc w:val="left"/>
        <w:rPr/>
      </w:pPr>
      <w:r>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As of March 31, 2023 and December 31, 2022, the Company had four outstanding interest rate derivatives that were designated as cash flow hedges of interest rate risk with a total notional amount of $200 million.</w:t>
      </w:r>
    </w:p>
    <w:p>
      <w:pPr>
        <w:pStyle w:val="TextBody"/>
        <w:spacing w:before="0" w:after="0"/>
        <w:jc w:val="left"/>
        <w:rPr/>
      </w:pPr>
      <w:r>
        <w:rPr/>
      </w:r>
    </w:p>
    <w:p>
      <w:pPr>
        <w:pStyle w:val="TextBody"/>
        <w:spacing w:before="0" w:after="0"/>
        <w:jc w:val="both"/>
        <w:rPr>
          <w:rFonts w:ascii="Times New Roman;Times;serif" w:hAnsi="Times New Roman;Times;serif"/>
          <w:i/>
          <w:color w:val="000000"/>
          <w:sz w:val="20"/>
        </w:rPr>
      </w:pPr>
      <w:r>
        <w:rPr>
          <w:rFonts w:ascii="Times New Roman;Times;serif" w:hAnsi="Times New Roman;Times;serif"/>
          <w:i/>
          <w:color w:val="000000"/>
          <w:sz w:val="20"/>
        </w:rPr>
        <w:t>Fair Values of Derivative Instruments on the Balance Sheet</w:t>
      </w:r>
    </w:p>
    <w:p>
      <w:pPr>
        <w:pStyle w:val="TextBody"/>
        <w:spacing w:before="0" w:after="0"/>
        <w:jc w:val="left"/>
        <w:rPr/>
      </w:pPr>
      <w:r>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The table below presents the fair value of the Company’s derivative financial instruments as well as their classification on the Balance Sheet:</w:t>
      </w:r>
    </w:p>
    <w:p>
      <w:pPr>
        <w:pStyle w:val="TextBody"/>
        <w:spacing w:before="0" w:after="0"/>
        <w:jc w:val="left"/>
        <w:rPr/>
      </w:pPr>
      <w:r>
        <w:rPr/>
      </w:r>
    </w:p>
    <w:tbl>
      <w:tblPr>
        <w:tblW w:w="6851" w:type="dxa"/>
        <w:jc w:val="left"/>
        <w:tblInd w:w="0" w:type="dxa"/>
        <w:tblCellMar>
          <w:top w:w="0" w:type="dxa"/>
          <w:left w:w="0" w:type="dxa"/>
          <w:bottom w:w="0" w:type="dxa"/>
          <w:right w:w="0" w:type="dxa"/>
        </w:tblCellMar>
      </w:tblPr>
      <w:tblGrid>
        <w:gridCol w:w="2193"/>
        <w:gridCol w:w="2313"/>
        <w:gridCol w:w="60"/>
        <w:gridCol w:w="182"/>
        <w:gridCol w:w="707"/>
        <w:gridCol w:w="81"/>
        <w:gridCol w:w="81"/>
        <w:gridCol w:w="205"/>
        <w:gridCol w:w="969"/>
        <w:gridCol w:w="60"/>
      </w:tblGrid>
      <w:tr>
        <w:trPr/>
        <w:tc>
          <w:tcPr>
            <w:tcW w:w="2193" w:type="dxa"/>
            <w:tcBorders/>
            <w:shd w:fill="auto" w:val="clear"/>
            <w:vAlign w:val="bottom"/>
          </w:tcPr>
          <w:p>
            <w:pPr>
              <w:pStyle w:val="TableContents"/>
              <w:spacing w:before="0" w:after="283"/>
              <w:rPr>
                <w:sz w:val="4"/>
                <w:szCs w:val="4"/>
              </w:rPr>
            </w:pPr>
            <w:r>
              <w:rPr>
                <w:sz w:val="4"/>
                <w:szCs w:val="4"/>
              </w:rPr>
            </w:r>
          </w:p>
        </w:tc>
        <w:tc>
          <w:tcPr>
            <w:tcW w:w="231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2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Fair Values of</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Derivative Instruments</w:t>
            </w:r>
          </w:p>
        </w:tc>
        <w:tc>
          <w:tcPr>
            <w:tcW w:w="60" w:type="dxa"/>
            <w:tcBorders/>
            <w:shd w:fill="auto" w:val="clear"/>
            <w:vAlign w:val="bottom"/>
          </w:tcPr>
          <w:p>
            <w:pPr>
              <w:pStyle w:val="TableContents"/>
              <w:spacing w:before="0" w:after="283"/>
              <w:jc w:val="left"/>
              <w:rPr/>
            </w:pPr>
            <w:r>
              <w:rPr/>
              <w:t> </w:t>
            </w:r>
          </w:p>
        </w:tc>
      </w:tr>
      <w:tr>
        <w:trPr/>
        <w:tc>
          <w:tcPr>
            <w:tcW w:w="2193" w:type="dxa"/>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Derivatives in Cash flow</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Hedging Relationships:</w:t>
            </w:r>
          </w:p>
        </w:tc>
        <w:tc>
          <w:tcPr>
            <w:tcW w:w="2313" w:type="dxa"/>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Balance Sheet</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Location</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8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1" w:type="dxa"/>
            <w:tcBorders>
              <w:bottom w:val="single" w:sz="12" w:space="0" w:color="000000"/>
            </w:tcBorders>
            <w:shd w:fill="auto" w:val="clear"/>
            <w:tcMar>
              <w:bottom w:w="28" w:type="dxa"/>
            </w:tcM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December 31,</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r>
      <w:tr>
        <w:trPr/>
        <w:tc>
          <w:tcPr>
            <w:tcW w:w="2193" w:type="dxa"/>
            <w:tcBorders/>
            <w:shd w:fill="CCEEFF" w:val="clear"/>
            <w:vAlign w:val="bottom"/>
          </w:tcPr>
          <w:p>
            <w:pPr>
              <w:pStyle w:val="TableContents"/>
              <w:spacing w:before="0" w:after="0"/>
              <w:ind w:left="0" w:right="88" w:hanging="0"/>
              <w:jc w:val="left"/>
              <w:rPr>
                <w:rFonts w:ascii="Times New Roman;Times;serif" w:hAnsi="Times New Roman;Times;serif"/>
                <w:color w:val="000000"/>
                <w:sz w:val="20"/>
              </w:rPr>
            </w:pPr>
            <w:r>
              <w:rPr>
                <w:rFonts w:ascii="Times New Roman;Times;serif" w:hAnsi="Times New Roman;Times;serif"/>
                <w:color w:val="000000"/>
                <w:sz w:val="20"/>
              </w:rPr>
              <w:t>Interest Rate Swap - Asset</w:t>
            </w:r>
          </w:p>
        </w:tc>
        <w:tc>
          <w:tcPr>
            <w:tcW w:w="2313" w:type="dxa"/>
            <w:tcBorders/>
            <w:shd w:fill="CCEEFF" w:val="clear"/>
            <w:vAlign w:val="bottom"/>
          </w:tcPr>
          <w:p>
            <w:pPr>
              <w:pStyle w:val="TableContents"/>
              <w:spacing w:before="0" w:after="0"/>
              <w:ind w:left="0" w:right="88" w:hanging="0"/>
              <w:jc w:val="center"/>
              <w:rPr>
                <w:rFonts w:ascii="Times New Roman;Times;serif" w:hAnsi="Times New Roman;Times;serif"/>
                <w:color w:val="000000"/>
                <w:sz w:val="20"/>
              </w:rPr>
            </w:pPr>
            <w:r>
              <w:rPr>
                <w:rFonts w:ascii="Times New Roman;Times;serif" w:hAnsi="Times New Roman;Times;serif"/>
                <w:color w:val="000000"/>
                <w:sz w:val="20"/>
              </w:rPr>
              <w:t>Prepaid expenses and other</w:t>
            </w:r>
          </w:p>
        </w:tc>
        <w:tc>
          <w:tcPr>
            <w:tcW w:w="6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07"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8,814</w:t>
            </w:r>
          </w:p>
        </w:tc>
        <w:tc>
          <w:tcPr>
            <w:tcW w:w="81" w:type="dxa"/>
            <w:tcBorders/>
            <w:shd w:fill="CCEEFF" w:val="clear"/>
            <w:vAlign w:val="bottom"/>
          </w:tcPr>
          <w:p>
            <w:pPr>
              <w:pStyle w:val="TableContents"/>
              <w:spacing w:before="0" w:after="283"/>
              <w:jc w:val="left"/>
              <w:rPr/>
            </w:pPr>
            <w:r>
              <w:rPr/>
              <w:t> </w:t>
            </w:r>
          </w:p>
        </w:tc>
        <w:tc>
          <w:tcPr>
            <w:tcW w:w="8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69"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9,156</w:t>
            </w:r>
          </w:p>
        </w:tc>
        <w:tc>
          <w:tcPr>
            <w:tcW w:w="60" w:type="dxa"/>
            <w:tcBorders/>
            <w:shd w:fill="CCEEFF" w:val="clear"/>
            <w:vAlign w:val="bottom"/>
          </w:tcPr>
          <w:p>
            <w:pPr>
              <w:pStyle w:val="TableContents"/>
              <w:spacing w:before="0" w:after="283"/>
              <w:jc w:val="left"/>
              <w:rPr/>
            </w:pPr>
            <w:r>
              <w:rPr/>
              <w:t> </w:t>
            </w:r>
          </w:p>
        </w:tc>
      </w:tr>
      <w:tr>
        <w:trPr/>
        <w:tc>
          <w:tcPr>
            <w:tcW w:w="2193" w:type="dxa"/>
            <w:tcBorders/>
            <w:shd w:fill="auto" w:val="clear"/>
            <w:vAlign w:val="bottom"/>
          </w:tcPr>
          <w:p>
            <w:pPr>
              <w:pStyle w:val="TableContents"/>
              <w:spacing w:before="0" w:after="0"/>
              <w:ind w:left="0" w:right="88" w:hanging="0"/>
              <w:jc w:val="left"/>
              <w:rPr>
                <w:rFonts w:ascii="Times New Roman;Times;serif" w:hAnsi="Times New Roman;Times;serif"/>
                <w:color w:val="000000"/>
                <w:sz w:val="20"/>
              </w:rPr>
            </w:pPr>
            <w:r>
              <w:rPr>
                <w:rFonts w:ascii="Times New Roman;Times;serif" w:hAnsi="Times New Roman;Times;serif"/>
                <w:color w:val="000000"/>
                <w:sz w:val="20"/>
              </w:rPr>
              <w:t>Interest Rate Swap - Asset</w:t>
            </w:r>
          </w:p>
        </w:tc>
        <w:tc>
          <w:tcPr>
            <w:tcW w:w="2313" w:type="dxa"/>
            <w:tcBorders/>
            <w:shd w:fill="auto" w:val="clear"/>
            <w:vAlign w:val="bottom"/>
          </w:tcPr>
          <w:p>
            <w:pPr>
              <w:pStyle w:val="TableContents"/>
              <w:spacing w:before="0" w:after="0"/>
              <w:ind w:left="0" w:right="88" w:hanging="0"/>
              <w:jc w:val="center"/>
              <w:rPr>
                <w:rFonts w:ascii="Times New Roman;Times;serif" w:hAnsi="Times New Roman;Times;serif"/>
                <w:color w:val="000000"/>
                <w:sz w:val="20"/>
              </w:rPr>
            </w:pPr>
            <w:r>
              <w:rPr>
                <w:rFonts w:ascii="Times New Roman;Times;serif" w:hAnsi="Times New Roman;Times;serif"/>
                <w:color w:val="000000"/>
                <w:sz w:val="20"/>
              </w:rPr>
              <w:t>Other assets</w:t>
            </w:r>
          </w:p>
        </w:tc>
        <w:tc>
          <w:tcPr>
            <w:tcW w:w="6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07"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7,917</w:t>
            </w:r>
          </w:p>
        </w:tc>
        <w:tc>
          <w:tcPr>
            <w:tcW w:w="81"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69"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10,582</w:t>
            </w:r>
          </w:p>
        </w:tc>
        <w:tc>
          <w:tcPr>
            <w:tcW w:w="60"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Times;serif" w:hAnsi="Times New Roman;Times;serif"/>
          <w:i/>
          <w:color w:val="000000"/>
          <w:sz w:val="20"/>
        </w:rPr>
      </w:pPr>
      <w:r>
        <w:rPr>
          <w:rFonts w:ascii="Times New Roman;Times;serif" w:hAnsi="Times New Roman;Times;serif"/>
          <w:i/>
          <w:color w:val="000000"/>
          <w:sz w:val="20"/>
        </w:rPr>
        <w:t>Effect of Cash Flow Hedge Accounting on Accumulated Other Comprehensive Loss</w:t>
      </w:r>
    </w:p>
    <w:p>
      <w:pPr>
        <w:pStyle w:val="TextBody"/>
        <w:spacing w:before="0" w:after="0"/>
        <w:jc w:val="left"/>
        <w:rPr/>
      </w:pPr>
      <w:r>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The tables below present the effect of cash flow hedge accounting on Accumulated Other Comprehensive Loss.</w:t>
      </w:r>
    </w:p>
    <w:p>
      <w:pPr>
        <w:pStyle w:val="TextBody"/>
        <w:spacing w:before="0" w:after="0"/>
        <w:jc w:val="left"/>
        <w:rPr/>
      </w:pPr>
      <w:r>
        <w:rPr/>
      </w:r>
    </w:p>
    <w:tbl>
      <w:tblPr>
        <w:tblW w:w="5076" w:type="dxa"/>
        <w:jc w:val="left"/>
        <w:tblInd w:w="0" w:type="dxa"/>
        <w:tblCellMar>
          <w:top w:w="0" w:type="dxa"/>
          <w:left w:w="0" w:type="dxa"/>
          <w:bottom w:w="0" w:type="dxa"/>
          <w:right w:w="0" w:type="dxa"/>
        </w:tblCellMar>
      </w:tblPr>
      <w:tblGrid>
        <w:gridCol w:w="2075"/>
        <w:gridCol w:w="60"/>
        <w:gridCol w:w="283"/>
        <w:gridCol w:w="897"/>
        <w:gridCol w:w="181"/>
        <w:gridCol w:w="136"/>
        <w:gridCol w:w="283"/>
        <w:gridCol w:w="1101"/>
        <w:gridCol w:w="60"/>
      </w:tblGrid>
      <w:tr>
        <w:trPr/>
        <w:tc>
          <w:tcPr>
            <w:tcW w:w="20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881"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Amount of Gain (Loss) </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Recognized in OCI on Derivatives</w:t>
            </w:r>
          </w:p>
        </w:tc>
        <w:tc>
          <w:tcPr>
            <w:tcW w:w="60" w:type="dxa"/>
            <w:tcBorders/>
            <w:shd w:fill="auto" w:val="clear"/>
            <w:vAlign w:val="bottom"/>
          </w:tcPr>
          <w:p>
            <w:pPr>
              <w:pStyle w:val="TableContents"/>
              <w:spacing w:before="0" w:after="283"/>
              <w:jc w:val="left"/>
              <w:rPr/>
            </w:pPr>
            <w:r>
              <w:rPr/>
              <w:t> </w:t>
            </w:r>
          </w:p>
        </w:tc>
      </w:tr>
      <w:tr>
        <w:trPr/>
        <w:tc>
          <w:tcPr>
            <w:tcW w:w="20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81" w:type="dxa"/>
            <w:gridSpan w:val="6"/>
            <w:tcBorders/>
            <w:shd w:fill="auto" w:val="cle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tc>
        <w:tc>
          <w:tcPr>
            <w:tcW w:w="60" w:type="dxa"/>
            <w:tcBorders/>
            <w:shd w:fill="auto" w:val="clear"/>
            <w:vAlign w:val="bottom"/>
          </w:tcPr>
          <w:p>
            <w:pPr>
              <w:pStyle w:val="TableContents"/>
              <w:spacing w:before="0" w:after="283"/>
              <w:jc w:val="left"/>
              <w:rPr/>
            </w:pPr>
            <w:r>
              <w:rPr/>
              <w:t> </w:t>
            </w:r>
          </w:p>
        </w:tc>
      </w:tr>
      <w:tr>
        <w:trPr/>
        <w:tc>
          <w:tcPr>
            <w:tcW w:w="2075" w:type="dxa"/>
            <w:tcBorders/>
            <w:shd w:fill="auto" w:val="cle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Derivatives in Cash flow</w:t>
            </w:r>
          </w:p>
        </w:tc>
        <w:tc>
          <w:tcPr>
            <w:tcW w:w="60" w:type="dxa"/>
            <w:tcBorders/>
            <w:shd w:fill="auto" w:val="clear"/>
            <w:vAlign w:val="bottom"/>
          </w:tcPr>
          <w:p>
            <w:pPr>
              <w:pStyle w:val="TableContents"/>
              <w:spacing w:before="0" w:after="283"/>
              <w:rPr/>
            </w:pPr>
            <w:r>
              <w:rPr/>
              <w:t> </w:t>
            </w:r>
          </w:p>
        </w:tc>
        <w:tc>
          <w:tcPr>
            <w:tcW w:w="2881"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60" w:type="dxa"/>
            <w:tcBorders/>
            <w:shd w:fill="auto" w:val="clear"/>
            <w:vAlign w:val="bottom"/>
          </w:tcPr>
          <w:p>
            <w:pPr>
              <w:pStyle w:val="TableContents"/>
              <w:spacing w:before="0" w:after="283"/>
              <w:jc w:val="left"/>
              <w:rPr/>
            </w:pPr>
            <w:r>
              <w:rPr/>
              <w:t> </w:t>
            </w:r>
          </w:p>
        </w:tc>
      </w:tr>
      <w:tr>
        <w:trPr/>
        <w:tc>
          <w:tcPr>
            <w:tcW w:w="2075" w:type="dxa"/>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Hedging Relationships:</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1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18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6" w:type="dxa"/>
            <w:tcBorders>
              <w:bottom w:val="single" w:sz="12" w:space="0" w:color="000000"/>
            </w:tcBorders>
            <w:shd w:fill="auto" w:val="clear"/>
            <w:tcMar>
              <w:bottom w:w="28" w:type="dxa"/>
            </w:tcMar>
            <w:vAlign w:val="bottom"/>
          </w:tcPr>
          <w:p>
            <w:pPr>
              <w:pStyle w:val="TableContents"/>
              <w:spacing w:before="0" w:after="283"/>
              <w:rPr/>
            </w:pPr>
            <w:r>
              <w:rPr/>
              <w:t> </w:t>
            </w:r>
          </w:p>
        </w:tc>
        <w:tc>
          <w:tcPr>
            <w:tcW w:w="138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r>
      <w:tr>
        <w:trPr/>
        <w:tc>
          <w:tcPr>
            <w:tcW w:w="2075" w:type="dxa"/>
            <w:tcBorders/>
            <w:shd w:fill="CCEEFF" w:val="clear"/>
            <w:vAlign w:val="bottom"/>
          </w:tcPr>
          <w:p>
            <w:pPr>
              <w:pStyle w:val="TableContents"/>
              <w:spacing w:before="0" w:after="0"/>
              <w:ind w:left="0" w:right="88" w:hanging="0"/>
              <w:jc w:val="left"/>
              <w:rPr>
                <w:rFonts w:ascii="Times New Roman;Times;serif" w:hAnsi="Times New Roman;Times;serif"/>
                <w:color w:val="000000"/>
                <w:sz w:val="20"/>
              </w:rPr>
            </w:pPr>
            <w:r>
              <w:rPr>
                <w:rFonts w:ascii="Times New Roman;Times;serif" w:hAnsi="Times New Roman;Times;serif"/>
                <w:color w:val="000000"/>
                <w:sz w:val="20"/>
              </w:rPr>
              <w:t>Interest Rate Swaps</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97"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(810</w:t>
            </w:r>
          </w:p>
        </w:tc>
        <w:tc>
          <w:tcPr>
            <w:tcW w:w="181"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36"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10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8,057</w:t>
            </w:r>
          </w:p>
        </w:tc>
        <w:tc>
          <w:tcPr>
            <w:tcW w:w="60"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7949" w:type="dxa"/>
        <w:jc w:val="left"/>
        <w:tblInd w:w="0" w:type="dxa"/>
        <w:tblCellMar>
          <w:top w:w="0" w:type="dxa"/>
          <w:left w:w="0" w:type="dxa"/>
          <w:bottom w:w="0" w:type="dxa"/>
          <w:right w:w="0" w:type="dxa"/>
        </w:tblCellMar>
      </w:tblPr>
      <w:tblGrid>
        <w:gridCol w:w="2075"/>
        <w:gridCol w:w="2373"/>
        <w:gridCol w:w="60"/>
        <w:gridCol w:w="366"/>
        <w:gridCol w:w="1423"/>
        <w:gridCol w:w="175"/>
        <w:gridCol w:w="175"/>
        <w:gridCol w:w="366"/>
        <w:gridCol w:w="856"/>
        <w:gridCol w:w="80"/>
      </w:tblGrid>
      <w:tr>
        <w:trPr/>
        <w:tc>
          <w:tcPr>
            <w:tcW w:w="2075" w:type="dxa"/>
            <w:tcBorders/>
            <w:shd w:fill="auto" w:val="clear"/>
            <w:vAlign w:val="bottom"/>
          </w:tcPr>
          <w:p>
            <w:pPr>
              <w:pStyle w:val="TableContents"/>
              <w:spacing w:before="0" w:after="283"/>
              <w:rPr>
                <w:sz w:val="4"/>
                <w:szCs w:val="4"/>
              </w:rPr>
            </w:pPr>
            <w:r>
              <w:rPr>
                <w:sz w:val="4"/>
                <w:szCs w:val="4"/>
              </w:rPr>
            </w:r>
          </w:p>
        </w:tc>
        <w:tc>
          <w:tcPr>
            <w:tcW w:w="23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61"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Amount of Gain (Loss)</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Reclassified from Accumulated</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Other Comprehensive Loss into Income</w:t>
            </w:r>
          </w:p>
        </w:tc>
        <w:tc>
          <w:tcPr>
            <w:tcW w:w="80" w:type="dxa"/>
            <w:tcBorders/>
            <w:shd w:fill="auto" w:val="clear"/>
            <w:vAlign w:val="bottom"/>
          </w:tcPr>
          <w:p>
            <w:pPr>
              <w:pStyle w:val="TableContents"/>
              <w:spacing w:before="0" w:after="283"/>
              <w:jc w:val="left"/>
              <w:rPr/>
            </w:pPr>
            <w:r>
              <w:rPr/>
              <w:t> </w:t>
            </w:r>
          </w:p>
        </w:tc>
      </w:tr>
      <w:tr>
        <w:trPr/>
        <w:tc>
          <w:tcPr>
            <w:tcW w:w="2075" w:type="dxa"/>
            <w:tcBorders/>
            <w:shd w:fill="auto" w:val="clear"/>
            <w:vAlign w:val="bottom"/>
          </w:tcPr>
          <w:p>
            <w:pPr>
              <w:pStyle w:val="TableContents"/>
              <w:spacing w:before="0" w:after="283"/>
              <w:rPr/>
            </w:pPr>
            <w:r>
              <w:rPr/>
              <w:t> </w:t>
            </w:r>
          </w:p>
        </w:tc>
        <w:tc>
          <w:tcPr>
            <w:tcW w:w="23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61" w:type="dxa"/>
            <w:gridSpan w:val="6"/>
            <w:tcBorders/>
            <w:shd w:fill="auto" w:val="cle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tc>
        <w:tc>
          <w:tcPr>
            <w:tcW w:w="80" w:type="dxa"/>
            <w:tcBorders/>
            <w:shd w:fill="auto" w:val="clear"/>
            <w:vAlign w:val="bottom"/>
          </w:tcPr>
          <w:p>
            <w:pPr>
              <w:pStyle w:val="TableContents"/>
              <w:spacing w:before="0" w:after="283"/>
              <w:jc w:val="left"/>
              <w:rPr/>
            </w:pPr>
            <w:r>
              <w:rPr/>
              <w:t> </w:t>
            </w:r>
          </w:p>
        </w:tc>
      </w:tr>
      <w:tr>
        <w:trPr/>
        <w:tc>
          <w:tcPr>
            <w:tcW w:w="2075" w:type="dxa"/>
            <w:tcBorders/>
            <w:shd w:fill="auto" w:val="cle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Derivatives in Cash flow</w:t>
            </w:r>
          </w:p>
        </w:tc>
        <w:tc>
          <w:tcPr>
            <w:tcW w:w="2373" w:type="dxa"/>
            <w:tcBorders/>
            <w:shd w:fill="auto" w:val="cle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Income Statement</w:t>
            </w:r>
          </w:p>
        </w:tc>
        <w:tc>
          <w:tcPr>
            <w:tcW w:w="60" w:type="dxa"/>
            <w:tcBorders/>
            <w:shd w:fill="auto" w:val="clear"/>
            <w:vAlign w:val="bottom"/>
          </w:tcPr>
          <w:p>
            <w:pPr>
              <w:pStyle w:val="TableContents"/>
              <w:spacing w:before="0" w:after="283"/>
              <w:rPr/>
            </w:pPr>
            <w:r>
              <w:rPr/>
              <w:t> </w:t>
            </w:r>
          </w:p>
        </w:tc>
        <w:tc>
          <w:tcPr>
            <w:tcW w:w="3361"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80" w:type="dxa"/>
            <w:tcBorders/>
            <w:shd w:fill="auto" w:val="clear"/>
            <w:vAlign w:val="bottom"/>
          </w:tcPr>
          <w:p>
            <w:pPr>
              <w:pStyle w:val="TableContents"/>
              <w:spacing w:before="0" w:after="283"/>
              <w:jc w:val="left"/>
              <w:rPr/>
            </w:pPr>
            <w:r>
              <w:rPr/>
              <w:t> </w:t>
            </w:r>
          </w:p>
        </w:tc>
      </w:tr>
      <w:tr>
        <w:trPr/>
        <w:tc>
          <w:tcPr>
            <w:tcW w:w="2075" w:type="dxa"/>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Hedging Relationships:</w:t>
            </w:r>
          </w:p>
        </w:tc>
        <w:tc>
          <w:tcPr>
            <w:tcW w:w="2373" w:type="dxa"/>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Location</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7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17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75" w:type="dxa"/>
            <w:tcBorders>
              <w:bottom w:val="single" w:sz="12" w:space="0" w:color="000000"/>
            </w:tcBorders>
            <w:shd w:fill="auto" w:val="clear"/>
            <w:tcMar>
              <w:bottom w:w="28" w:type="dxa"/>
            </w:tcMar>
            <w:vAlign w:val="bottom"/>
          </w:tcPr>
          <w:p>
            <w:pPr>
              <w:pStyle w:val="TableContents"/>
              <w:spacing w:before="0" w:after="283"/>
              <w:rPr/>
            </w:pPr>
            <w:r>
              <w:rPr/>
              <w:t> </w:t>
            </w:r>
          </w:p>
        </w:tc>
        <w:tc>
          <w:tcPr>
            <w:tcW w:w="122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80" w:type="dxa"/>
            <w:tcBorders>
              <w:bottom w:val="single" w:sz="12" w:space="0" w:color="000000"/>
            </w:tcBorders>
            <w:shd w:fill="auto" w:val="clear"/>
            <w:tcMar>
              <w:bottom w:w="28" w:type="dxa"/>
            </w:tcMar>
            <w:vAlign w:val="bottom"/>
          </w:tcPr>
          <w:p>
            <w:pPr>
              <w:pStyle w:val="TableContents"/>
              <w:spacing w:before="0" w:after="283"/>
              <w:jc w:val="left"/>
              <w:rPr/>
            </w:pPr>
            <w:r>
              <w:rPr/>
              <w:t> </w:t>
            </w:r>
          </w:p>
        </w:tc>
      </w:tr>
      <w:tr>
        <w:trPr/>
        <w:tc>
          <w:tcPr>
            <w:tcW w:w="2075" w:type="dxa"/>
            <w:tcBorders/>
            <w:shd w:fill="CCEEFF" w:val="clear"/>
            <w:vAlign w:val="bottom"/>
          </w:tcPr>
          <w:p>
            <w:pPr>
              <w:pStyle w:val="TableContents"/>
              <w:spacing w:before="0" w:after="0"/>
              <w:ind w:left="0" w:right="88" w:hanging="0"/>
              <w:jc w:val="left"/>
              <w:rPr>
                <w:rFonts w:ascii="Times New Roman;Times;serif" w:hAnsi="Times New Roman;Times;serif"/>
                <w:color w:val="000000"/>
                <w:sz w:val="20"/>
              </w:rPr>
            </w:pPr>
            <w:r>
              <w:rPr>
                <w:rFonts w:ascii="Times New Roman;Times;serif" w:hAnsi="Times New Roman;Times;serif"/>
                <w:color w:val="000000"/>
                <w:sz w:val="20"/>
              </w:rPr>
              <w:t>Interest Rate Swaps</w:t>
            </w:r>
          </w:p>
        </w:tc>
        <w:tc>
          <w:tcPr>
            <w:tcW w:w="2373" w:type="dxa"/>
            <w:tcBorders/>
            <w:shd w:fill="CCEEFF" w:val="clear"/>
            <w:vAlign w:val="bottom"/>
          </w:tcPr>
          <w:p>
            <w:pPr>
              <w:pStyle w:val="TableContents"/>
              <w:spacing w:before="0" w:after="0"/>
              <w:ind w:left="0" w:right="88" w:hanging="0"/>
              <w:jc w:val="center"/>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6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423"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2,197</w:t>
            </w:r>
          </w:p>
        </w:tc>
        <w:tc>
          <w:tcPr>
            <w:tcW w:w="175" w:type="dxa"/>
            <w:tcBorders/>
            <w:shd w:fill="CCEEFF" w:val="clear"/>
            <w:vAlign w:val="bottom"/>
          </w:tcPr>
          <w:p>
            <w:pPr>
              <w:pStyle w:val="TableContents"/>
              <w:spacing w:before="0" w:after="283"/>
              <w:jc w:val="left"/>
              <w:rPr/>
            </w:pPr>
            <w:r>
              <w:rPr/>
              <w:t> </w:t>
            </w:r>
          </w:p>
        </w:tc>
        <w:tc>
          <w:tcPr>
            <w:tcW w:w="175"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56"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(18</w:t>
            </w:r>
          </w:p>
        </w:tc>
        <w:tc>
          <w:tcPr>
            <w:tcW w:w="8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bl>
    <w:p>
      <w:pPr>
        <w:pStyle w:val="TextBody"/>
        <w:spacing w:before="0" w:after="0"/>
        <w:jc w:val="left"/>
        <w:rPr/>
      </w:pPr>
      <w:r>
        <w:rPr/>
      </w:r>
    </w:p>
    <w:tbl>
      <w:tblPr>
        <w:tblW w:w="2125" w:type="dxa"/>
        <w:jc w:val="left"/>
        <w:tblInd w:w="0" w:type="dxa"/>
        <w:tblCellMar>
          <w:top w:w="0" w:type="dxa"/>
          <w:left w:w="0" w:type="dxa"/>
          <w:bottom w:w="0" w:type="dxa"/>
          <w:right w:w="0" w:type="dxa"/>
        </w:tblCellMar>
      </w:tblPr>
      <w:tblGrid>
        <w:gridCol w:w="290"/>
        <w:gridCol w:w="1835"/>
      </w:tblGrid>
      <w:tr>
        <w:trPr/>
        <w:tc>
          <w:tcPr>
            <w:tcW w:w="290" w:type="dxa"/>
            <w:tcBorders/>
            <w:shd w:fill="auto" w:val="clear"/>
            <w:vAlign w:val="center"/>
          </w:tcPr>
          <w:p>
            <w:pPr>
              <w:pStyle w:val="TableContents"/>
              <w:spacing w:before="0" w:after="283"/>
              <w:rPr>
                <w:rFonts w:ascii="Times New Roman;Times;serif" w:hAnsi="Times New Roman;Times;serif"/>
                <w:b/>
                <w:color w:val="000000"/>
                <w:sz w:val="20"/>
              </w:rPr>
            </w:pPr>
            <w:r>
              <w:rPr>
                <w:rFonts w:ascii="Times New Roman;Times;serif" w:hAnsi="Times New Roman;Times;serif"/>
                <w:b/>
                <w:color w:val="000000"/>
                <w:sz w:val="20"/>
              </w:rPr>
              <w:t>10.</w:t>
            </w:r>
          </w:p>
        </w:tc>
        <w:tc>
          <w:tcPr>
            <w:tcW w:w="1835" w:type="dxa"/>
            <w:tcBorders/>
            <w:shd w:fill="auto" w:val="clear"/>
            <w:vAlign w:val="center"/>
          </w:tcPr>
          <w:p>
            <w:pPr>
              <w:pStyle w:val="TableContents"/>
              <w:spacing w:before="0" w:after="0"/>
              <w:jc w:val="both"/>
              <w:rPr>
                <w:rFonts w:ascii="Times New Roman;Times;serif" w:hAnsi="Times New Roman;Times;serif"/>
                <w:b/>
                <w:color w:val="000000"/>
                <w:sz w:val="20"/>
              </w:rPr>
            </w:pPr>
            <w:r>
              <w:rPr>
                <w:rFonts w:ascii="Times New Roman;Times;serif" w:hAnsi="Times New Roman;Times;serif"/>
                <w:b/>
                <w:color w:val="000000"/>
                <w:sz w:val="20"/>
              </w:rPr>
              <w:t>Segment Information</w:t>
            </w:r>
          </w:p>
        </w:tc>
      </w:tr>
    </w:tbl>
    <w:p>
      <w:pPr>
        <w:pStyle w:val="TextBody"/>
        <w:spacing w:before="0" w:after="0"/>
        <w:jc w:val="left"/>
        <w:rPr/>
      </w:pPr>
      <w:r>
        <w:rPr/>
      </w:r>
    </w:p>
    <w:p>
      <w:pPr>
        <w:pStyle w:val="TextBody"/>
        <w:widowControl/>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Company reports revenue from nine segments, consisting of its seven geographic Nu Skin segments—</w:t>
      </w:r>
      <w:r>
        <w:rPr>
          <w:rFonts w:ascii="Times New Roman;Times;serif" w:hAnsi="Times New Roman;Times;serif"/>
          <w:b w:val="false"/>
          <w:i w:val="false"/>
          <w:caps w:val="false"/>
          <w:smallCaps w:val="false"/>
          <w:color w:val="000000"/>
          <w:spacing w:val="0"/>
          <w:sz w:val="20"/>
        </w:rPr>
        <w:t>Americas, Mainland China,  Southeast Asia/Pacific, South Korea, Japan, EMEA, and Hong Kong/Taiwan</w:t>
      </w:r>
      <w:r>
        <w:rPr>
          <w:rFonts w:ascii="Times New Roman;Times;serif" w:hAnsi="Times New Roman;Times;serif"/>
          <w:color w:val="000000"/>
          <w:sz w:val="20"/>
        </w:rPr>
        <w:t xml:space="preserve">—and two Rhyz Investments segments—Manufacturing and Rhyz other. The Nu Skin other category includes miscellaneous corporate revenue and related adjustments. The Rhyz other segment includes other investments by our Rhyz strategic investment arm. These segments reflect the way the chief operating decision maker evaluates the </w:t>
      </w:r>
      <w:r>
        <w:rPr>
          <w:rFonts w:ascii="Times New Roman;Times;serif" w:hAnsi="Times New Roman;Times;serif"/>
          <w:b w:val="false"/>
          <w:i w:val="false"/>
          <w:caps w:val="false"/>
          <w:smallCaps w:val="false"/>
          <w:color w:val="000000"/>
          <w:spacing w:val="0"/>
          <w:sz w:val="20"/>
        </w:rPr>
        <w:t>Company’s</w:t>
      </w:r>
      <w:r>
        <w:rPr>
          <w:rFonts w:ascii="Times New Roman;Times;serif" w:hAnsi="Times New Roman;Times;serif"/>
          <w:color w:val="000000"/>
          <w:sz w:val="20"/>
        </w:rPr>
        <w:t xml:space="preserve"> business performance and allocates resources. Reported revenue includes only the revenue generated by sales to external customers.</w:t>
      </w:r>
    </w:p>
    <w:p>
      <w:pPr>
        <w:pStyle w:val="TextBody"/>
        <w:spacing w:before="0" w:after="0"/>
        <w:jc w:val="left"/>
        <w:rPr/>
      </w:pPr>
      <w:r>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pStyle w:val="TextBody"/>
        <w:spacing w:before="0" w:after="0"/>
        <w:jc w:val="left"/>
        <w:rPr/>
      </w:pPr>
      <w:r>
        <w:rPr/>
      </w:r>
    </w:p>
    <w:p>
      <w:pPr>
        <w:pStyle w:val="TextBody"/>
        <w:spacing w:before="0" w:after="0"/>
        <w:jc w:val="both"/>
        <w:rPr/>
      </w:pPr>
      <w:r>
        <w:rPr/>
      </w:r>
    </w:p>
    <w:p>
      <w:pPr>
        <w:pStyle w:val="TextBody"/>
        <w:widowControl/>
        <w:spacing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In the first quarter of 2023, the Company adjusted how it allocates certain corporate overhead costs to the segments. The prior-year segment information has been recast to comply with current presentation. Consolidated financial information is not affected.</w:t>
      </w:r>
    </w:p>
    <w:p>
      <w:pPr>
        <w:pStyle w:val="TextBody"/>
        <w:spacing w:before="0" w:after="0"/>
        <w:jc w:val="left"/>
        <w:rPr/>
      </w:pPr>
      <w:r>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The accounting policies of the segments are the same as those described in Note 2 – Summary of Significant Accounting Policies. The Company evaluates the performance of its segments based on revenue and segment contribution. Each segment records direct expenses related to its employees and its operations.</w:t>
      </w:r>
    </w:p>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pStyle w:val="TextBody"/>
        <w:spacing w:before="0" w:after="0"/>
        <w:jc w:val="left"/>
        <w:rPr/>
      </w:pPr>
      <w:r>
        <w:rPr/>
      </w:r>
    </w:p>
    <w:p>
      <w:pPr>
        <w:pStyle w:val="TextBody"/>
        <w:spacing w:before="0" w:after="0"/>
        <w:jc w:val="left"/>
        <w:rPr>
          <w:rFonts w:ascii="Times New Roman;Times;serif" w:hAnsi="Times New Roman;Times;serif"/>
          <w:i/>
          <w:color w:val="000000"/>
          <w:sz w:val="20"/>
        </w:rPr>
      </w:pPr>
      <w:r>
        <w:rPr>
          <w:rFonts w:ascii="Times New Roman;Times;serif" w:hAnsi="Times New Roman;Times;serif"/>
          <w:i/>
          <w:color w:val="000000"/>
          <w:sz w:val="20"/>
        </w:rPr>
        <w:t>Revenue by Segment</w:t>
      </w:r>
    </w:p>
    <w:p>
      <w:pPr>
        <w:pStyle w:val="TextBody"/>
        <w:spacing w:before="0" w:after="0"/>
        <w:jc w:val="left"/>
        <w:rPr/>
      </w:pPr>
      <w:r>
        <w:rPr/>
      </w:r>
    </w:p>
    <w:tbl>
      <w:tblPr>
        <w:tblW w:w="4185" w:type="dxa"/>
        <w:jc w:val="left"/>
        <w:tblInd w:w="0" w:type="dxa"/>
        <w:tblCellMar>
          <w:top w:w="0" w:type="dxa"/>
          <w:left w:w="0" w:type="dxa"/>
          <w:bottom w:w="0" w:type="dxa"/>
          <w:right w:w="0" w:type="dxa"/>
        </w:tblCellMar>
      </w:tblPr>
      <w:tblGrid>
        <w:gridCol w:w="2165"/>
        <w:gridCol w:w="60"/>
        <w:gridCol w:w="125"/>
        <w:gridCol w:w="695"/>
        <w:gridCol w:w="80"/>
        <w:gridCol w:w="60"/>
        <w:gridCol w:w="125"/>
        <w:gridCol w:w="800"/>
        <w:gridCol w:w="75"/>
      </w:tblGrid>
      <w:tr>
        <w:trPr/>
        <w:tc>
          <w:tcPr>
            <w:tcW w:w="21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8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75" w:type="dxa"/>
            <w:tcBorders/>
            <w:shd w:fill="auto"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(U.S. dollars in thousands)</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75" w:type="dxa"/>
            <w:tcBorders/>
            <w:shd w:fill="auto"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Nu Skin</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Americas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101,157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123,580</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widowControl/>
              <w:spacing w:before="0" w:after="283"/>
              <w:ind w:left="0" w:right="0" w:hanging="135"/>
              <w:jc w:val="left"/>
              <w:rPr/>
            </w:pPr>
            <w:r>
              <w:rPr/>
              <w:t xml:space="preserve">       </w:t>
            </w:r>
            <w:r>
              <w:rPr>
                <w:rFonts w:ascii="Times New Roman;Times;serif" w:hAnsi="Times New Roman;Times;serif"/>
                <w:b w:val="false"/>
                <w:i w:val="false"/>
                <w:caps w:val="false"/>
                <w:smallCaps w:val="false"/>
                <w:color w:val="000000"/>
                <w:spacing w:val="0"/>
                <w:sz w:val="20"/>
              </w:rPr>
              <w:t>South Korea</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70,324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72,133</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widowControl/>
              <w:spacing w:before="0" w:after="283"/>
              <w:ind w:left="0" w:right="0" w:hanging="135"/>
              <w:jc w:val="left"/>
              <w:rPr/>
            </w:pPr>
            <w:r>
              <w:rPr/>
              <w:t xml:space="preserve">       </w:t>
            </w:r>
            <w:r>
              <w:rPr>
                <w:rFonts w:ascii="Times New Roman;Times;serif" w:hAnsi="Times New Roman;Times;serif"/>
                <w:b w:val="false"/>
                <w:i w:val="false"/>
                <w:caps w:val="false"/>
                <w:smallCaps w:val="false"/>
                <w:color w:val="000000"/>
                <w:spacing w:val="0"/>
                <w:sz w:val="20"/>
              </w:rPr>
              <w:t>Mainland China</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67,976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124,495</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Southeast Asia/Pacific</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67,810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90,236</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Japan</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52,606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61,791</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EMEA</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47,444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52,968</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Hong Kong/Taiwan</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34,548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38,494</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540" w:right="0" w:hanging="18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(115</w:t>
            </w:r>
          </w:p>
        </w:tc>
        <w:tc>
          <w:tcPr>
            <w:tcW w:w="8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620</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Total Nu Skin</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441,750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564,317</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Rhyz Investments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36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Manufacturing </w:t>
            </w:r>
            <w:r>
              <w:rPr>
                <w:rFonts w:ascii="Times New Roman;Times;serif" w:hAnsi="Times New Roman;Times;serif"/>
                <w:i w:val="false"/>
                <w:caps w:val="false"/>
                <w:smallCaps w:val="false"/>
                <w:color w:val="000000"/>
                <w:position w:val="7"/>
                <w:sz w:val="16"/>
                <w:sz w:val="20"/>
              </w:rPr>
              <w:t>(1)</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35,767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40,341</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36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Rhyz other</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3,945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241</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Total Rhyz Investments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pPr>
            <w:r>
              <w:rPr/>
              <w:t>39,712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283"/>
              <w:jc w:val="right"/>
              <w:rPr/>
            </w:pPr>
            <w:r>
              <w:rPr/>
              <w:t>40,582</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481,462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604,899</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283"/>
              <w:rPr>
                <w:rFonts w:ascii="Times New Roman;Times;serif" w:hAnsi="Times New Roman;Times;serif"/>
                <w:color w:val="000000"/>
                <w:sz w:val="20"/>
              </w:rPr>
            </w:pPr>
            <w:r>
              <w:rPr>
                <w:rFonts w:ascii="Times New Roman;Times;serif" w:hAnsi="Times New Roman;Times;serif"/>
                <w:color w:val="000000"/>
                <w:sz w:val="20"/>
              </w:rPr>
              <w:t>(1)</w:t>
            </w:r>
          </w:p>
        </w:tc>
        <w:tc>
          <w:tcPr>
            <w:tcW w:w="9984" w:type="dxa"/>
            <w:tcBorders/>
            <w:shd w:fill="auto" w:val="clear"/>
            <w:vAlign w:val="center"/>
          </w:tcPr>
          <w:p>
            <w:pPr>
              <w:pStyle w:val="TableContents"/>
              <w:widowControl/>
              <w:spacing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The Rhyz Investments Manufacturing segment had $11.8 million and $14.6 million of intersegment revenue for the three-month period ended March 31, 2023 and 2022, respectively.  Intersegment revenue is eliminated in the consolidated financial statements, as well as the reported segment revenue in the table above.</w:t>
            </w:r>
          </w:p>
        </w:tc>
      </w:tr>
    </w:tbl>
    <w:p>
      <w:pPr>
        <w:pStyle w:val="TextBody"/>
        <w:spacing w:before="0" w:after="0"/>
        <w:jc w:val="left"/>
        <w:rPr/>
      </w:pPr>
      <w:r>
        <w:rPr/>
      </w:r>
    </w:p>
    <w:p>
      <w:pPr>
        <w:pStyle w:val="TextBody"/>
        <w:spacing w:before="0" w:after="0"/>
        <w:jc w:val="left"/>
        <w:rPr>
          <w:rFonts w:ascii="Times New Roman;Times;serif" w:hAnsi="Times New Roman;Times;serif"/>
          <w:i/>
          <w:color w:val="000000"/>
          <w:sz w:val="20"/>
        </w:rPr>
      </w:pPr>
      <w:r>
        <w:rPr>
          <w:rFonts w:ascii="Times New Roman;Times;serif" w:hAnsi="Times New Roman;Times;serif"/>
          <w:i/>
          <w:color w:val="000000"/>
          <w:sz w:val="20"/>
        </w:rPr>
        <w:t>Segment Contribution</w:t>
      </w:r>
    </w:p>
    <w:p>
      <w:pPr>
        <w:pStyle w:val="TextBody"/>
        <w:spacing w:before="0" w:after="0"/>
        <w:jc w:val="left"/>
        <w:rPr/>
      </w:pPr>
      <w:r>
        <w:rPr/>
      </w:r>
    </w:p>
    <w:tbl>
      <w:tblPr>
        <w:tblW w:w="5336" w:type="dxa"/>
        <w:jc w:val="left"/>
        <w:tblInd w:w="0" w:type="dxa"/>
        <w:tblCellMar>
          <w:top w:w="0" w:type="dxa"/>
          <w:left w:w="0" w:type="dxa"/>
          <w:bottom w:w="0" w:type="dxa"/>
          <w:right w:w="0" w:type="dxa"/>
        </w:tblCellMar>
      </w:tblPr>
      <w:tblGrid>
        <w:gridCol w:w="3395"/>
        <w:gridCol w:w="60"/>
        <w:gridCol w:w="128"/>
        <w:gridCol w:w="670"/>
        <w:gridCol w:w="82"/>
        <w:gridCol w:w="61"/>
        <w:gridCol w:w="128"/>
        <w:gridCol w:w="717"/>
        <w:gridCol w:w="95"/>
      </w:tblGrid>
      <w:tr>
        <w:trPr/>
        <w:tc>
          <w:tcPr>
            <w:tcW w:w="33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86"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95" w:type="dxa"/>
            <w:tcBorders/>
            <w:shd w:fill="auto" w:val="clear"/>
            <w:vAlign w:val="bottom"/>
          </w:tcPr>
          <w:p>
            <w:pPr>
              <w:pStyle w:val="TableContents"/>
              <w:spacing w:before="0" w:after="283"/>
              <w:jc w:val="left"/>
              <w:rPr/>
            </w:pPr>
            <w:r>
              <w:rPr/>
              <w:t> </w:t>
            </w:r>
          </w:p>
        </w:tc>
      </w:tr>
      <w:tr>
        <w:trPr/>
        <w:tc>
          <w:tcPr>
            <w:tcW w:w="3395" w:type="dxa"/>
            <w:tcBorders/>
            <w:shd w:fill="auto" w:val="clear"/>
            <w:vAlign w:val="bottom"/>
          </w:tcPr>
          <w:p>
            <w:pPr>
              <w:pStyle w:val="TableContents"/>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(U.S. dollars in thousands)</w:t>
            </w:r>
          </w:p>
        </w:tc>
        <w:tc>
          <w:tcPr>
            <w:tcW w:w="60" w:type="dxa"/>
            <w:tcBorders/>
            <w:shd w:fill="auto" w:val="clear"/>
            <w:vAlign w:val="bottom"/>
          </w:tcPr>
          <w:p>
            <w:pPr>
              <w:pStyle w:val="TableContents"/>
              <w:spacing w:before="0" w:after="283"/>
              <w:rPr/>
            </w:pPr>
            <w:r>
              <w:rPr/>
              <w:t> </w:t>
            </w:r>
          </w:p>
        </w:tc>
        <w:tc>
          <w:tcPr>
            <w:tcW w:w="798"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2023</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84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2022</w:t>
            </w:r>
          </w:p>
        </w:tc>
        <w:tc>
          <w:tcPr>
            <w:tcW w:w="95" w:type="dxa"/>
            <w:tcBorders/>
            <w:shd w:fill="auto" w:val="clear"/>
            <w:vAlign w:val="bottom"/>
          </w:tcPr>
          <w:p>
            <w:pPr>
              <w:pStyle w:val="TableContents"/>
              <w:spacing w:before="0" w:after="283"/>
              <w:jc w:val="left"/>
              <w:rPr/>
            </w:pPr>
            <w:r>
              <w:rPr/>
              <w:t> </w:t>
            </w:r>
          </w:p>
        </w:tc>
      </w:tr>
      <w:tr>
        <w:trPr/>
        <w:tc>
          <w:tcPr>
            <w:tcW w:w="3395" w:type="dxa"/>
            <w:tcBorders/>
            <w:shd w:fill="auto" w:val="clear"/>
            <w:vAlign w:val="bottom"/>
          </w:tcPr>
          <w:p>
            <w:pPr>
              <w:pStyle w:val="TableContents"/>
              <w:spacing w:before="0" w:after="0"/>
              <w:ind w:left="144" w:right="0" w:hanging="144"/>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Nu Skin</w:t>
            </w:r>
          </w:p>
        </w:tc>
        <w:tc>
          <w:tcPr>
            <w:tcW w:w="6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798" w:type="dxa"/>
            <w:gridSpan w:val="2"/>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82"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1"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845" w:type="dxa"/>
            <w:gridSpan w:val="2"/>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9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3395" w:type="dxa"/>
            <w:tcBorders/>
            <w:shd w:fill="CCEEFF" w:val="clear"/>
            <w:vAlign w:val="bottom"/>
          </w:tcPr>
          <w:p>
            <w:pPr>
              <w:pStyle w:val="TableContents"/>
              <w:spacing w:before="0" w:after="0"/>
              <w:ind w:left="540" w:right="0" w:hanging="18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Americas</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70" w:type="dxa"/>
            <w:tcBorders/>
            <w:shd w:fill="CCEEFF" w:val="cle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16,250</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717" w:type="dxa"/>
            <w:tcBorders/>
            <w:shd w:fill="CCEEFF" w:val="cle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21,951</w:t>
            </w:r>
          </w:p>
        </w:tc>
        <w:tc>
          <w:tcPr>
            <w:tcW w:w="95" w:type="dxa"/>
            <w:tcBorders/>
            <w:shd w:fill="CCEEFF" w:val="clear"/>
            <w:vAlign w:val="bottom"/>
          </w:tcPr>
          <w:p>
            <w:pPr>
              <w:pStyle w:val="TableContents"/>
              <w:spacing w:before="0" w:after="283"/>
              <w:jc w:val="left"/>
              <w:rPr/>
            </w:pPr>
            <w:r>
              <w:rPr/>
              <w:t> </w:t>
            </w:r>
          </w:p>
        </w:tc>
      </w:tr>
      <w:tr>
        <w:trPr/>
        <w:tc>
          <w:tcPr>
            <w:tcW w:w="3395" w:type="dxa"/>
            <w:tcBorders/>
            <w:shd w:fill="auto" w:val="clear"/>
            <w:vAlign w:val="bottom"/>
          </w:tcPr>
          <w:p>
            <w:pPr>
              <w:pStyle w:val="TableContents"/>
              <w:widowControl/>
              <w:spacing w:before="0" w:after="283"/>
              <w:ind w:left="0" w:right="0" w:hanging="135"/>
              <w:jc w:val="left"/>
              <w:rPr/>
            </w:pPr>
            <w:r>
              <w:rPr/>
              <w:t> </w:t>
            </w:r>
            <w:r>
              <w:rPr>
                <w:caps w:val="false"/>
                <w:smallCaps w:val="false"/>
                <w:color w:val="000000"/>
                <w:spacing w:val="0"/>
              </w:rPr>
              <w:t xml:space="preserve">      </w:t>
            </w:r>
            <w:r>
              <w:rPr>
                <w:rFonts w:ascii="Times New Roman;Times;serif" w:hAnsi="Times New Roman;Times;serif"/>
                <w:b w:val="false"/>
                <w:i w:val="false"/>
                <w:caps w:val="false"/>
                <w:smallCaps w:val="false"/>
                <w:color w:val="000000"/>
                <w:spacing w:val="0"/>
                <w:sz w:val="20"/>
              </w:rPr>
              <w:t>South Korea</w:t>
            </w:r>
          </w:p>
        </w:tc>
        <w:tc>
          <w:tcPr>
            <w:tcW w:w="60"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28"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70" w:type="dxa"/>
            <w:tcBorders/>
            <w:shd w:fill="auto" w:val="clear"/>
            <w:vAlign w:val="bottom"/>
          </w:tcPr>
          <w:p>
            <w:pPr>
              <w:pStyle w:val="TableContents"/>
              <w:spacing w:before="0" w:after="283"/>
              <w:jc w:val="right"/>
              <w:rPr>
                <w:b w:val="false"/>
                <w:i w:val="false"/>
                <w:caps w:val="false"/>
                <w:smallCaps w:val="false"/>
                <w:color w:val="000000"/>
                <w:sz w:val="20"/>
              </w:rPr>
            </w:pPr>
            <w:r>
              <w:rPr>
                <w:b w:val="false"/>
                <w:i w:val="false"/>
                <w:caps w:val="false"/>
                <w:smallCaps w:val="false"/>
                <w:color w:val="000000"/>
                <w:sz w:val="20"/>
              </w:rPr>
              <w:t>23,575</w:t>
            </w:r>
          </w:p>
        </w:tc>
        <w:tc>
          <w:tcPr>
            <w:tcW w:w="82"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1"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28"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717" w:type="dxa"/>
            <w:tcBorders/>
            <w:shd w:fill="auto" w:val="clear"/>
            <w:vAlign w:val="bottom"/>
          </w:tcPr>
          <w:p>
            <w:pPr>
              <w:pStyle w:val="TableContents"/>
              <w:spacing w:before="0" w:after="283"/>
              <w:jc w:val="right"/>
              <w:rPr>
                <w:b w:val="false"/>
                <w:i w:val="false"/>
                <w:caps w:val="false"/>
                <w:smallCaps w:val="false"/>
                <w:color w:val="000000"/>
                <w:sz w:val="20"/>
              </w:rPr>
            </w:pPr>
            <w:r>
              <w:rPr>
                <w:b w:val="false"/>
                <w:i w:val="false"/>
                <w:caps w:val="false"/>
                <w:smallCaps w:val="false"/>
                <w:color w:val="000000"/>
                <w:sz w:val="20"/>
              </w:rPr>
              <w:t>21,998</w:t>
            </w:r>
          </w:p>
        </w:tc>
        <w:tc>
          <w:tcPr>
            <w:tcW w:w="9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3395" w:type="dxa"/>
            <w:tcBorders/>
            <w:shd w:fill="CCEEFF" w:val="clear"/>
            <w:vAlign w:val="bottom"/>
          </w:tcPr>
          <w:p>
            <w:pPr>
              <w:pStyle w:val="TableContents"/>
              <w:spacing w:before="0" w:after="283"/>
              <w:ind w:left="0" w:right="0" w:hanging="135"/>
              <w:jc w:val="left"/>
              <w:rPr>
                <w:caps w:val="false"/>
                <w:smallCaps w:val="false"/>
                <w:color w:val="000000"/>
              </w:rPr>
            </w:pPr>
            <w:r>
              <w:rPr>
                <w:caps w:val="false"/>
                <w:smallCaps w:val="false"/>
                <w:color w:val="000000"/>
              </w:rPr>
              <w:t> </w:t>
            </w:r>
            <w:r>
              <w:rPr>
                <w:caps w:val="false"/>
                <w:smallCaps w:val="false"/>
                <w:color w:val="000000"/>
                <w:spacing w:val="0"/>
              </w:rPr>
              <w:t xml:space="preserve">      </w:t>
            </w:r>
            <w:r>
              <w:rPr>
                <w:rFonts w:ascii="Times New Roman;Times;serif" w:hAnsi="Times New Roman;Times;serif"/>
                <w:b w:val="false"/>
                <w:i w:val="false"/>
                <w:caps w:val="false"/>
                <w:smallCaps w:val="false"/>
                <w:color w:val="000000"/>
                <w:spacing w:val="0"/>
                <w:sz w:val="20"/>
              </w:rPr>
              <w:t>Mainland China</w:t>
            </w:r>
          </w:p>
        </w:tc>
        <w:tc>
          <w:tcPr>
            <w:tcW w:w="60" w:type="dxa"/>
            <w:tcBorders/>
            <w:shd w:fill="CCEEFF"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28"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70" w:type="dxa"/>
            <w:tcBorders/>
            <w:shd w:fill="CCEEFF" w:val="clear"/>
            <w:vAlign w:val="bottom"/>
          </w:tcPr>
          <w:p>
            <w:pPr>
              <w:pStyle w:val="TableContents"/>
              <w:spacing w:before="0" w:after="283"/>
              <w:jc w:val="right"/>
              <w:rPr>
                <w:b w:val="false"/>
                <w:i w:val="false"/>
                <w:caps w:val="false"/>
                <w:smallCaps w:val="false"/>
                <w:color w:val="000000"/>
                <w:sz w:val="20"/>
              </w:rPr>
            </w:pPr>
            <w:r>
              <w:rPr>
                <w:b w:val="false"/>
                <w:i w:val="false"/>
                <w:caps w:val="false"/>
                <w:smallCaps w:val="false"/>
                <w:color w:val="000000"/>
                <w:sz w:val="20"/>
              </w:rPr>
              <w:t>13,612</w:t>
            </w:r>
          </w:p>
        </w:tc>
        <w:tc>
          <w:tcPr>
            <w:tcW w:w="82"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1" w:type="dxa"/>
            <w:tcBorders/>
            <w:shd w:fill="CCEEFF"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28"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717" w:type="dxa"/>
            <w:tcBorders/>
            <w:shd w:fill="CCEEFF" w:val="clear"/>
            <w:vAlign w:val="bottom"/>
          </w:tcPr>
          <w:p>
            <w:pPr>
              <w:pStyle w:val="TableContents"/>
              <w:spacing w:before="0" w:after="283"/>
              <w:jc w:val="right"/>
              <w:rPr>
                <w:b w:val="false"/>
                <w:i w:val="false"/>
                <w:caps w:val="false"/>
                <w:smallCaps w:val="false"/>
                <w:color w:val="000000"/>
                <w:sz w:val="20"/>
              </w:rPr>
            </w:pPr>
            <w:r>
              <w:rPr>
                <w:b w:val="false"/>
                <w:i w:val="false"/>
                <w:caps w:val="false"/>
                <w:smallCaps w:val="false"/>
                <w:color w:val="000000"/>
                <w:sz w:val="20"/>
              </w:rPr>
              <w:t>28,995</w:t>
            </w:r>
          </w:p>
        </w:tc>
        <w:tc>
          <w:tcPr>
            <w:tcW w:w="95"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3395" w:type="dxa"/>
            <w:tcBorders/>
            <w:shd w:fill="auto" w:val="clear"/>
            <w:vAlign w:val="bottom"/>
          </w:tcPr>
          <w:p>
            <w:pPr>
              <w:pStyle w:val="TableContents"/>
              <w:spacing w:before="0" w:after="0"/>
              <w:ind w:left="50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Southeast Asia/Pacific</w:t>
            </w:r>
          </w:p>
        </w:tc>
        <w:tc>
          <w:tcPr>
            <w:tcW w:w="60"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28"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70" w:type="dxa"/>
            <w:tcBorders/>
            <w:shd w:fill="auto" w:val="clear"/>
            <w:vAlign w:val="bottom"/>
          </w:tcPr>
          <w:p>
            <w:pPr>
              <w:pStyle w:val="TableContents"/>
              <w:spacing w:before="0" w:after="283"/>
              <w:jc w:val="right"/>
              <w:rPr>
                <w:b w:val="false"/>
                <w:i w:val="false"/>
                <w:caps w:val="false"/>
                <w:smallCaps w:val="false"/>
                <w:color w:val="000000"/>
                <w:sz w:val="20"/>
              </w:rPr>
            </w:pPr>
            <w:r>
              <w:rPr>
                <w:b w:val="false"/>
                <w:i w:val="false"/>
                <w:caps w:val="false"/>
                <w:smallCaps w:val="false"/>
                <w:color w:val="000000"/>
                <w:sz w:val="20"/>
              </w:rPr>
              <w:t>12,471</w:t>
            </w:r>
          </w:p>
        </w:tc>
        <w:tc>
          <w:tcPr>
            <w:tcW w:w="82"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1"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28"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717" w:type="dxa"/>
            <w:tcBorders/>
            <w:shd w:fill="auto" w:val="clear"/>
            <w:vAlign w:val="bottom"/>
          </w:tcPr>
          <w:p>
            <w:pPr>
              <w:pStyle w:val="TableContents"/>
              <w:spacing w:before="0" w:after="283"/>
              <w:jc w:val="right"/>
              <w:rPr>
                <w:b w:val="false"/>
                <w:i w:val="false"/>
                <w:caps w:val="false"/>
                <w:smallCaps w:val="false"/>
                <w:color w:val="000000"/>
                <w:sz w:val="20"/>
              </w:rPr>
            </w:pPr>
            <w:r>
              <w:rPr>
                <w:b w:val="false"/>
                <w:i w:val="false"/>
                <w:caps w:val="false"/>
                <w:smallCaps w:val="false"/>
                <w:color w:val="000000"/>
                <w:sz w:val="20"/>
              </w:rPr>
              <w:t>20,996</w:t>
            </w:r>
          </w:p>
        </w:tc>
        <w:tc>
          <w:tcPr>
            <w:tcW w:w="9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3395" w:type="dxa"/>
            <w:tcBorders/>
            <w:shd w:fill="CCEEFF" w:val="clear"/>
            <w:vAlign w:val="bottom"/>
          </w:tcPr>
          <w:p>
            <w:pPr>
              <w:pStyle w:val="TableContents"/>
              <w:spacing w:before="0" w:after="0"/>
              <w:ind w:left="540" w:right="0" w:hanging="18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Japan</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70" w:type="dxa"/>
            <w:tcBorders/>
            <w:shd w:fill="CCEEFF" w:val="cle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12,908</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7" w:type="dxa"/>
            <w:tcBorders/>
            <w:shd w:fill="CCEEFF" w:val="cle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14,420</w:t>
            </w:r>
          </w:p>
        </w:tc>
        <w:tc>
          <w:tcPr>
            <w:tcW w:w="95" w:type="dxa"/>
            <w:tcBorders/>
            <w:shd w:fill="CCEEFF" w:val="clear"/>
            <w:vAlign w:val="bottom"/>
          </w:tcPr>
          <w:p>
            <w:pPr>
              <w:pStyle w:val="TableContents"/>
              <w:spacing w:before="0" w:after="283"/>
              <w:jc w:val="left"/>
              <w:rPr/>
            </w:pPr>
            <w:r>
              <w:rPr/>
              <w:t> </w:t>
            </w:r>
          </w:p>
        </w:tc>
      </w:tr>
      <w:tr>
        <w:trPr/>
        <w:tc>
          <w:tcPr>
            <w:tcW w:w="3395" w:type="dxa"/>
            <w:tcBorders/>
            <w:shd w:fill="auto" w:val="clear"/>
            <w:vAlign w:val="bottom"/>
          </w:tcPr>
          <w:p>
            <w:pPr>
              <w:pStyle w:val="TableContents"/>
              <w:spacing w:before="0" w:after="0"/>
              <w:ind w:left="360" w:right="0" w:hanging="0"/>
              <w:rPr>
                <w:b w:val="false"/>
                <w:i w:val="false"/>
                <w:caps w:val="false"/>
                <w:smallCaps w:val="false"/>
                <w:color w:val="000000"/>
                <w:sz w:val="20"/>
              </w:rPr>
            </w:pPr>
            <w:r>
              <w:rPr>
                <w:b w:val="false"/>
                <w:i w:val="false"/>
                <w:caps w:val="false"/>
                <w:smallCaps w:val="false"/>
                <w:color w:val="000000"/>
                <w:sz w:val="20"/>
              </w:rPr>
              <w:t>EMEA</w:t>
            </w:r>
          </w:p>
        </w:tc>
        <w:tc>
          <w:tcPr>
            <w:tcW w:w="60"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28"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70" w:type="dxa"/>
            <w:tcBorders/>
            <w:shd w:fill="auto" w:val="clear"/>
            <w:vAlign w:val="bottom"/>
          </w:tcPr>
          <w:p>
            <w:pPr>
              <w:pStyle w:val="TableContents"/>
              <w:spacing w:before="0" w:after="283"/>
              <w:jc w:val="right"/>
              <w:rPr>
                <w:b w:val="false"/>
                <w:i w:val="false"/>
                <w:caps w:val="false"/>
                <w:smallCaps w:val="false"/>
                <w:color w:val="000000"/>
                <w:sz w:val="20"/>
              </w:rPr>
            </w:pPr>
            <w:r>
              <w:rPr>
                <w:b w:val="false"/>
                <w:i w:val="false"/>
                <w:caps w:val="false"/>
                <w:smallCaps w:val="false"/>
                <w:color w:val="000000"/>
                <w:sz w:val="20"/>
              </w:rPr>
              <w:t>3,638</w:t>
            </w:r>
          </w:p>
        </w:tc>
        <w:tc>
          <w:tcPr>
            <w:tcW w:w="82"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1"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28"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717" w:type="dxa"/>
            <w:tcBorders/>
            <w:shd w:fill="auto" w:val="clear"/>
            <w:vAlign w:val="bottom"/>
          </w:tcPr>
          <w:p>
            <w:pPr>
              <w:pStyle w:val="TableContents"/>
              <w:spacing w:before="0" w:after="283"/>
              <w:jc w:val="right"/>
              <w:rPr>
                <w:b w:val="false"/>
                <w:i w:val="false"/>
                <w:caps w:val="false"/>
                <w:smallCaps w:val="false"/>
                <w:color w:val="000000"/>
                <w:sz w:val="20"/>
              </w:rPr>
            </w:pPr>
            <w:r>
              <w:rPr>
                <w:b w:val="false"/>
                <w:i w:val="false"/>
                <w:caps w:val="false"/>
                <w:smallCaps w:val="false"/>
                <w:color w:val="000000"/>
                <w:sz w:val="20"/>
              </w:rPr>
              <w:t>2,622</w:t>
            </w:r>
          </w:p>
        </w:tc>
        <w:tc>
          <w:tcPr>
            <w:tcW w:w="9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3395" w:type="dxa"/>
            <w:tcBorders/>
            <w:shd w:fill="CCEEFF" w:val="clear"/>
            <w:vAlign w:val="bottom"/>
          </w:tcPr>
          <w:p>
            <w:pPr>
              <w:pStyle w:val="TableContents"/>
              <w:spacing w:before="0" w:after="0"/>
              <w:ind w:left="540" w:right="0" w:hanging="18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Hong Kong/Taiwan</w:t>
            </w:r>
          </w:p>
        </w:tc>
        <w:tc>
          <w:tcPr>
            <w:tcW w:w="60"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70"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7,834</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8,086</w:t>
            </w:r>
          </w:p>
        </w:tc>
        <w:tc>
          <w:tcPr>
            <w:tcW w:w="95" w:type="dxa"/>
            <w:tcBorders/>
            <w:shd w:fill="CCEEFF" w:val="clear"/>
            <w:vAlign w:val="bottom"/>
          </w:tcPr>
          <w:p>
            <w:pPr>
              <w:pStyle w:val="TableContents"/>
              <w:spacing w:before="0" w:after="283"/>
              <w:jc w:val="left"/>
              <w:rPr/>
            </w:pPr>
            <w:r>
              <w:rPr/>
              <w:t> </w:t>
            </w:r>
          </w:p>
        </w:tc>
      </w:tr>
      <w:tr>
        <w:trPr/>
        <w:tc>
          <w:tcPr>
            <w:tcW w:w="3395" w:type="dxa"/>
            <w:tcBorders/>
            <w:shd w:fill="auto" w:val="clear"/>
            <w:vAlign w:val="bottom"/>
          </w:tcPr>
          <w:p>
            <w:pPr>
              <w:pStyle w:val="TableContents"/>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z w:val="20"/>
              </w:rPr>
              <w:t>Nu Skin</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caps w:val="false"/>
                <w:smallCaps w:val="false"/>
                <w:color w:val="000000"/>
                <w:sz w:val="20"/>
              </w:rPr>
              <w:t>contribution</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70" w:type="dxa"/>
            <w:tcBorders/>
            <w:shd w:fill="auto" w:val="cle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90,288</w:t>
            </w:r>
          </w:p>
        </w:tc>
        <w:tc>
          <w:tcPr>
            <w:tcW w:w="82"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7" w:type="dxa"/>
            <w:tcBorders/>
            <w:shd w:fill="auto" w:val="cle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119,068</w:t>
            </w:r>
          </w:p>
        </w:tc>
        <w:tc>
          <w:tcPr>
            <w:tcW w:w="95" w:type="dxa"/>
            <w:tcBorders/>
            <w:shd w:fill="auto" w:val="clear"/>
            <w:vAlign w:val="bottom"/>
          </w:tcPr>
          <w:p>
            <w:pPr>
              <w:pStyle w:val="TableContents"/>
              <w:spacing w:before="0" w:after="283"/>
              <w:jc w:val="left"/>
              <w:rPr/>
            </w:pPr>
            <w:r>
              <w:rPr/>
              <w:t> </w:t>
            </w:r>
          </w:p>
        </w:tc>
      </w:tr>
      <w:tr>
        <w:trPr/>
        <w:tc>
          <w:tcPr>
            <w:tcW w:w="3395" w:type="dxa"/>
            <w:tcBorders/>
            <w:shd w:fill="CCEEFF" w:val="clear"/>
            <w:vAlign w:val="bottom"/>
          </w:tcPr>
          <w:p>
            <w:pPr>
              <w:pStyle w:val="TableContents"/>
              <w:spacing w:before="0" w:after="0"/>
              <w:ind w:left="144" w:right="0" w:hanging="144"/>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Rhyz Investments</w:t>
            </w:r>
          </w:p>
        </w:tc>
        <w:tc>
          <w:tcPr>
            <w:tcW w:w="60" w:type="dxa"/>
            <w:tcBorders/>
            <w:shd w:fill="CCEEFF"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28"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70" w:type="dxa"/>
            <w:tcBorders/>
            <w:shd w:fill="CCEEFF"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82"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1" w:type="dxa"/>
            <w:tcBorders/>
            <w:shd w:fill="CCEEFF"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28"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717" w:type="dxa"/>
            <w:tcBorders/>
            <w:shd w:fill="CCEEFF"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95"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3395" w:type="dxa"/>
            <w:tcBorders/>
            <w:shd w:fill="auto" w:val="clear"/>
            <w:vAlign w:val="bottom"/>
          </w:tcPr>
          <w:p>
            <w:pPr>
              <w:pStyle w:val="TableContents"/>
              <w:spacing w:before="0" w:after="0"/>
              <w:ind w:left="50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Manufacturing</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70" w:type="dxa"/>
            <w:tcBorders/>
            <w:shd w:fill="auto" w:val="cle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(1,373</w:t>
            </w:r>
          </w:p>
        </w:tc>
        <w:tc>
          <w:tcPr>
            <w:tcW w:w="82" w:type="dxa"/>
            <w:tcBorders/>
            <w:shd w:fill="auto" w:val="clear"/>
            <w:vAlign w:val="bottom"/>
          </w:tcPr>
          <w:p>
            <w:pPr>
              <w:pStyle w:val="TableContents"/>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7" w:type="dxa"/>
            <w:tcBorders/>
            <w:shd w:fill="auto" w:val="cle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3,292</w:t>
            </w:r>
          </w:p>
        </w:tc>
        <w:tc>
          <w:tcPr>
            <w:tcW w:w="95" w:type="dxa"/>
            <w:tcBorders/>
            <w:shd w:fill="auto" w:val="clear"/>
            <w:vAlign w:val="bottom"/>
          </w:tcPr>
          <w:p>
            <w:pPr>
              <w:pStyle w:val="TableContents"/>
              <w:spacing w:before="0" w:after="283"/>
              <w:jc w:val="left"/>
              <w:rPr/>
            </w:pPr>
            <w:r>
              <w:rPr/>
              <w:t> </w:t>
            </w:r>
          </w:p>
        </w:tc>
      </w:tr>
      <w:tr>
        <w:trPr/>
        <w:tc>
          <w:tcPr>
            <w:tcW w:w="3395" w:type="dxa"/>
            <w:tcBorders/>
            <w:shd w:fill="CCEEFF" w:val="clear"/>
            <w:vAlign w:val="bottom"/>
          </w:tcPr>
          <w:p>
            <w:pPr>
              <w:pStyle w:val="TableContents"/>
              <w:spacing w:before="0" w:after="0"/>
              <w:ind w:left="50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Rhyz other</w:t>
            </w:r>
          </w:p>
        </w:tc>
        <w:tc>
          <w:tcPr>
            <w:tcW w:w="60" w:type="dxa"/>
            <w:tcBorders/>
            <w:shd w:fill="CCEEFF"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caps w:val="false"/>
                <w:smallCaps w:val="false"/>
                <w:color w:val="000000"/>
              </w:rPr>
            </w:pPr>
            <w:r>
              <w:rPr>
                <w:caps w:val="false"/>
                <w:smallCaps w:val="false"/>
                <w:color w:val="000000"/>
              </w:rPr>
              <w:t> </w:t>
            </w:r>
          </w:p>
        </w:tc>
        <w:tc>
          <w:tcPr>
            <w:tcW w:w="670" w:type="dxa"/>
            <w:tcBorders>
              <w:bottom w:val="single" w:sz="12" w:space="0" w:color="000000"/>
            </w:tcBorders>
            <w:shd w:fill="CCEEFF" w:val="clear"/>
            <w:tcMar>
              <w:bottom w:w="28" w:type="dxa"/>
            </w:tcMar>
            <w:vAlign w:val="bottom"/>
          </w:tcPr>
          <w:p>
            <w:pPr>
              <w:pStyle w:val="TableContents"/>
              <w:spacing w:before="0" w:after="283"/>
              <w:jc w:val="right"/>
              <w:rPr>
                <w:b w:val="false"/>
                <w:i w:val="false"/>
                <w:caps w:val="false"/>
                <w:smallCaps w:val="false"/>
                <w:color w:val="000000"/>
                <w:sz w:val="20"/>
              </w:rPr>
            </w:pPr>
            <w:r>
              <w:rPr>
                <w:b w:val="false"/>
                <w:i w:val="false"/>
                <w:caps w:val="false"/>
                <w:smallCaps w:val="false"/>
                <w:color w:val="000000"/>
                <w:sz w:val="20"/>
              </w:rPr>
              <w:t>(1,960</w:t>
            </w:r>
          </w:p>
        </w:tc>
        <w:tc>
          <w:tcPr>
            <w:tcW w:w="82" w:type="dxa"/>
            <w:tcBorders/>
            <w:shd w:fill="CCEEFF" w:val="clear"/>
            <w:vAlign w:val="bottom"/>
          </w:tcPr>
          <w:p>
            <w:pPr>
              <w:pStyle w:val="TableContents"/>
              <w:spacing w:before="0" w:after="283"/>
              <w:jc w:val="left"/>
              <w:rPr>
                <w:b w:val="false"/>
                <w:i w:val="false"/>
                <w:caps w:val="false"/>
                <w:smallCaps w:val="false"/>
                <w:color w:val="000000"/>
                <w:sz w:val="20"/>
              </w:rPr>
            </w:pPr>
            <w:r>
              <w:rPr>
                <w:b w:val="false"/>
                <w:i w:val="false"/>
                <w:caps w:val="false"/>
                <w:smallCaps w:val="false"/>
                <w:color w:val="000000"/>
                <w:sz w:val="20"/>
              </w:rPr>
              <w:t>)</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spacing w:before="0" w:after="283"/>
              <w:jc w:val="right"/>
              <w:rPr>
                <w:b w:val="false"/>
                <w:i w:val="false"/>
                <w:caps w:val="false"/>
                <w:smallCaps w:val="false"/>
                <w:color w:val="000000"/>
                <w:sz w:val="20"/>
              </w:rPr>
            </w:pPr>
            <w:r>
              <w:rPr>
                <w:b w:val="false"/>
                <w:i w:val="false"/>
                <w:caps w:val="false"/>
                <w:smallCaps w:val="false"/>
                <w:color w:val="000000"/>
                <w:sz w:val="20"/>
              </w:rPr>
              <w:t>(1,046</w:t>
            </w:r>
          </w:p>
        </w:tc>
        <w:tc>
          <w:tcPr>
            <w:tcW w:w="95" w:type="dxa"/>
            <w:tcBorders/>
            <w:shd w:fill="CCEEFF" w:val="clear"/>
            <w:vAlign w:val="bottom"/>
          </w:tcPr>
          <w:p>
            <w:pPr>
              <w:pStyle w:val="TableContents"/>
              <w:spacing w:before="0" w:after="283"/>
              <w:jc w:val="left"/>
              <w:rPr>
                <w:b w:val="false"/>
                <w:i w:val="false"/>
                <w:caps w:val="false"/>
                <w:smallCaps w:val="false"/>
                <w:color w:val="000000"/>
                <w:sz w:val="20"/>
              </w:rPr>
            </w:pPr>
            <w:r>
              <w:rPr>
                <w:b w:val="false"/>
                <w:i w:val="false"/>
                <w:caps w:val="false"/>
                <w:smallCaps w:val="false"/>
                <w:color w:val="000000"/>
                <w:sz w:val="20"/>
              </w:rPr>
              <w:t>)</w:t>
            </w:r>
          </w:p>
        </w:tc>
      </w:tr>
      <w:tr>
        <w:trPr/>
        <w:tc>
          <w:tcPr>
            <w:tcW w:w="3395" w:type="dxa"/>
            <w:tcBorders/>
            <w:shd w:fill="auto" w:val="clear"/>
            <w:vAlign w:val="bottom"/>
          </w:tcPr>
          <w:p>
            <w:pPr>
              <w:pStyle w:val="TableContents"/>
              <w:spacing w:before="0" w:after="0"/>
              <w:ind w:left="144" w:right="0" w:hanging="144"/>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Total Rhyz Investments</w:t>
            </w:r>
          </w:p>
        </w:tc>
        <w:tc>
          <w:tcPr>
            <w:tcW w:w="60"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caps w:val="false"/>
                <w:smallCaps w:val="false"/>
                <w:color w:val="000000"/>
              </w:rPr>
            </w:pPr>
            <w:r>
              <w:rPr>
                <w:caps w:val="false"/>
                <w:smallCaps w:val="false"/>
                <w:color w:val="000000"/>
              </w:rPr>
              <w:t> </w:t>
            </w:r>
          </w:p>
        </w:tc>
        <w:tc>
          <w:tcPr>
            <w:tcW w:w="670" w:type="dxa"/>
            <w:tcBorders>
              <w:bottom w:val="single" w:sz="12" w:space="0" w:color="000000"/>
            </w:tcBorders>
            <w:shd w:fill="auto" w:val="clear"/>
            <w:tcMar>
              <w:bottom w:w="28" w:type="dxa"/>
            </w:tcMar>
            <w:vAlign w:val="bottom"/>
          </w:tcPr>
          <w:p>
            <w:pPr>
              <w:pStyle w:val="TableContents"/>
              <w:spacing w:before="0" w:after="283"/>
              <w:jc w:val="right"/>
              <w:rPr>
                <w:b w:val="false"/>
                <w:i w:val="false"/>
                <w:caps w:val="false"/>
                <w:smallCaps w:val="false"/>
                <w:color w:val="000000"/>
                <w:sz w:val="20"/>
              </w:rPr>
            </w:pPr>
            <w:r>
              <w:rPr>
                <w:b w:val="false"/>
                <w:i w:val="false"/>
                <w:caps w:val="false"/>
                <w:smallCaps w:val="false"/>
                <w:color w:val="000000"/>
                <w:sz w:val="20"/>
              </w:rPr>
              <w:t>(3,333</w:t>
            </w:r>
          </w:p>
        </w:tc>
        <w:tc>
          <w:tcPr>
            <w:tcW w:w="82" w:type="dxa"/>
            <w:tcBorders/>
            <w:shd w:fill="auto" w:val="clear"/>
            <w:vAlign w:val="bottom"/>
          </w:tcPr>
          <w:p>
            <w:pPr>
              <w:pStyle w:val="TableContents"/>
              <w:spacing w:before="0" w:after="283"/>
              <w:jc w:val="left"/>
              <w:rPr>
                <w:b w:val="false"/>
                <w:i w:val="false"/>
                <w:caps w:val="false"/>
                <w:smallCaps w:val="false"/>
                <w:color w:val="000000"/>
                <w:sz w:val="20"/>
              </w:rPr>
            </w:pPr>
            <w:r>
              <w:rPr>
                <w:b w:val="false"/>
                <w:i w:val="false"/>
                <w:caps w:val="false"/>
                <w:smallCaps w:val="false"/>
                <w:color w:val="000000"/>
                <w:sz w:val="20"/>
              </w:rPr>
              <w:t>)</w:t>
            </w:r>
          </w:p>
        </w:tc>
        <w:tc>
          <w:tcPr>
            <w:tcW w:w="61" w:type="dxa"/>
            <w:tcBorders/>
            <w:shd w:fill="auto"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caps w:val="false"/>
                <w:smallCaps w:val="false"/>
                <w:color w:val="000000"/>
              </w:rPr>
            </w:pPr>
            <w:r>
              <w:rPr>
                <w:caps w:val="false"/>
                <w:smallCaps w:val="false"/>
                <w:color w:val="000000"/>
              </w:rPr>
              <w:t> </w:t>
            </w:r>
          </w:p>
        </w:tc>
        <w:tc>
          <w:tcPr>
            <w:tcW w:w="717" w:type="dxa"/>
            <w:tcBorders>
              <w:bottom w:val="single" w:sz="12" w:space="0" w:color="000000"/>
            </w:tcBorders>
            <w:shd w:fill="auto" w:val="clear"/>
            <w:tcMar>
              <w:bottom w:w="28" w:type="dxa"/>
            </w:tcMar>
            <w:vAlign w:val="bottom"/>
          </w:tcPr>
          <w:p>
            <w:pPr>
              <w:pStyle w:val="TableContents"/>
              <w:spacing w:before="0" w:after="283"/>
              <w:jc w:val="right"/>
              <w:rPr>
                <w:b w:val="false"/>
                <w:i w:val="false"/>
                <w:caps w:val="false"/>
                <w:smallCaps w:val="false"/>
                <w:color w:val="000000"/>
                <w:sz w:val="20"/>
              </w:rPr>
            </w:pPr>
            <w:r>
              <w:rPr>
                <w:b w:val="false"/>
                <w:i w:val="false"/>
                <w:caps w:val="false"/>
                <w:smallCaps w:val="false"/>
                <w:color w:val="000000"/>
                <w:sz w:val="20"/>
              </w:rPr>
              <w:t>2,246</w:t>
            </w:r>
          </w:p>
        </w:tc>
        <w:tc>
          <w:tcPr>
            <w:tcW w:w="9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3395" w:type="dxa"/>
            <w:tcBorders/>
            <w:shd w:fill="CCEEFF" w:val="clear"/>
            <w:vAlign w:val="bottom"/>
          </w:tcPr>
          <w:p>
            <w:pPr>
              <w:pStyle w:val="TableContents"/>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 segment contribution</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70" w:type="dxa"/>
            <w:tcBorders/>
            <w:shd w:fill="CCEEFF" w:val="cle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86,955</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7" w:type="dxa"/>
            <w:tcBorders/>
            <w:shd w:fill="CCEEFF" w:val="cle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121,314</w:t>
            </w:r>
          </w:p>
        </w:tc>
        <w:tc>
          <w:tcPr>
            <w:tcW w:w="95" w:type="dxa"/>
            <w:tcBorders/>
            <w:shd w:fill="CCEEFF" w:val="clear"/>
            <w:vAlign w:val="bottom"/>
          </w:tcPr>
          <w:p>
            <w:pPr>
              <w:pStyle w:val="TableContents"/>
              <w:spacing w:before="0" w:after="283"/>
              <w:jc w:val="left"/>
              <w:rPr/>
            </w:pPr>
            <w:r>
              <w:rPr/>
              <w:t> </w:t>
            </w:r>
          </w:p>
        </w:tc>
      </w:tr>
      <w:tr>
        <w:trPr/>
        <w:tc>
          <w:tcPr>
            <w:tcW w:w="3395" w:type="dxa"/>
            <w:tcBorders/>
            <w:shd w:fill="auto" w:val="clear"/>
            <w:vAlign w:val="bottom"/>
          </w:tcPr>
          <w:p>
            <w:pPr>
              <w:pStyle w:val="TableContents"/>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Corporate and other</w:t>
            </w:r>
          </w:p>
        </w:tc>
        <w:tc>
          <w:tcPr>
            <w:tcW w:w="60"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70"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(70,891</w:t>
            </w:r>
          </w:p>
        </w:tc>
        <w:tc>
          <w:tcPr>
            <w:tcW w:w="8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7"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(69,169</w:t>
            </w:r>
          </w:p>
        </w:tc>
        <w:tc>
          <w:tcPr>
            <w:tcW w:w="9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395" w:type="dxa"/>
            <w:tcBorders/>
            <w:shd w:fill="CCEEFF" w:val="clear"/>
            <w:vAlign w:val="bottom"/>
          </w:tcPr>
          <w:p>
            <w:pPr>
              <w:pStyle w:val="TableContents"/>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Operating income</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70" w:type="dxa"/>
            <w:tcBorders/>
            <w:shd w:fill="CCEEFF" w:val="cle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16,064</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7" w:type="dxa"/>
            <w:tcBorders/>
            <w:shd w:fill="CCEEFF" w:val="cle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52,145</w:t>
            </w:r>
          </w:p>
        </w:tc>
        <w:tc>
          <w:tcPr>
            <w:tcW w:w="95" w:type="dxa"/>
            <w:tcBorders/>
            <w:shd w:fill="CCEEFF" w:val="clear"/>
            <w:vAlign w:val="bottom"/>
          </w:tcPr>
          <w:p>
            <w:pPr>
              <w:pStyle w:val="TableContents"/>
              <w:spacing w:before="0" w:after="283"/>
              <w:jc w:val="left"/>
              <w:rPr/>
            </w:pPr>
            <w:r>
              <w:rPr/>
              <w:t> </w:t>
            </w:r>
          </w:p>
        </w:tc>
      </w:tr>
      <w:tr>
        <w:trPr/>
        <w:tc>
          <w:tcPr>
            <w:tcW w:w="3395" w:type="dxa"/>
            <w:tcBorders/>
            <w:shd w:fill="auto" w:val="clear"/>
            <w:vAlign w:val="bottom"/>
          </w:tcPr>
          <w:p>
            <w:pPr>
              <w:pStyle w:val="TableContents"/>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income (expense), net</w:t>
            </w:r>
          </w:p>
        </w:tc>
        <w:tc>
          <w:tcPr>
            <w:tcW w:w="60"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70"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(1,476</w:t>
            </w:r>
          </w:p>
        </w:tc>
        <w:tc>
          <w:tcPr>
            <w:tcW w:w="8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7"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(1,453</w:t>
            </w:r>
          </w:p>
        </w:tc>
        <w:tc>
          <w:tcPr>
            <w:tcW w:w="95" w:type="dxa"/>
            <w:tcBorders/>
            <w:shd w:fill="auto" w:val="clear"/>
            <w:vAlign w:val="bottom"/>
          </w:tcPr>
          <w:p>
            <w:pPr>
              <w:pStyle w:val="TableContents"/>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r>
      <w:tr>
        <w:trPr/>
        <w:tc>
          <w:tcPr>
            <w:tcW w:w="3395" w:type="dxa"/>
            <w:tcBorders/>
            <w:shd w:fill="CCEEFF" w:val="clear"/>
            <w:vAlign w:val="bottom"/>
          </w:tcPr>
          <w:p>
            <w:pPr>
              <w:pStyle w:val="TableContents"/>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Income before provision for income taxes</w:t>
            </w:r>
          </w:p>
        </w:tc>
        <w:tc>
          <w:tcPr>
            <w:tcW w:w="60"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670"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14,588</w:t>
            </w:r>
          </w:p>
        </w:tc>
        <w:tc>
          <w:tcPr>
            <w:tcW w:w="82"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p>
        </w:tc>
        <w:tc>
          <w:tcPr>
            <w:tcW w:w="717"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50,692</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Times;serif" w:hAnsi="Times New Roman;Times;serif"/>
          <w:i/>
          <w:color w:val="000000"/>
          <w:sz w:val="20"/>
        </w:rPr>
      </w:pPr>
      <w:r>
        <w:rPr>
          <w:rFonts w:ascii="Times New Roman;Times;serif" w:hAnsi="Times New Roman;Times;serif"/>
          <w:i/>
          <w:color w:val="000000"/>
          <w:sz w:val="20"/>
        </w:rPr>
        <w:t>Depreciation and Amortization</w:t>
      </w:r>
    </w:p>
    <w:p>
      <w:pPr>
        <w:pStyle w:val="TextBody"/>
        <w:spacing w:before="0" w:after="0"/>
        <w:jc w:val="left"/>
        <w:rPr/>
      </w:pPr>
      <w:r>
        <w:rPr/>
      </w:r>
    </w:p>
    <w:tbl>
      <w:tblPr>
        <w:tblW w:w="4088" w:type="dxa"/>
        <w:jc w:val="left"/>
        <w:tblInd w:w="0" w:type="dxa"/>
        <w:tblCellMar>
          <w:top w:w="0" w:type="dxa"/>
          <w:left w:w="0" w:type="dxa"/>
          <w:bottom w:w="0" w:type="dxa"/>
          <w:right w:w="0" w:type="dxa"/>
        </w:tblCellMar>
      </w:tblPr>
      <w:tblGrid>
        <w:gridCol w:w="2165"/>
        <w:gridCol w:w="60"/>
        <w:gridCol w:w="144"/>
        <w:gridCol w:w="681"/>
        <w:gridCol w:w="69"/>
        <w:gridCol w:w="69"/>
        <w:gridCol w:w="144"/>
        <w:gridCol w:w="681"/>
        <w:gridCol w:w="75"/>
      </w:tblGrid>
      <w:tr>
        <w:trPr/>
        <w:tc>
          <w:tcPr>
            <w:tcW w:w="21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88"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75" w:type="dxa"/>
            <w:tcBorders/>
            <w:shd w:fill="auto"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(U.S. dollars in thousands)</w:t>
            </w:r>
          </w:p>
        </w:tc>
        <w:tc>
          <w:tcPr>
            <w:tcW w:w="60" w:type="dxa"/>
            <w:tcBorders/>
            <w:shd w:fill="auto" w:val="clear"/>
            <w:vAlign w:val="bottom"/>
          </w:tcPr>
          <w:p>
            <w:pPr>
              <w:pStyle w:val="TableContents"/>
              <w:spacing w:before="0" w:after="283"/>
              <w:rPr/>
            </w:pPr>
            <w:r>
              <w:rPr/>
              <w:t> </w:t>
            </w:r>
          </w:p>
        </w:tc>
        <w:tc>
          <w:tcPr>
            <w:tcW w:w="8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8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75" w:type="dxa"/>
            <w:tcBorders/>
            <w:shd w:fill="auto"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Nu Skin</w:t>
            </w:r>
          </w:p>
        </w:tc>
        <w:tc>
          <w:tcPr>
            <w:tcW w:w="60"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Americas</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66</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199</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283"/>
              <w:rPr/>
            </w:pPr>
            <w:r>
              <w:rPr/>
              <w:t xml:space="preserve">       </w:t>
            </w:r>
            <w:r>
              <w:rPr/>
              <w:t>South Korea</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453</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388</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283"/>
              <w:ind w:left="0" w:right="0" w:hanging="135"/>
              <w:jc w:val="left"/>
              <w:rPr/>
            </w:pPr>
            <w:r>
              <w:rPr/>
              <w:t> </w:t>
            </w:r>
            <w:r>
              <w:rPr>
                <w:spacing w:val="0"/>
              </w:rPr>
              <w:t xml:space="preserve">      </w:t>
            </w:r>
            <w:r>
              <w:rPr>
                <w:b w:val="false"/>
                <w:spacing w:val="0"/>
              </w:rPr>
              <w:t>Mainland China</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2,775</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2,884</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Southeast Asia/Pacific</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280</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381</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Japan</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1,054</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277</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360" w:right="0" w:hanging="0"/>
              <w:rPr/>
            </w:pPr>
            <w:r>
              <w:rPr/>
              <w:t>EMEA</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282</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230</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Hong Kong/Taiwan</w:t>
            </w:r>
          </w:p>
        </w:tc>
        <w:tc>
          <w:tcPr>
            <w:tcW w:w="60"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453</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691</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Total Nu Skin</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5,363</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5,050</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Rhyz Investments</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 </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504" w:right="0" w:hanging="144"/>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Manufacturing</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3,424</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3,330</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504" w:right="0" w:hanging="144"/>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Rhyz other</w:t>
            </w:r>
          </w:p>
        </w:tc>
        <w:tc>
          <w:tcPr>
            <w:tcW w:w="60"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592</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592</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Total Rhyz Investments</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4,016</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3,922</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Corporate and other</w:t>
            </w:r>
          </w:p>
        </w:tc>
        <w:tc>
          <w:tcPr>
            <w:tcW w:w="60"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7,604</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8,158</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60"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16,983</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17,130</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left"/>
        <w:rPr>
          <w:rFonts w:ascii="Times New Roman;Times;serif" w:hAnsi="Times New Roman;Times;serif"/>
          <w:i/>
          <w:color w:val="000000"/>
          <w:sz w:val="20"/>
        </w:rPr>
      </w:pPr>
      <w:r>
        <w:rPr>
          <w:rFonts w:ascii="Times New Roman;Times;serif" w:hAnsi="Times New Roman;Times;serif"/>
          <w:i/>
          <w:color w:val="000000"/>
          <w:sz w:val="20"/>
        </w:rPr>
        <w:t>Capital Expenditures</w:t>
      </w:r>
    </w:p>
    <w:p>
      <w:pPr>
        <w:pStyle w:val="TextBody"/>
        <w:spacing w:before="0" w:after="0"/>
        <w:jc w:val="left"/>
        <w:rPr/>
      </w:pPr>
      <w:r>
        <w:rPr/>
      </w:r>
    </w:p>
    <w:tbl>
      <w:tblPr>
        <w:tblW w:w="4088" w:type="dxa"/>
        <w:jc w:val="left"/>
        <w:tblInd w:w="0" w:type="dxa"/>
        <w:tblCellMar>
          <w:top w:w="0" w:type="dxa"/>
          <w:left w:w="0" w:type="dxa"/>
          <w:bottom w:w="0" w:type="dxa"/>
          <w:right w:w="0" w:type="dxa"/>
        </w:tblCellMar>
      </w:tblPr>
      <w:tblGrid>
        <w:gridCol w:w="2165"/>
        <w:gridCol w:w="60"/>
        <w:gridCol w:w="144"/>
        <w:gridCol w:w="681"/>
        <w:gridCol w:w="69"/>
        <w:gridCol w:w="69"/>
        <w:gridCol w:w="144"/>
        <w:gridCol w:w="681"/>
        <w:gridCol w:w="75"/>
      </w:tblGrid>
      <w:tr>
        <w:trPr/>
        <w:tc>
          <w:tcPr>
            <w:tcW w:w="21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88"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Three Months Ended</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March 31,</w:t>
            </w:r>
          </w:p>
        </w:tc>
        <w:tc>
          <w:tcPr>
            <w:tcW w:w="75" w:type="dxa"/>
            <w:tcBorders/>
            <w:shd w:fill="auto"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(U.S. dollars in thousands)</w:t>
            </w:r>
          </w:p>
        </w:tc>
        <w:tc>
          <w:tcPr>
            <w:tcW w:w="60" w:type="dxa"/>
            <w:tcBorders/>
            <w:shd w:fill="auto" w:val="clear"/>
            <w:vAlign w:val="bottom"/>
          </w:tcPr>
          <w:p>
            <w:pPr>
              <w:pStyle w:val="TableContents"/>
              <w:spacing w:before="0" w:after="283"/>
              <w:rPr/>
            </w:pPr>
            <w:r>
              <w:rPr/>
              <w:t> </w:t>
            </w:r>
          </w:p>
        </w:tc>
        <w:tc>
          <w:tcPr>
            <w:tcW w:w="8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8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75" w:type="dxa"/>
            <w:tcBorders/>
            <w:shd w:fill="auto"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Nu Skin</w:t>
            </w:r>
          </w:p>
        </w:tc>
        <w:tc>
          <w:tcPr>
            <w:tcW w:w="60"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Americas</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100</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42</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283"/>
              <w:rPr/>
            </w:pPr>
            <w:r>
              <w:rPr/>
              <w:t xml:space="preserve">        </w:t>
            </w:r>
            <w:r>
              <w:rPr/>
              <w:t>South Korea</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154</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362</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283"/>
              <w:ind w:left="0" w:right="0" w:hanging="135"/>
              <w:jc w:val="left"/>
              <w:rPr/>
            </w:pPr>
            <w:r>
              <w:rPr/>
              <w:t>  </w:t>
            </w:r>
            <w:r>
              <w:rPr>
                <w:spacing w:val="0"/>
              </w:rPr>
              <w:t xml:space="preserve">      </w:t>
            </w:r>
            <w:r>
              <w:rPr>
                <w:b w:val="false"/>
                <w:spacing w:val="0"/>
              </w:rPr>
              <w:t>Mainland China</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4,035</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4,068</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Southeast Asia/Pacific</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64</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68</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Japan</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360" w:right="0" w:hanging="0"/>
              <w:rPr/>
            </w:pPr>
            <w:r>
              <w:rPr/>
              <w:t>EMEA</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119</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393</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Hong Kong/Taiwan</w:t>
            </w:r>
          </w:p>
        </w:tc>
        <w:tc>
          <w:tcPr>
            <w:tcW w:w="60"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260</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263</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Total Nu Skin</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4,737</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5,196</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Rhyz Investments</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 </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681"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504" w:right="0" w:hanging="144"/>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Manufacturing</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1,481</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1,208</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504" w:right="0" w:hanging="144"/>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Rhyz other</w:t>
            </w:r>
          </w:p>
        </w:tc>
        <w:tc>
          <w:tcPr>
            <w:tcW w:w="60"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144" w:right="0" w:hanging="144"/>
              <w:jc w:val="left"/>
              <w:rPr>
                <w:rFonts w:ascii="Times New Roman;Times;serif" w:hAnsi="Times New Roman;Times;serif"/>
                <w:i/>
                <w:color w:val="000000"/>
                <w:sz w:val="20"/>
              </w:rPr>
            </w:pPr>
            <w:r>
              <w:rPr>
                <w:rFonts w:ascii="Times New Roman;Times;serif" w:hAnsi="Times New Roman;Times;serif"/>
                <w:i/>
                <w:color w:val="000000"/>
                <w:sz w:val="20"/>
              </w:rPr>
              <w:t>Total Rhyz Investments</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1,481</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681" w:type="dxa"/>
            <w:tcBorders/>
            <w:shd w:fill="auto" w:val="clear"/>
            <w:vAlign w:val="bottom"/>
          </w:tcPr>
          <w:p>
            <w:pPr>
              <w:pStyle w:val="TableContents"/>
              <w:spacing w:before="0" w:after="283"/>
              <w:jc w:val="right"/>
              <w:rPr/>
            </w:pPr>
            <w:r>
              <w:rPr/>
              <w:t>1,208</w:t>
            </w:r>
          </w:p>
        </w:tc>
        <w:tc>
          <w:tcPr>
            <w:tcW w:w="75" w:type="dxa"/>
            <w:tcBorders/>
            <w:shd w:fill="auto" w:val="clear"/>
            <w:vAlign w:val="bottom"/>
          </w:tcPr>
          <w:p>
            <w:pPr>
              <w:pStyle w:val="TableContents"/>
              <w:spacing w:before="0" w:after="283"/>
              <w:jc w:val="left"/>
              <w:rPr/>
            </w:pPr>
            <w:r>
              <w:rPr/>
              <w:t> </w:t>
            </w:r>
          </w:p>
        </w:tc>
      </w:tr>
      <w:tr>
        <w:trPr/>
        <w:tc>
          <w:tcPr>
            <w:tcW w:w="2165" w:type="dxa"/>
            <w:tcBorders/>
            <w:shd w:fill="CCEEFF" w:val="clear"/>
            <w:vAlign w:val="bottom"/>
          </w:tcPr>
          <w:p>
            <w:pPr>
              <w:pStyle w:val="TableContents"/>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Corporate and other</w:t>
            </w:r>
          </w:p>
        </w:tc>
        <w:tc>
          <w:tcPr>
            <w:tcW w:w="60"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5,269</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3,875</w:t>
            </w:r>
          </w:p>
        </w:tc>
        <w:tc>
          <w:tcPr>
            <w:tcW w:w="75" w:type="dxa"/>
            <w:tcBorders/>
            <w:shd w:fill="CCEEFF" w:val="clear"/>
            <w:vAlign w:val="bottom"/>
          </w:tcPr>
          <w:p>
            <w:pPr>
              <w:pStyle w:val="TableContents"/>
              <w:spacing w:before="0" w:after="283"/>
              <w:jc w:val="left"/>
              <w:rPr/>
            </w:pPr>
            <w:r>
              <w:rPr/>
              <w:t> </w:t>
            </w:r>
          </w:p>
        </w:tc>
      </w:tr>
      <w:tr>
        <w:trPr/>
        <w:tc>
          <w:tcPr>
            <w:tcW w:w="2165" w:type="dxa"/>
            <w:tcBorders/>
            <w:shd w:fill="auto" w:val="clear"/>
            <w:vAlign w:val="bottom"/>
          </w:tcPr>
          <w:p>
            <w:pPr>
              <w:pStyle w:val="TableContents"/>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60"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11,487</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81"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10,279</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tbl>
      <w:tblPr>
        <w:tblW w:w="3100" w:type="dxa"/>
        <w:jc w:val="left"/>
        <w:tblInd w:w="0" w:type="dxa"/>
        <w:tblCellMar>
          <w:top w:w="0" w:type="dxa"/>
          <w:left w:w="0" w:type="dxa"/>
          <w:bottom w:w="0" w:type="dxa"/>
          <w:right w:w="0" w:type="dxa"/>
        </w:tblCellMar>
      </w:tblPr>
      <w:tblGrid>
        <w:gridCol w:w="290"/>
        <w:gridCol w:w="2810"/>
      </w:tblGrid>
      <w:tr>
        <w:trPr/>
        <w:tc>
          <w:tcPr>
            <w:tcW w:w="290" w:type="dxa"/>
            <w:tcBorders/>
            <w:shd w:fill="auto" w:val="clear"/>
            <w:vAlign w:val="center"/>
          </w:tcPr>
          <w:p>
            <w:pPr>
              <w:pStyle w:val="TableContents"/>
              <w:spacing w:before="0" w:after="283"/>
              <w:rPr>
                <w:rFonts w:ascii="Times New Roman" w:hAnsi="Times New Roman"/>
                <w:b/>
                <w:color w:val="000000"/>
                <w:sz w:val="20"/>
              </w:rPr>
            </w:pPr>
            <w:r>
              <w:rPr>
                <w:rFonts w:ascii="Times New Roman" w:hAnsi="Times New Roman"/>
                <w:b/>
                <w:color w:val="000000"/>
                <w:sz w:val="20"/>
              </w:rPr>
              <w:t>11.</w:t>
            </w:r>
          </w:p>
        </w:tc>
        <w:tc>
          <w:tcPr>
            <w:tcW w:w="2810" w:type="dxa"/>
            <w:tcBorders/>
            <w:shd w:fill="auto" w:val="clear"/>
            <w:vAlign w:val="center"/>
          </w:tcPr>
          <w:p>
            <w:pPr>
              <w:pStyle w:val="TableContents"/>
              <w:spacing w:before="0" w:after="0"/>
              <w:jc w:val="left"/>
              <w:rPr>
                <w:rFonts w:ascii="Times New Roman" w:hAnsi="Times New Roman"/>
                <w:b/>
                <w:color w:val="000000"/>
                <w:sz w:val="20"/>
              </w:rPr>
            </w:pPr>
            <w:r>
              <w:rPr>
                <w:rFonts w:ascii="Times New Roman" w:hAnsi="Times New Roman"/>
                <w:b/>
                <w:color w:val="000000"/>
                <w:sz w:val="20"/>
              </w:rPr>
              <w:t>Commitments and Contingencies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 (i) 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pStyle w:val="TextBody"/>
        <w:spacing w:before="0" w:after="0"/>
        <w:jc w:val="left"/>
        <w:rPr/>
      </w:pPr>
      <w:r>
        <w:rPr/>
      </w:r>
    </w:p>
    <w:tbl>
      <w:tblPr>
        <w:tblW w:w="1495" w:type="dxa"/>
        <w:jc w:val="left"/>
        <w:tblInd w:w="0" w:type="dxa"/>
        <w:tblCellMar>
          <w:top w:w="0" w:type="dxa"/>
          <w:left w:w="0" w:type="dxa"/>
          <w:bottom w:w="0" w:type="dxa"/>
          <w:right w:w="0" w:type="dxa"/>
        </w:tblCellMar>
      </w:tblPr>
      <w:tblGrid>
        <w:gridCol w:w="290"/>
        <w:gridCol w:w="1205"/>
      </w:tblGrid>
      <w:tr>
        <w:trPr/>
        <w:tc>
          <w:tcPr>
            <w:tcW w:w="290" w:type="dxa"/>
            <w:tcBorders/>
            <w:shd w:fill="auto" w:val="clear"/>
            <w:vAlign w:val="center"/>
          </w:tcPr>
          <w:p>
            <w:pPr>
              <w:pStyle w:val="TableContents"/>
              <w:spacing w:before="0" w:after="283"/>
              <w:rPr>
                <w:rFonts w:ascii="Times New Roman" w:hAnsi="Times New Roman"/>
                <w:b/>
                <w:color w:val="000000"/>
                <w:sz w:val="20"/>
              </w:rPr>
            </w:pPr>
            <w:r>
              <w:rPr>
                <w:rFonts w:ascii="Times New Roman" w:hAnsi="Times New Roman"/>
                <w:b/>
                <w:color w:val="000000"/>
                <w:sz w:val="20"/>
              </w:rPr>
              <w:t>12.</w:t>
            </w:r>
          </w:p>
        </w:tc>
        <w:tc>
          <w:tcPr>
            <w:tcW w:w="1205" w:type="dxa"/>
            <w:tcBorders/>
            <w:shd w:fill="auto" w:val="clear"/>
            <w:vAlign w:val="center"/>
          </w:tcPr>
          <w:p>
            <w:pPr>
              <w:pStyle w:val="TableContents"/>
              <w:spacing w:before="0" w:after="0"/>
              <w:jc w:val="both"/>
              <w:rPr>
                <w:rFonts w:ascii="Times New Roman" w:hAnsi="Times New Roman"/>
                <w:b/>
                <w:color w:val="000000"/>
                <w:sz w:val="20"/>
              </w:rPr>
            </w:pPr>
            <w:r>
              <w:rPr>
                <w:rFonts w:ascii="Times New Roman" w:hAnsi="Times New Roman"/>
                <w:b/>
                <w:color w:val="000000"/>
                <w:sz w:val="20"/>
              </w:rPr>
              <w:t>Restructuring</w:t>
            </w:r>
          </w:p>
        </w:tc>
      </w:tr>
    </w:tbl>
    <w:p>
      <w:pPr>
        <w:pStyle w:val="TextBody"/>
        <w:spacing w:before="0" w:after="0"/>
        <w:jc w:val="left"/>
        <w:rPr/>
      </w:pPr>
      <w:r>
        <w:rPr/>
      </w:r>
    </w:p>
    <w:p>
      <w:pPr>
        <w:pStyle w:val="TextBody"/>
        <w:widowControl/>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2021, the Company determined to exit the Grow Tech segment, to better align its resources on key strategic initiatives to achieve the future growth objectives and priorities of the core Nu Skin business. The Grow Tech segment was pursuing the commercialization of controlled-environment agriculture for use in the agriculture feed industry. This segment has been operating as part of the Company's Rhyz strategic investment arm. As a result of the restructuring program, the Company recorded a non-cash charge of $38.5 million in 2021, including $9.2 million for impairment of goodwill, $9.0 million for impairment of intangibles, $13.7 million of fixed asset impairments and $6.6 million for inventory write-off, and $20.0 million of cash charges, including $6.5 million for employee severance and $13.5 million for other related cash charges with our restructuring. The restructuring charges were recorded in our previous Grow Tech segment, which has been recast to Corporate &amp; Other. During the first three quarters of 2022, the Company made cash payments totaling $20.0 million, with $11.6 million in the first quarter of 2022. During the fourth quarter of 2022, the Company incurred $5.0 million in incremental charges to be settled in cash associated with the exit activities and legal settlements, leaving an ending accrual of $5.0 million as of December 31, 2022. The Company paid this amount during the first quarter of 2023, leaving no restructuring accrual related to our exit of the Grow Tech segment as of March 31, 2023.</w:t>
      </w:r>
    </w:p>
    <w:p>
      <w:pPr>
        <w:pStyle w:val="TextBody"/>
        <w:spacing w:before="0" w:after="0"/>
        <w:jc w:val="both"/>
        <w:rPr/>
      </w:pPr>
      <w:r>
        <w:rPr/>
      </w:r>
    </w:p>
    <w:p>
      <w:pPr>
        <w:pStyle w:val="TextBody"/>
        <w:widowControl/>
        <w:spacing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r>
    </w:p>
    <w:p>
      <w:pPr>
        <w:pStyle w:val="TextBody"/>
        <w:spacing w:before="0" w:after="0"/>
        <w:jc w:val="both"/>
        <w:rPr/>
      </w:pPr>
      <w:r>
        <w:rPr/>
      </w:r>
    </w:p>
    <w:p>
      <w:pPr>
        <w:pStyle w:val="TextBody"/>
        <w:widowControl/>
        <w:spacing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In the third quarter of 2022, the Company adopted a strategic plan to focus resources on the Company’s strategic priorities and optimize future growth and profitability. The global program includes workforce reductions and footprint optimization. The Company estimates total charges under the program will approximate $53.3 million, with $40.8 million in cash charges of severance and lease termination cost and approximately $12.5 million of non-cash charges of impairment of fixed assets, acceleration of depreciation and impairment of other intangibles related to the footprint optimization. The Company expects to substantially complete the program during the first half of 2023. During the back half of 2022, the Company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2022, the Company made cash payments of $21.0 million related to this global program, leaving an ending restructuring accrual of $11.7 million. During the first quarter of 2023, the Company incurred charges to be settled in cash of $4.0 million in severance charges, $1.9 million in lease termination cost, and $2.2 million in other associated cost, and non-cash charges of $1.7 million in accelerated depreciation. During the first quarter of 2023, the Company made cash payments of $7.9 million related to this global program, leaving an ending restructuring accrual of $11.9 million.</w:t>
      </w:r>
    </w:p>
    <w:p>
      <w:pPr>
        <w:pStyle w:val="TextBody"/>
        <w:spacing w:before="0" w:after="0"/>
        <w:jc w:val="both"/>
        <w:rPr/>
      </w:pPr>
      <w:r>
        <w:rPr/>
      </w:r>
    </w:p>
    <w:p>
      <w:pPr>
        <w:pStyle w:val="TextBody"/>
        <w:widowControl/>
        <w:spacing w:before="0" w:after="0"/>
        <w:ind w:left="0" w:right="0" w:hanging="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r>
    </w:p>
    <w:p>
      <w:pPr>
        <w:pStyle w:val="TextBody"/>
        <w:spacing w:before="0" w:after="0"/>
        <w:jc w:val="both"/>
        <w:rPr/>
      </w:pPr>
      <w:r>
        <w:rPr/>
      </w:r>
    </w:p>
    <w:p>
      <w:pPr>
        <w:pStyle w:val="TextBody"/>
        <w:widowControl/>
        <w:spacing w:before="0" w:after="0"/>
        <w:ind w:left="0" w:right="0" w:hanging="0"/>
        <w:jc w:val="left"/>
        <w:rPr>
          <w:rFonts w:ascii="Times New Roman;Times;serif" w:hAnsi="Times New Roman;Times;serif"/>
          <w:b w:val="false"/>
          <w:color w:val="000000"/>
          <w:spacing w:val="0"/>
          <w:sz w:val="20"/>
        </w:rPr>
      </w:pPr>
      <w:r>
        <w:rPr>
          <w:rFonts w:ascii="Times New Roman;Times;serif" w:hAnsi="Times New Roman;Times;serif"/>
          <w:b w:val="false"/>
          <w:color w:val="000000"/>
          <w:spacing w:val="0"/>
          <w:sz w:val="20"/>
        </w:rPr>
        <w:t>Restructuring expense by segment</w:t>
      </w:r>
    </w:p>
    <w:p>
      <w:pPr>
        <w:pStyle w:val="TextBody"/>
        <w:spacing w:before="0" w:after="0"/>
        <w:jc w:val="both"/>
        <w:rPr/>
      </w:pPr>
      <w:r>
        <w:rPr/>
      </w:r>
    </w:p>
    <w:p>
      <w:pPr>
        <w:pStyle w:val="TextBody"/>
        <w:widowControl/>
        <w:spacing w:before="0" w:after="0"/>
        <w:ind w:left="0" w:right="0" w:hanging="0"/>
        <w:jc w:val="left"/>
        <w:rPr>
          <w:rFonts w:ascii="Times New Roman;Times;serif" w:hAnsi="Times New Roman;Times;serif"/>
          <w:b w:val="false"/>
          <w:color w:val="000000"/>
          <w:spacing w:val="0"/>
          <w:sz w:val="20"/>
        </w:rPr>
      </w:pPr>
      <w:r>
        <w:rPr>
          <w:rFonts w:ascii="Times New Roman;Times;serif" w:hAnsi="Times New Roman;Times;serif"/>
          <w:b w:val="false"/>
          <w:color w:val="000000"/>
          <w:spacing w:val="0"/>
          <w:sz w:val="20"/>
        </w:rPr>
      </w:r>
    </w:p>
    <w:tbl>
      <w:tblPr>
        <w:tblW w:w="4995" w:type="dxa"/>
        <w:jc w:val="left"/>
        <w:tblInd w:w="0" w:type="dxa"/>
        <w:tblCellMar>
          <w:top w:w="0" w:type="dxa"/>
          <w:left w:w="0" w:type="dxa"/>
          <w:bottom w:w="0" w:type="dxa"/>
          <w:right w:w="0" w:type="dxa"/>
        </w:tblCellMar>
      </w:tblPr>
      <w:tblGrid>
        <w:gridCol w:w="2615"/>
        <w:gridCol w:w="60"/>
        <w:gridCol w:w="442"/>
        <w:gridCol w:w="1768"/>
        <w:gridCol w:w="110"/>
      </w:tblGrid>
      <w:tr>
        <w:trPr/>
        <w:tc>
          <w:tcPr>
            <w:tcW w:w="2615" w:type="dxa"/>
            <w:tcBorders/>
            <w:shd w:fill="auto" w:val="clear"/>
            <w:vAlign w:val="bottom"/>
          </w:tcPr>
          <w:p>
            <w:pPr>
              <w:pStyle w:val="TableContents"/>
              <w:spacing w:before="0" w:after="0"/>
              <w:ind w:left="144" w:right="0" w:hanging="144"/>
              <w:jc w:val="left"/>
              <w:rPr/>
            </w:pPr>
            <w:r>
              <w:rPr/>
              <w:t xml:space="preserve">(U.S. dollars in thousands) </w:t>
            </w:r>
          </w:p>
        </w:tc>
        <w:tc>
          <w:tcPr>
            <w:tcW w:w="60" w:type="dxa"/>
            <w:tcBorders/>
            <w:shd w:fill="auto" w:val="clear"/>
            <w:vAlign w:val="bottom"/>
          </w:tcPr>
          <w:p>
            <w:pPr>
              <w:pStyle w:val="TableContents"/>
              <w:spacing w:before="0" w:after="283"/>
              <w:rPr/>
            </w:pPr>
            <w:r>
              <w:rPr/>
              <w:t> </w:t>
            </w:r>
          </w:p>
        </w:tc>
        <w:tc>
          <w:tcPr>
            <w:tcW w:w="221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 2023</w:t>
            </w:r>
          </w:p>
        </w:tc>
        <w:tc>
          <w:tcPr>
            <w:tcW w:w="110" w:type="dxa"/>
            <w:tcBorders/>
            <w:shd w:fill="auto"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0"/>
              <w:ind w:left="144" w:right="0" w:hanging="144"/>
              <w:rPr>
                <w:i/>
              </w:rPr>
            </w:pPr>
            <w:r>
              <w:rPr>
                <w:i/>
              </w:rPr>
              <w:t>Nu Skin</w:t>
            </w:r>
          </w:p>
        </w:tc>
        <w:tc>
          <w:tcPr>
            <w:tcW w:w="60" w:type="dxa"/>
            <w:tcBorders/>
            <w:shd w:fill="auto" w:val="clear"/>
            <w:vAlign w:val="bottom"/>
          </w:tcPr>
          <w:p>
            <w:pPr>
              <w:pStyle w:val="TableContents"/>
              <w:spacing w:before="0" w:after="283"/>
              <w:rPr/>
            </w:pPr>
            <w:r>
              <w:rPr/>
              <w:t> </w:t>
            </w:r>
          </w:p>
        </w:tc>
        <w:tc>
          <w:tcPr>
            <w:tcW w:w="221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ind w:left="360" w:right="0" w:hanging="0"/>
              <w:rPr/>
            </w:pPr>
            <w:r>
              <w:rPr/>
              <w:t>Americas</w:t>
            </w:r>
          </w:p>
        </w:tc>
        <w:tc>
          <w:tcPr>
            <w:tcW w:w="60" w:type="dxa"/>
            <w:tcBorders/>
            <w:shd w:fill="CCEEFF" w:val="clear"/>
            <w:vAlign w:val="bottom"/>
          </w:tcPr>
          <w:p>
            <w:pPr>
              <w:pStyle w:val="TableContents"/>
              <w:spacing w:before="0" w:after="283"/>
              <w:jc w:val="right"/>
              <w:rPr/>
            </w:pPr>
            <w:r>
              <w:rPr/>
              <w:t> </w:t>
            </w:r>
          </w:p>
        </w:tc>
        <w:tc>
          <w:tcPr>
            <w:tcW w:w="442" w:type="dxa"/>
            <w:tcBorders/>
            <w:shd w:fill="CCEEFF" w:val="clear"/>
            <w:vAlign w:val="bottom"/>
          </w:tcPr>
          <w:p>
            <w:pPr>
              <w:pStyle w:val="TableContents"/>
              <w:spacing w:before="0" w:after="0"/>
              <w:jc w:val="left"/>
              <w:rPr/>
            </w:pPr>
            <w:r>
              <w:rPr/>
              <w:t>$</w:t>
            </w:r>
          </w:p>
        </w:tc>
        <w:tc>
          <w:tcPr>
            <w:tcW w:w="1768" w:type="dxa"/>
            <w:tcBorders/>
            <w:shd w:fill="CCEEFF" w:val="clear"/>
            <w:vAlign w:val="bottom"/>
          </w:tcPr>
          <w:p>
            <w:pPr>
              <w:pStyle w:val="TableContents"/>
              <w:spacing w:before="0" w:after="0"/>
              <w:jc w:val="right"/>
              <w:rPr/>
            </w:pPr>
            <w:r>
              <w:rPr/>
              <w:t>918</w:t>
            </w:r>
          </w:p>
        </w:tc>
        <w:tc>
          <w:tcPr>
            <w:tcW w:w="110" w:type="dxa"/>
            <w:tcBorders/>
            <w:shd w:fill="CCEEFF"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widowControl/>
              <w:spacing w:before="0" w:after="283"/>
              <w:ind w:left="0" w:right="0" w:hanging="135"/>
              <w:jc w:val="left"/>
              <w:rPr/>
            </w:pPr>
            <w:r>
              <w:rPr/>
              <w:t> </w:t>
            </w:r>
            <w:r>
              <w:rPr>
                <w:caps w:val="false"/>
                <w:smallCaps w:val="false"/>
                <w:color w:val="000000"/>
                <w:spacing w:val="0"/>
              </w:rPr>
              <w:t xml:space="preserve">       </w:t>
            </w:r>
            <w:r>
              <w:rPr>
                <w:rFonts w:ascii="Times New Roman;Times;serif" w:hAnsi="Times New Roman;Times;serif"/>
                <w:b w:val="false"/>
                <w:i w:val="false"/>
                <w:caps w:val="false"/>
                <w:smallCaps w:val="false"/>
                <w:color w:val="000000"/>
                <w:spacing w:val="0"/>
                <w:sz w:val="20"/>
              </w:rPr>
              <w:t>South Korea</w:t>
            </w:r>
          </w:p>
        </w:tc>
        <w:tc>
          <w:tcPr>
            <w:tcW w:w="60" w:type="dxa"/>
            <w:tcBorders/>
            <w:shd w:fill="auto" w:val="clear"/>
            <w:vAlign w:val="bottom"/>
          </w:tcPr>
          <w:p>
            <w:pPr>
              <w:pStyle w:val="TableContents"/>
              <w:spacing w:before="0" w:after="283"/>
              <w:jc w:val="right"/>
              <w:rPr/>
            </w:pPr>
            <w:r>
              <w:rPr/>
              <w:t> </w:t>
            </w:r>
          </w:p>
        </w:tc>
        <w:tc>
          <w:tcPr>
            <w:tcW w:w="442" w:type="dxa"/>
            <w:tcBorders/>
            <w:shd w:fill="auto" w:val="clear"/>
            <w:vAlign w:val="bottom"/>
          </w:tcPr>
          <w:p>
            <w:pPr>
              <w:pStyle w:val="TableContents"/>
              <w:spacing w:before="0" w:after="283"/>
              <w:jc w:val="left"/>
              <w:rPr/>
            </w:pPr>
            <w:r>
              <w:rPr/>
              <w:t> </w:t>
            </w:r>
          </w:p>
        </w:tc>
        <w:tc>
          <w:tcPr>
            <w:tcW w:w="1768" w:type="dxa"/>
            <w:tcBorders/>
            <w:shd w:fill="auto" w:val="clear"/>
            <w:vAlign w:val="bottom"/>
          </w:tcPr>
          <w:p>
            <w:pPr>
              <w:pStyle w:val="TableContents"/>
              <w:spacing w:before="0" w:after="283"/>
              <w:jc w:val="right"/>
              <w:rPr/>
            </w:pPr>
            <w:r>
              <w:rPr/>
              <w:t>422</w:t>
            </w:r>
          </w:p>
        </w:tc>
        <w:tc>
          <w:tcPr>
            <w:tcW w:w="110" w:type="dxa"/>
            <w:tcBorders/>
            <w:shd w:fill="auto" w:val="cle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ind w:left="540" w:right="0" w:hanging="144"/>
              <w:rPr/>
            </w:pPr>
            <w:r>
              <w:rPr/>
              <w:t>Mainland China</w:t>
            </w:r>
          </w:p>
        </w:tc>
        <w:tc>
          <w:tcPr>
            <w:tcW w:w="60" w:type="dxa"/>
            <w:tcBorders/>
            <w:shd w:fill="CCEEFF" w:val="clear"/>
            <w:vAlign w:val="bottom"/>
          </w:tcPr>
          <w:p>
            <w:pPr>
              <w:pStyle w:val="TableContents"/>
              <w:spacing w:before="0" w:after="283"/>
              <w:jc w:val="right"/>
              <w:rPr/>
            </w:pPr>
            <w:r>
              <w:rPr/>
              <w:t> </w:t>
            </w:r>
          </w:p>
        </w:tc>
        <w:tc>
          <w:tcPr>
            <w:tcW w:w="442" w:type="dxa"/>
            <w:tcBorders/>
            <w:shd w:fill="CCEEFF" w:val="clear"/>
            <w:vAlign w:val="bottom"/>
          </w:tcPr>
          <w:p>
            <w:pPr>
              <w:pStyle w:val="TableContents"/>
              <w:spacing w:before="0" w:after="283"/>
              <w:jc w:val="left"/>
              <w:rPr/>
            </w:pPr>
            <w:r>
              <w:rPr/>
              <w:t> </w:t>
            </w:r>
          </w:p>
        </w:tc>
        <w:tc>
          <w:tcPr>
            <w:tcW w:w="1768" w:type="dxa"/>
            <w:tcBorders/>
            <w:shd w:fill="CCEEFF" w:val="clear"/>
            <w:vAlign w:val="bottom"/>
          </w:tcPr>
          <w:p>
            <w:pPr>
              <w:pStyle w:val="TableContents"/>
              <w:spacing w:before="0" w:after="0"/>
              <w:jc w:val="right"/>
              <w:rPr/>
            </w:pPr>
            <w:r>
              <w:rPr/>
              <w:t>1,352</w:t>
            </w:r>
          </w:p>
        </w:tc>
        <w:tc>
          <w:tcPr>
            <w:tcW w:w="110" w:type="dxa"/>
            <w:tcBorders/>
            <w:shd w:fill="CCEEFF"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0"/>
              <w:ind w:left="540" w:right="0" w:hanging="144"/>
              <w:rPr/>
            </w:pPr>
            <w:r>
              <w:rPr/>
              <w:t>Southeast Asia/Pacific</w:t>
            </w:r>
          </w:p>
        </w:tc>
        <w:tc>
          <w:tcPr>
            <w:tcW w:w="60" w:type="dxa"/>
            <w:tcBorders/>
            <w:shd w:fill="auto" w:val="clear"/>
            <w:vAlign w:val="bottom"/>
          </w:tcPr>
          <w:p>
            <w:pPr>
              <w:pStyle w:val="TableContents"/>
              <w:spacing w:before="0" w:after="283"/>
              <w:jc w:val="right"/>
              <w:rPr/>
            </w:pPr>
            <w:r>
              <w:rPr/>
              <w:t> </w:t>
            </w:r>
          </w:p>
        </w:tc>
        <w:tc>
          <w:tcPr>
            <w:tcW w:w="442" w:type="dxa"/>
            <w:tcBorders/>
            <w:shd w:fill="auto" w:val="clear"/>
            <w:vAlign w:val="bottom"/>
          </w:tcPr>
          <w:p>
            <w:pPr>
              <w:pStyle w:val="TableContents"/>
              <w:spacing w:before="0" w:after="283"/>
              <w:jc w:val="left"/>
              <w:rPr/>
            </w:pPr>
            <w:r>
              <w:rPr/>
              <w:t> </w:t>
            </w:r>
          </w:p>
        </w:tc>
        <w:tc>
          <w:tcPr>
            <w:tcW w:w="1768" w:type="dxa"/>
            <w:tcBorders/>
            <w:shd w:fill="auto" w:val="clear"/>
            <w:vAlign w:val="bottom"/>
          </w:tcPr>
          <w:p>
            <w:pPr>
              <w:pStyle w:val="TableContents"/>
              <w:spacing w:before="0" w:after="0"/>
              <w:jc w:val="right"/>
              <w:rPr/>
            </w:pPr>
            <w:r>
              <w:rPr/>
              <w:t>131</w:t>
            </w:r>
          </w:p>
        </w:tc>
        <w:tc>
          <w:tcPr>
            <w:tcW w:w="110" w:type="dxa"/>
            <w:tcBorders/>
            <w:shd w:fill="auto" w:val="cle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Japan</w:t>
            </w:r>
          </w:p>
        </w:tc>
        <w:tc>
          <w:tcPr>
            <w:tcW w:w="60" w:type="dxa"/>
            <w:tcBorders/>
            <w:shd w:fill="CCEEFF" w:val="clear"/>
            <w:vAlign w:val="bottom"/>
          </w:tcPr>
          <w:p>
            <w:pPr>
              <w:pStyle w:val="TableContents"/>
              <w:spacing w:before="0" w:after="283"/>
              <w:jc w:val="right"/>
              <w:rPr/>
            </w:pPr>
            <w:r>
              <w:rPr/>
              <w:t> </w:t>
            </w:r>
          </w:p>
        </w:tc>
        <w:tc>
          <w:tcPr>
            <w:tcW w:w="442" w:type="dxa"/>
            <w:tcBorders/>
            <w:shd w:fill="CCEEFF" w:val="clear"/>
            <w:vAlign w:val="bottom"/>
          </w:tcPr>
          <w:p>
            <w:pPr>
              <w:pStyle w:val="TableContents"/>
              <w:spacing w:before="0" w:after="283"/>
              <w:jc w:val="left"/>
              <w:rPr/>
            </w:pPr>
            <w:r>
              <w:rPr/>
              <w:t> </w:t>
            </w:r>
          </w:p>
        </w:tc>
        <w:tc>
          <w:tcPr>
            <w:tcW w:w="1768" w:type="dxa"/>
            <w:tcBorders/>
            <w:shd w:fill="CCEEFF" w:val="clear"/>
            <w:vAlign w:val="bottom"/>
          </w:tcPr>
          <w:p>
            <w:pPr>
              <w:pStyle w:val="TableContents"/>
              <w:spacing w:before="0" w:after="0"/>
              <w:jc w:val="right"/>
              <w:rPr/>
            </w:pPr>
            <w:r>
              <w:rPr/>
              <w:t>1,515</w:t>
            </w:r>
          </w:p>
        </w:tc>
        <w:tc>
          <w:tcPr>
            <w:tcW w:w="110" w:type="dxa"/>
            <w:tcBorders/>
            <w:shd w:fill="CCEEFF"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0"/>
              <w:ind w:left="540" w:right="0" w:hanging="144"/>
              <w:rPr/>
            </w:pPr>
            <w:r>
              <w:rPr/>
              <w:t>EMEA</w:t>
            </w:r>
          </w:p>
        </w:tc>
        <w:tc>
          <w:tcPr>
            <w:tcW w:w="60" w:type="dxa"/>
            <w:tcBorders/>
            <w:shd w:fill="auto" w:val="clear"/>
            <w:vAlign w:val="bottom"/>
          </w:tcPr>
          <w:p>
            <w:pPr>
              <w:pStyle w:val="TableContents"/>
              <w:spacing w:before="0" w:after="283"/>
              <w:jc w:val="right"/>
              <w:rPr/>
            </w:pPr>
            <w:r>
              <w:rPr/>
              <w:t> </w:t>
            </w:r>
          </w:p>
        </w:tc>
        <w:tc>
          <w:tcPr>
            <w:tcW w:w="442" w:type="dxa"/>
            <w:tcBorders/>
            <w:shd w:fill="auto" w:val="clear"/>
            <w:vAlign w:val="bottom"/>
          </w:tcPr>
          <w:p>
            <w:pPr>
              <w:pStyle w:val="TableContents"/>
              <w:spacing w:before="0" w:after="283"/>
              <w:jc w:val="left"/>
              <w:rPr/>
            </w:pPr>
            <w:r>
              <w:rPr/>
              <w:t> </w:t>
            </w:r>
          </w:p>
        </w:tc>
        <w:tc>
          <w:tcPr>
            <w:tcW w:w="1768" w:type="dxa"/>
            <w:tcBorders/>
            <w:shd w:fill="auto" w:val="clear"/>
            <w:vAlign w:val="bottom"/>
          </w:tcPr>
          <w:p>
            <w:pPr>
              <w:pStyle w:val="TableContents"/>
              <w:spacing w:before="0" w:after="0"/>
              <w:jc w:val="right"/>
              <w:rPr/>
            </w:pPr>
            <w:r>
              <w:rPr/>
              <w:t>(113</w:t>
            </w:r>
          </w:p>
        </w:tc>
        <w:tc>
          <w:tcPr>
            <w:tcW w:w="110" w:type="dxa"/>
            <w:tcBorders/>
            <w:shd w:fill="auto" w:val="clear"/>
            <w:vAlign w:val="bottom"/>
          </w:tcPr>
          <w:p>
            <w:pPr>
              <w:pStyle w:val="TableContents"/>
              <w:spacing w:before="0" w:after="0"/>
              <w:jc w:val="left"/>
              <w:rPr/>
            </w:pPr>
            <w:r>
              <w:rPr/>
              <w:t>)</w:t>
            </w:r>
          </w:p>
        </w:tc>
      </w:tr>
      <w:tr>
        <w:trPr/>
        <w:tc>
          <w:tcPr>
            <w:tcW w:w="2615" w:type="dxa"/>
            <w:tcBorders/>
            <w:shd w:fill="CCEEFF" w:val="clear"/>
            <w:vAlign w:val="bottom"/>
          </w:tcPr>
          <w:p>
            <w:pPr>
              <w:pStyle w:val="TableContents"/>
              <w:spacing w:before="0" w:after="0"/>
              <w:ind w:left="540" w:right="0" w:hanging="144"/>
              <w:rPr/>
            </w:pPr>
            <w:r>
              <w:rPr/>
              <w:t>Hong Kong/Taiwan</w:t>
            </w:r>
          </w:p>
        </w:tc>
        <w:tc>
          <w:tcPr>
            <w:tcW w:w="60" w:type="dxa"/>
            <w:tcBorders/>
            <w:shd w:fill="CCEEFF" w:val="clear"/>
            <w:vAlign w:val="bottom"/>
          </w:tcPr>
          <w:p>
            <w:pPr>
              <w:pStyle w:val="TableContents"/>
              <w:spacing w:before="0" w:after="283"/>
              <w:jc w:val="right"/>
              <w:rPr/>
            </w:pPr>
            <w:r>
              <w:rPr/>
              <w:t> </w:t>
            </w:r>
          </w:p>
        </w:tc>
        <w:tc>
          <w:tcPr>
            <w:tcW w:w="4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768" w:type="dxa"/>
            <w:tcBorders>
              <w:bottom w:val="single" w:sz="12" w:space="0" w:color="000000"/>
            </w:tcBorders>
            <w:shd w:fill="CCEEFF" w:val="clear"/>
            <w:tcMar>
              <w:bottom w:w="28" w:type="dxa"/>
            </w:tcMar>
            <w:vAlign w:val="bottom"/>
          </w:tcPr>
          <w:p>
            <w:pPr>
              <w:pStyle w:val="TableContents"/>
              <w:spacing w:before="0" w:after="0"/>
              <w:jc w:val="right"/>
              <w:rPr/>
            </w:pPr>
            <w:r>
              <w:rPr/>
              <w:t>(201</w:t>
            </w:r>
          </w:p>
        </w:tc>
        <w:tc>
          <w:tcPr>
            <w:tcW w:w="110" w:type="dxa"/>
            <w:tcBorders/>
            <w:shd w:fill="CCEEFF" w:val="clear"/>
            <w:vAlign w:val="bottom"/>
          </w:tcPr>
          <w:p>
            <w:pPr>
              <w:pStyle w:val="TableContents"/>
              <w:spacing w:before="0" w:after="0"/>
              <w:jc w:val="left"/>
              <w:rPr/>
            </w:pPr>
            <w:r>
              <w:rPr/>
              <w:t>)</w:t>
            </w:r>
          </w:p>
        </w:tc>
      </w:tr>
      <w:tr>
        <w:trPr/>
        <w:tc>
          <w:tcPr>
            <w:tcW w:w="2615" w:type="dxa"/>
            <w:tcBorders/>
            <w:shd w:fill="auto" w:val="clear"/>
            <w:vAlign w:val="bottom"/>
          </w:tcPr>
          <w:p>
            <w:pPr>
              <w:pStyle w:val="TableContents"/>
              <w:spacing w:before="0" w:after="0"/>
              <w:ind w:left="144" w:right="0" w:hanging="144"/>
              <w:rPr>
                <w:i/>
              </w:rPr>
            </w:pPr>
            <w:r>
              <w:rPr>
                <w:i/>
              </w:rPr>
              <w:t>Total Nu Skin</w:t>
            </w:r>
          </w:p>
        </w:tc>
        <w:tc>
          <w:tcPr>
            <w:tcW w:w="60" w:type="dxa"/>
            <w:tcBorders/>
            <w:shd w:fill="auto" w:val="clear"/>
            <w:vAlign w:val="bottom"/>
          </w:tcPr>
          <w:p>
            <w:pPr>
              <w:pStyle w:val="TableContents"/>
              <w:spacing w:before="0" w:after="283"/>
              <w:jc w:val="right"/>
              <w:rPr/>
            </w:pPr>
            <w:r>
              <w:rPr/>
              <w:t> </w:t>
            </w:r>
          </w:p>
        </w:tc>
        <w:tc>
          <w:tcPr>
            <w:tcW w:w="442" w:type="dxa"/>
            <w:tcBorders/>
            <w:shd w:fill="auto" w:val="clear"/>
            <w:vAlign w:val="bottom"/>
          </w:tcPr>
          <w:p>
            <w:pPr>
              <w:pStyle w:val="TableContents"/>
              <w:spacing w:before="0" w:after="283"/>
              <w:jc w:val="left"/>
              <w:rPr/>
            </w:pPr>
            <w:r>
              <w:rPr/>
              <w:t> </w:t>
            </w:r>
          </w:p>
        </w:tc>
        <w:tc>
          <w:tcPr>
            <w:tcW w:w="1768" w:type="dxa"/>
            <w:tcBorders/>
            <w:shd w:fill="auto" w:val="clear"/>
            <w:vAlign w:val="bottom"/>
          </w:tcPr>
          <w:p>
            <w:pPr>
              <w:pStyle w:val="TableContents"/>
              <w:spacing w:before="0" w:after="0"/>
              <w:jc w:val="right"/>
              <w:rPr/>
            </w:pPr>
            <w:r>
              <w:rPr/>
              <w:t>4,024</w:t>
            </w:r>
          </w:p>
        </w:tc>
        <w:tc>
          <w:tcPr>
            <w:tcW w:w="110" w:type="dxa"/>
            <w:tcBorders/>
            <w:shd w:fill="auto" w:val="cle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ind w:left="144" w:right="0" w:hanging="144"/>
              <w:rPr>
                <w:i/>
              </w:rPr>
            </w:pPr>
            <w:r>
              <w:rPr>
                <w:i/>
              </w:rPr>
              <w:t>Rhyz Investments</w:t>
            </w:r>
          </w:p>
        </w:tc>
        <w:tc>
          <w:tcPr>
            <w:tcW w:w="60" w:type="dxa"/>
            <w:tcBorders/>
            <w:shd w:fill="CCEEFF" w:val="clear"/>
            <w:vAlign w:val="bottom"/>
          </w:tcPr>
          <w:p>
            <w:pPr>
              <w:pStyle w:val="TableContents"/>
              <w:spacing w:before="0" w:after="283"/>
              <w:jc w:val="right"/>
              <w:rPr/>
            </w:pPr>
            <w:r>
              <w:rPr/>
              <w:t> </w:t>
            </w:r>
          </w:p>
        </w:tc>
        <w:tc>
          <w:tcPr>
            <w:tcW w:w="442" w:type="dxa"/>
            <w:tcBorders/>
            <w:shd w:fill="CCEEFF" w:val="clear"/>
            <w:vAlign w:val="bottom"/>
          </w:tcPr>
          <w:p>
            <w:pPr>
              <w:pStyle w:val="TableContents"/>
              <w:spacing w:before="0" w:after="283"/>
              <w:jc w:val="left"/>
              <w:rPr/>
            </w:pPr>
            <w:r>
              <w:rPr/>
              <w:t> </w:t>
            </w:r>
          </w:p>
        </w:tc>
        <w:tc>
          <w:tcPr>
            <w:tcW w:w="1768"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0"/>
              <w:ind w:left="540" w:right="0" w:hanging="144"/>
              <w:rPr/>
            </w:pPr>
            <w:r>
              <w:rPr/>
              <w:t>Manufacturing</w:t>
            </w:r>
          </w:p>
        </w:tc>
        <w:tc>
          <w:tcPr>
            <w:tcW w:w="60" w:type="dxa"/>
            <w:tcBorders/>
            <w:shd w:fill="auto" w:val="clear"/>
            <w:vAlign w:val="bottom"/>
          </w:tcPr>
          <w:p>
            <w:pPr>
              <w:pStyle w:val="TableContents"/>
              <w:spacing w:before="0" w:after="283"/>
              <w:jc w:val="right"/>
              <w:rPr/>
            </w:pPr>
            <w:r>
              <w:rPr/>
              <w:t> </w:t>
            </w:r>
          </w:p>
        </w:tc>
        <w:tc>
          <w:tcPr>
            <w:tcW w:w="442" w:type="dxa"/>
            <w:tcBorders/>
            <w:shd w:fill="auto" w:val="clear"/>
            <w:vAlign w:val="bottom"/>
          </w:tcPr>
          <w:p>
            <w:pPr>
              <w:pStyle w:val="TableContents"/>
              <w:spacing w:before="0" w:after="283"/>
              <w:jc w:val="left"/>
              <w:rPr/>
            </w:pPr>
            <w:r>
              <w:rPr/>
              <w:t> </w:t>
            </w:r>
          </w:p>
        </w:tc>
        <w:tc>
          <w:tcPr>
            <w:tcW w:w="1768" w:type="dxa"/>
            <w:tcBorders/>
            <w:shd w:fill="auto" w:val="clear"/>
            <w:vAlign w:val="bottom"/>
          </w:tcPr>
          <w:p>
            <w:pPr>
              <w:pStyle w:val="TableContents"/>
              <w:spacing w:before="0" w:after="0"/>
              <w:jc w:val="right"/>
              <w:rPr/>
            </w:pPr>
            <w:r>
              <w:rPr/>
              <w:t>13</w:t>
            </w:r>
          </w:p>
        </w:tc>
        <w:tc>
          <w:tcPr>
            <w:tcW w:w="110" w:type="dxa"/>
            <w:tcBorders/>
            <w:shd w:fill="auto" w:val="cle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ind w:left="540" w:right="0" w:hanging="144"/>
              <w:rPr/>
            </w:pPr>
            <w:r>
              <w:rPr/>
              <w:t>Rhyz other</w:t>
            </w:r>
          </w:p>
        </w:tc>
        <w:tc>
          <w:tcPr>
            <w:tcW w:w="60" w:type="dxa"/>
            <w:tcBorders/>
            <w:shd w:fill="CCEEFF" w:val="clear"/>
            <w:vAlign w:val="bottom"/>
          </w:tcPr>
          <w:p>
            <w:pPr>
              <w:pStyle w:val="TableContents"/>
              <w:spacing w:before="0" w:after="283"/>
              <w:jc w:val="right"/>
              <w:rPr/>
            </w:pPr>
            <w:r>
              <w:rPr/>
              <w:t> </w:t>
            </w:r>
          </w:p>
        </w:tc>
        <w:tc>
          <w:tcPr>
            <w:tcW w:w="4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76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110" w:type="dxa"/>
            <w:tcBorders/>
            <w:shd w:fill="CCEEFF"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0"/>
              <w:rPr>
                <w:i/>
              </w:rPr>
            </w:pPr>
            <w:r>
              <w:rPr>
                <w:i/>
              </w:rPr>
              <w:t>Total Rhyz Investments</w:t>
            </w:r>
          </w:p>
        </w:tc>
        <w:tc>
          <w:tcPr>
            <w:tcW w:w="60" w:type="dxa"/>
            <w:tcBorders/>
            <w:shd w:fill="auto" w:val="clear"/>
            <w:vAlign w:val="bottom"/>
          </w:tcPr>
          <w:p>
            <w:pPr>
              <w:pStyle w:val="TableContents"/>
              <w:spacing w:before="0" w:after="283"/>
              <w:jc w:val="right"/>
              <w:rPr/>
            </w:pPr>
            <w:r>
              <w:rPr/>
              <w:t> </w:t>
            </w:r>
          </w:p>
        </w:tc>
        <w:tc>
          <w:tcPr>
            <w:tcW w:w="44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768" w:type="dxa"/>
            <w:tcBorders>
              <w:bottom w:val="single" w:sz="12" w:space="0" w:color="000000"/>
            </w:tcBorders>
            <w:shd w:fill="auto" w:val="clear"/>
            <w:tcMar>
              <w:bottom w:w="28" w:type="dxa"/>
            </w:tcMar>
            <w:vAlign w:val="bottom"/>
          </w:tcPr>
          <w:p>
            <w:pPr>
              <w:pStyle w:val="TableContents"/>
              <w:spacing w:before="0" w:after="0"/>
              <w:jc w:val="right"/>
              <w:rPr/>
            </w:pPr>
            <w:r>
              <w:rPr/>
              <w:t>13</w:t>
            </w:r>
          </w:p>
        </w:tc>
        <w:tc>
          <w:tcPr>
            <w:tcW w:w="110" w:type="dxa"/>
            <w:tcBorders/>
            <w:shd w:fill="auto" w:val="cle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rPr/>
            </w:pPr>
            <w:r>
              <w:rPr/>
              <w:t>Corporate and other</w:t>
            </w:r>
          </w:p>
        </w:tc>
        <w:tc>
          <w:tcPr>
            <w:tcW w:w="60" w:type="dxa"/>
            <w:tcBorders/>
            <w:shd w:fill="CCEEFF" w:val="clear"/>
            <w:vAlign w:val="bottom"/>
          </w:tcPr>
          <w:p>
            <w:pPr>
              <w:pStyle w:val="TableContents"/>
              <w:spacing w:before="0" w:after="283"/>
              <w:jc w:val="right"/>
              <w:rPr/>
            </w:pPr>
            <w:r>
              <w:rPr/>
              <w:t> </w:t>
            </w:r>
          </w:p>
        </w:tc>
        <w:tc>
          <w:tcPr>
            <w:tcW w:w="44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768" w:type="dxa"/>
            <w:tcBorders>
              <w:bottom w:val="single" w:sz="12" w:space="0" w:color="000000"/>
            </w:tcBorders>
            <w:shd w:fill="CCEEFF" w:val="clear"/>
            <w:tcMar>
              <w:bottom w:w="28" w:type="dxa"/>
            </w:tcMar>
            <w:vAlign w:val="bottom"/>
          </w:tcPr>
          <w:p>
            <w:pPr>
              <w:pStyle w:val="TableContents"/>
              <w:spacing w:before="0" w:after="0"/>
              <w:jc w:val="right"/>
              <w:rPr/>
            </w:pPr>
            <w:r>
              <w:rPr/>
              <w:t>5,750</w:t>
            </w:r>
          </w:p>
        </w:tc>
        <w:tc>
          <w:tcPr>
            <w:tcW w:w="110" w:type="dxa"/>
            <w:tcBorders/>
            <w:shd w:fill="CCEEFF"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0"/>
              <w:ind w:left="108" w:right="0" w:hanging="0"/>
              <w:rPr/>
            </w:pPr>
            <w:r>
              <w:rPr/>
              <w:t>Total</w:t>
            </w:r>
          </w:p>
        </w:tc>
        <w:tc>
          <w:tcPr>
            <w:tcW w:w="60" w:type="dxa"/>
            <w:tcBorders/>
            <w:shd w:fill="auto" w:val="clear"/>
            <w:vAlign w:val="bottom"/>
          </w:tcPr>
          <w:p>
            <w:pPr>
              <w:pStyle w:val="TableContents"/>
              <w:spacing w:before="0" w:after="283"/>
              <w:jc w:val="right"/>
              <w:rPr/>
            </w:pPr>
            <w:r>
              <w:rPr/>
              <w:t> </w:t>
            </w:r>
          </w:p>
        </w:tc>
        <w:tc>
          <w:tcPr>
            <w:tcW w:w="442"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768" w:type="dxa"/>
            <w:tcBorders>
              <w:bottom w:val="double" w:sz="8" w:space="0" w:color="000000"/>
            </w:tcBorders>
            <w:shd w:fill="auto" w:val="clear"/>
            <w:tcMar>
              <w:bottom w:w="28" w:type="dxa"/>
            </w:tcMar>
            <w:vAlign w:val="bottom"/>
          </w:tcPr>
          <w:p>
            <w:pPr>
              <w:pStyle w:val="TableContents"/>
              <w:spacing w:before="0" w:after="0"/>
              <w:jc w:val="right"/>
              <w:rPr/>
            </w:pPr>
            <w:r>
              <w:rPr/>
              <w:t>9,787</w:t>
            </w:r>
          </w:p>
        </w:tc>
        <w:tc>
          <w:tcPr>
            <w:tcW w:w="110"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tbl>
      <w:tblPr>
        <w:tblW w:w="1885" w:type="dxa"/>
        <w:jc w:val="left"/>
        <w:tblInd w:w="0" w:type="dxa"/>
        <w:tblCellMar>
          <w:top w:w="0" w:type="dxa"/>
          <w:left w:w="0" w:type="dxa"/>
          <w:bottom w:w="0" w:type="dxa"/>
          <w:right w:w="0" w:type="dxa"/>
        </w:tblCellMar>
      </w:tblPr>
      <w:tblGrid>
        <w:gridCol w:w="290"/>
        <w:gridCol w:w="1595"/>
      </w:tblGrid>
      <w:tr>
        <w:trPr/>
        <w:tc>
          <w:tcPr>
            <w:tcW w:w="290" w:type="dxa"/>
            <w:tcBorders/>
            <w:shd w:fill="auto" w:val="clear"/>
            <w:vAlign w:val="center"/>
          </w:tcPr>
          <w:p>
            <w:pPr>
              <w:pStyle w:val="TableContents"/>
              <w:spacing w:before="0" w:after="283"/>
              <w:rPr>
                <w:rFonts w:ascii="Times New Roman" w:hAnsi="Times New Roman"/>
                <w:b/>
                <w:color w:val="000000"/>
                <w:sz w:val="20"/>
              </w:rPr>
            </w:pPr>
            <w:r>
              <w:rPr>
                <w:rFonts w:ascii="Times New Roman" w:hAnsi="Times New Roman"/>
                <w:b/>
                <w:color w:val="000000"/>
                <w:sz w:val="20"/>
              </w:rPr>
              <w:t>13.</w:t>
            </w:r>
          </w:p>
        </w:tc>
        <w:tc>
          <w:tcPr>
            <w:tcW w:w="159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Subsequent Events</w:t>
            </w:r>
          </w:p>
        </w:tc>
      </w:tr>
    </w:tbl>
    <w:p>
      <w:pPr>
        <w:pStyle w:val="TextBody"/>
        <w:spacing w:before="0" w:after="0"/>
        <w:jc w:val="left"/>
        <w:rPr>
          <w:sz w:val="20"/>
        </w:rPr>
      </w:pPr>
      <w:r>
        <w:rPr>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On April 29, 2023, the Company acquired 60 percent of LifeDNA, Inc. (“LifeDNA”), a DNA assessment company. Consideration paid included $4.0 million of cash, along with the conversion of a previous $3.0 million Simple Agreement for Future Equity (“SAFE”), and a $0.2 million convertible note. Due to the timing of the acquisition, the initial accounting for the acquisition is incomplete.  As such, the Company is not able to disclose certain information relating to the acquisition, including the preliminary fair value of assets acquired and liabilities assumed.</w:t>
      </w:r>
    </w:p>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Normal"/>
        <w:spacing w:before="0" w:after="0"/>
        <w:rPr>
          <w:sz w:val="4"/>
          <w:szCs w:val="4"/>
        </w:rPr>
      </w:pPr>
      <w:r>
        <w:rPr>
          <w:sz w:val="4"/>
          <w:szCs w:val="4"/>
        </w:rPr>
      </w:r>
      <w:bookmarkStart w:id="9" w:name="MANAGEMENTSDISCUSSIONANDA"/>
      <w:bookmarkStart w:id="10" w:name="MANAGEMENTSDISCUSSIONANDA"/>
      <w:bookmarkEnd w:id="10"/>
    </w:p>
    <w:tbl>
      <w:tblPr>
        <w:tblW w:w="10205" w:type="dxa"/>
        <w:jc w:val="left"/>
        <w:tblInd w:w="0" w:type="dxa"/>
        <w:tblCellMar>
          <w:top w:w="0" w:type="dxa"/>
          <w:left w:w="0" w:type="dxa"/>
          <w:bottom w:w="0" w:type="dxa"/>
          <w:right w:w="0" w:type="dxa"/>
        </w:tblCellMar>
      </w:tblPr>
      <w:tblGrid>
        <w:gridCol w:w="844"/>
        <w:gridCol w:w="9361"/>
      </w:tblGrid>
      <w:tr>
        <w:trPr/>
        <w:tc>
          <w:tcPr>
            <w:tcW w:w="844" w:type="dxa"/>
            <w:tcBorders/>
            <w:shd w:fill="auto" w:val="clear"/>
            <w:vAlign w:val="center"/>
          </w:tcPr>
          <w:p>
            <w:pPr>
              <w:pStyle w:val="TableContents"/>
              <w:spacing w:before="0" w:after="283"/>
              <w:rPr>
                <w:b/>
              </w:rPr>
            </w:pPr>
            <w:r>
              <w:rPr>
                <w:b/>
              </w:rPr>
              <w:t>ITEM 2.</w:t>
            </w:r>
          </w:p>
        </w:tc>
        <w:tc>
          <w:tcPr>
            <w:tcW w:w="9361" w:type="dxa"/>
            <w:tcBorders/>
            <w:shd w:fill="auto" w:val="clear"/>
            <w:vAlign w:val="center"/>
          </w:tcPr>
          <w:p>
            <w:pPr>
              <w:pStyle w:val="TableContents"/>
              <w:spacing w:before="0" w:after="0"/>
              <w:rPr>
                <w:b/>
                <w:u w:val="single"/>
              </w:rPr>
            </w:pPr>
            <w:r>
              <w:rPr>
                <w:b/>
                <w:u w:val="single"/>
              </w:rPr>
              <w:t>MANAGEMENT’S DISCUSSION AND ANALYSIS OF FINANCIAL CONDITION AND RESULTS OF OPERATIONS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 introductions and offerings, growth,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and beliefs regarding our markets and global economic conditions; statements regarding the payment of future dividends and stock repurchases; statements regarding the outcome of litigation, audits, investigations or other regulatory actions; statements regarding government policies and regulations relating to our industry, including government policies and regulations in Mainland China; accounting estimates and assumptions; statements of belief; and statements of assumptions underlying any of the foregoing. In some cases, you can identify these statements by forward-looking words such as “believe,” “expect,” “optimistic,”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the risk factors included in our Annual Report on Form 10-K for the 2022 fiscal year and in any of our subsequent Securities and Exchange Commission filings.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Management’s Discussion and Analysis should be read in conjunction with our consolidated financial statements and related notes and Management’s Discussion and Analysis included in our Annual Report on Form 10-K for the 2022 fiscal year, and our other reports filed with the Securities and Exchange Commission through the date of this Quarterly Report.</w:t>
      </w:r>
    </w:p>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Overview</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Revenue for the three-month period ended March 31, 2023 decreased 20% to $481.5 million, compared to $604.9 million in the prior-year period.  Our revenue in the first quarter of 2023 was negatively impacted 4% from foreign-currency fluctuations. Our Customers, Paid Affiliates and Sales Leaders declined 18%, 12% and 17%, respectively, on a year-over-year basis.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The declines for the three-month period ended March 31, 2023 were largely driven by the continued macroeconomic challenges we’ve been facing in our markets. We remain optimistic as we continue the product launch of our new personalized approach to weight management with </w:t>
      </w:r>
      <w:r>
        <w:rPr>
          <w:rFonts w:ascii="Times New Roman" w:hAnsi="Times New Roman"/>
          <w:i/>
          <w:color w:val="000000"/>
          <w:sz w:val="20"/>
        </w:rPr>
        <w:t xml:space="preserve">ageLOC TRMe </w:t>
      </w:r>
      <w:r>
        <w:rPr>
          <w:rFonts w:ascii="Times New Roman" w:hAnsi="Times New Roman"/>
          <w:color w:val="000000"/>
          <w:sz w:val="20"/>
        </w:rPr>
        <w:t>in several markets, along with our next smart connected device system, for which we plan to begin our launch process in the back half of the year.</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Earnings per share for the first quarter of 2023 decreased 70% to $0.23, compared to $0.76 in the prior-year period. The decrease in earnings per share for the quarter is primarily driven by the decline in revenue along with $9.8 million of restructuring charges.</w:t>
      </w:r>
    </w:p>
    <w:p>
      <w:pPr>
        <w:pStyle w:val="TextBody"/>
        <w:spacing w:before="0" w:after="0"/>
        <w:jc w:val="both"/>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b/>
          <w:color w:val="000000"/>
          <w:sz w:val="20"/>
        </w:rPr>
      </w:pPr>
      <w:r>
        <w:rPr>
          <w:rFonts w:ascii="Times New Roman" w:hAnsi="Times New Roman"/>
          <w:b/>
          <w:color w:val="000000"/>
          <w:sz w:val="20"/>
        </w:rPr>
        <w:t>Segment Results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report our business in nine segments to reflect our current management approach. These segments consist of our seven geographic Nu Skin segments—Americas, South Korea, Mainland China, Southeast Asia/Pacific, Japan, EMEA and Hong Kong/Taiwan —and our Rhyz Investment segments—Manufacturing and Rhyz other. The Nu Skin Other category includes miscellaneous corporate revenue and related adjustments.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sets forth revenue for the three-month periods ended March 31, 2023 and 2022 for each of our reportable segments (U.S. dollars in thousands):</w:t>
      </w:r>
    </w:p>
    <w:p>
      <w:pPr>
        <w:pStyle w:val="TextBody"/>
        <w:spacing w:before="0" w:after="0"/>
        <w:jc w:val="left"/>
        <w:rPr/>
      </w:pPr>
      <w:r>
        <w:rPr/>
      </w:r>
    </w:p>
    <w:tbl>
      <w:tblPr>
        <w:tblW w:w="7167" w:type="dxa"/>
        <w:jc w:val="left"/>
        <w:tblInd w:w="0" w:type="dxa"/>
        <w:tblCellMar>
          <w:top w:w="0" w:type="dxa"/>
          <w:left w:w="0" w:type="dxa"/>
          <w:bottom w:w="0" w:type="dxa"/>
          <w:right w:w="0" w:type="dxa"/>
        </w:tblCellMar>
      </w:tblPr>
      <w:tblGrid>
        <w:gridCol w:w="2225"/>
        <w:gridCol w:w="60"/>
        <w:gridCol w:w="152"/>
        <w:gridCol w:w="868"/>
        <w:gridCol w:w="103"/>
        <w:gridCol w:w="65"/>
        <w:gridCol w:w="152"/>
        <w:gridCol w:w="868"/>
        <w:gridCol w:w="60"/>
        <w:gridCol w:w="60"/>
        <w:gridCol w:w="78"/>
        <w:gridCol w:w="737"/>
        <w:gridCol w:w="290"/>
        <w:gridCol w:w="60"/>
        <w:gridCol w:w="103"/>
        <w:gridCol w:w="981"/>
        <w:gridCol w:w="305"/>
      </w:tblGrid>
      <w:tr>
        <w:trPr/>
        <w:tc>
          <w:tcPr>
            <w:tcW w:w="22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08"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0"/>
              <w:jc w:val="center"/>
              <w:rPr>
                <w:b/>
              </w:rPr>
            </w:pPr>
            <w:r>
              <w:rPr>
                <w:b/>
              </w:rPr>
              <w:t>Constant-</w:t>
            </w:r>
          </w:p>
          <w:p>
            <w:pPr>
              <w:pStyle w:val="TableContents"/>
              <w:spacing w:before="0" w:after="0"/>
              <w:jc w:val="center"/>
              <w:rPr>
                <w:b/>
              </w:rPr>
            </w:pPr>
            <w:r>
              <w:rPr>
                <w:b/>
              </w:rPr>
              <w:t>Currency</w:t>
            </w:r>
          </w:p>
        </w:tc>
        <w:tc>
          <w:tcPr>
            <w:tcW w:w="305" w:type="dxa"/>
            <w:tcBorders/>
            <w:shd w:fill="auto" w:val="clear"/>
            <w:vAlign w:val="bottom"/>
          </w:tcPr>
          <w:p>
            <w:pPr>
              <w:pStyle w:val="TableContents"/>
              <w:spacing w:before="0" w:after="283"/>
              <w:rPr/>
            </w:pPr>
            <w:r>
              <w:rPr/>
              <w:t> </w:t>
            </w:r>
          </w:p>
        </w:tc>
      </w:tr>
      <w:tr>
        <w:trPr/>
        <w:tc>
          <w:tcPr>
            <w:tcW w:w="22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2023</w:t>
            </w:r>
          </w:p>
        </w:tc>
        <w:tc>
          <w:tcPr>
            <w:tcW w:w="1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Change</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4" w:type="dxa"/>
            <w:gridSpan w:val="2"/>
            <w:tcBorders>
              <w:bottom w:val="single" w:sz="12" w:space="0" w:color="000000"/>
            </w:tcBorders>
            <w:shd w:fill="auto" w:val="clear"/>
            <w:tcMar>
              <w:bottom w:w="28" w:type="dxa"/>
            </w:tcMar>
            <w:vAlign w:val="bottom"/>
          </w:tcPr>
          <w:p>
            <w:pPr>
              <w:pStyle w:val="TableContents"/>
              <w:spacing w:lineRule="auto" w:line="240" w:before="0" w:after="0"/>
              <w:jc w:val="center"/>
              <w:rPr>
                <w:b/>
              </w:rPr>
            </w:pPr>
            <w:r>
              <w:rPr>
                <w:b/>
              </w:rPr>
              <w:t>Change(1)</w:t>
            </w:r>
          </w:p>
        </w:tc>
        <w:tc>
          <w:tcPr>
            <w:tcW w:w="305" w:type="dxa"/>
            <w:tcBorders/>
            <w:shd w:fill="auto" w:val="clear"/>
            <w:vAlign w:val="bottom"/>
          </w:tcPr>
          <w:p>
            <w:pPr>
              <w:pStyle w:val="TableContents"/>
              <w:spacing w:before="0" w:after="283"/>
              <w:rPr/>
            </w:pPr>
            <w:r>
              <w:rPr/>
              <w:t> </w:t>
            </w:r>
          </w:p>
        </w:tc>
      </w:tr>
      <w:tr>
        <w:trPr/>
        <w:tc>
          <w:tcPr>
            <w:tcW w:w="2225" w:type="dxa"/>
            <w:tcBorders/>
            <w:shd w:fill="auto" w:val="clear"/>
            <w:vAlign w:val="bottom"/>
          </w:tcPr>
          <w:p>
            <w:pPr>
              <w:pStyle w:val="TableContents"/>
              <w:spacing w:before="0" w:after="0"/>
              <w:ind w:left="144" w:right="0" w:hanging="144"/>
              <w:rPr>
                <w:i/>
              </w:rPr>
            </w:pPr>
            <w:r>
              <w:rPr>
                <w:i/>
              </w:rPr>
              <w:t>Nu Skin</w:t>
            </w:r>
          </w:p>
        </w:tc>
        <w:tc>
          <w:tcPr>
            <w:tcW w:w="60" w:type="dxa"/>
            <w:tcBorders/>
            <w:shd w:fill="auto" w:val="clear"/>
            <w:vAlign w:val="bottom"/>
          </w:tcPr>
          <w:p>
            <w:pPr>
              <w:pStyle w:val="TableContents"/>
              <w:spacing w:before="0" w:after="283"/>
              <w:rPr/>
            </w:pPr>
            <w:r>
              <w:rPr/>
              <w:t> </w:t>
            </w:r>
          </w:p>
        </w:tc>
        <w:tc>
          <w:tcPr>
            <w:tcW w:w="1020"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2225" w:type="dxa"/>
            <w:tcBorders/>
            <w:shd w:fill="CCEEFF" w:val="clear"/>
            <w:vAlign w:val="bottom"/>
          </w:tcPr>
          <w:p>
            <w:pPr>
              <w:pStyle w:val="TableContents"/>
              <w:spacing w:before="0" w:after="0"/>
              <w:ind w:left="504" w:right="0" w:hanging="144"/>
              <w:rPr/>
            </w:pPr>
            <w:r>
              <w:rPr/>
              <w:t>Americas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868" w:type="dxa"/>
            <w:tcBorders/>
            <w:shd w:fill="CCEEFF" w:val="clear"/>
            <w:vAlign w:val="bottom"/>
          </w:tcPr>
          <w:p>
            <w:pPr>
              <w:pStyle w:val="TableContents"/>
              <w:spacing w:before="0" w:after="0"/>
              <w:jc w:val="right"/>
              <w:rPr/>
            </w:pPr>
            <w:r>
              <w:rPr/>
              <w:t>101,157</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868" w:type="dxa"/>
            <w:tcBorders/>
            <w:shd w:fill="CCEEFF" w:val="clear"/>
            <w:vAlign w:val="bottom"/>
          </w:tcPr>
          <w:p>
            <w:pPr>
              <w:pStyle w:val="TableContents"/>
              <w:spacing w:before="0" w:after="0"/>
              <w:jc w:val="right"/>
              <w:rPr/>
            </w:pPr>
            <w:r>
              <w:rPr/>
              <w:t>123,580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0"/>
              <w:jc w:val="right"/>
              <w:rPr/>
            </w:pPr>
            <w:r>
              <w:rPr/>
              <w:t>(18</w:t>
            </w:r>
          </w:p>
        </w:tc>
        <w:tc>
          <w:tcPr>
            <w:tcW w:w="290"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0"/>
              <w:jc w:val="right"/>
              <w:rPr/>
            </w:pPr>
            <w:r>
              <w:rPr/>
              <w:t>(15</w:t>
            </w:r>
          </w:p>
        </w:tc>
        <w:tc>
          <w:tcPr>
            <w:tcW w:w="305" w:type="dxa"/>
            <w:tcBorders/>
            <w:shd w:fill="CCEEFF" w:val="clear"/>
            <w:vAlign w:val="bottom"/>
          </w:tcPr>
          <w:p>
            <w:pPr>
              <w:pStyle w:val="TableContents"/>
              <w:spacing w:before="0" w:after="0"/>
              <w:rPr/>
            </w:pPr>
            <w:r>
              <w:rPr/>
              <w:t>)%</w:t>
            </w:r>
          </w:p>
        </w:tc>
      </w:tr>
      <w:tr>
        <w:trPr/>
        <w:tc>
          <w:tcPr>
            <w:tcW w:w="2225" w:type="dxa"/>
            <w:tcBorders/>
            <w:shd w:fill="auto" w:val="clear"/>
            <w:vAlign w:val="bottom"/>
          </w:tcPr>
          <w:p>
            <w:pPr>
              <w:pStyle w:val="TableContents"/>
              <w:spacing w:before="0" w:after="0"/>
              <w:ind w:left="504" w:right="0" w:hanging="144"/>
              <w:rPr/>
            </w:pPr>
            <w:r>
              <w:rPr/>
              <w:t>South Korea</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0"/>
              <w:jc w:val="right"/>
              <w:rPr/>
            </w:pPr>
            <w:r>
              <w:rPr/>
              <w:t>70,324</w:t>
            </w:r>
          </w:p>
        </w:tc>
        <w:tc>
          <w:tcPr>
            <w:tcW w:w="1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0"/>
              <w:jc w:val="right"/>
              <w:rPr/>
            </w:pPr>
            <w:r>
              <w:rPr/>
              <w:t>72,133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0"/>
              <w:jc w:val="right"/>
              <w:rPr/>
            </w:pPr>
            <w:r>
              <w:rPr/>
              <w:t>(3</w:t>
            </w:r>
          </w:p>
        </w:tc>
        <w:tc>
          <w:tcPr>
            <w:tcW w:w="290"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0"/>
              <w:jc w:val="right"/>
              <w:rPr/>
            </w:pPr>
            <w:r>
              <w:rPr/>
              <w:t>3</w:t>
            </w:r>
          </w:p>
        </w:tc>
        <w:tc>
          <w:tcPr>
            <w:tcW w:w="305" w:type="dxa"/>
            <w:tcBorders/>
            <w:shd w:fill="auto" w:val="clear"/>
            <w:vAlign w:val="bottom"/>
          </w:tcPr>
          <w:p>
            <w:pPr>
              <w:pStyle w:val="TableContents"/>
              <w:spacing w:before="0" w:after="0"/>
              <w:rPr/>
            </w:pPr>
            <w:r>
              <w:rPr/>
              <w:t>%</w:t>
            </w:r>
          </w:p>
        </w:tc>
      </w:tr>
      <w:tr>
        <w:trPr/>
        <w:tc>
          <w:tcPr>
            <w:tcW w:w="2225" w:type="dxa"/>
            <w:tcBorders/>
            <w:shd w:fill="CCEEFF" w:val="clear"/>
            <w:vAlign w:val="bottom"/>
          </w:tcPr>
          <w:p>
            <w:pPr>
              <w:pStyle w:val="TableContents"/>
              <w:spacing w:before="0" w:after="0"/>
              <w:ind w:left="504" w:right="0" w:hanging="144"/>
              <w:rPr/>
            </w:pPr>
            <w:r>
              <w:rPr/>
              <w:t>Mainland China</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67,976</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124,495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0"/>
              <w:jc w:val="right"/>
              <w:rPr/>
            </w:pPr>
            <w:r>
              <w:rPr/>
              <w:t>(45</w:t>
            </w:r>
          </w:p>
        </w:tc>
        <w:tc>
          <w:tcPr>
            <w:tcW w:w="290"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0"/>
              <w:jc w:val="right"/>
              <w:rPr/>
            </w:pPr>
            <w:r>
              <w:rPr/>
              <w:t>(41</w:t>
            </w:r>
          </w:p>
        </w:tc>
        <w:tc>
          <w:tcPr>
            <w:tcW w:w="305" w:type="dxa"/>
            <w:tcBorders/>
            <w:shd w:fill="CCEEFF" w:val="clear"/>
            <w:vAlign w:val="bottom"/>
          </w:tcPr>
          <w:p>
            <w:pPr>
              <w:pStyle w:val="TableContents"/>
              <w:spacing w:before="0" w:after="0"/>
              <w:rPr/>
            </w:pPr>
            <w:r>
              <w:rPr/>
              <w:t>)%</w:t>
            </w:r>
          </w:p>
        </w:tc>
      </w:tr>
      <w:tr>
        <w:trPr/>
        <w:tc>
          <w:tcPr>
            <w:tcW w:w="2225" w:type="dxa"/>
            <w:tcBorders/>
            <w:shd w:fill="auto" w:val="clear"/>
            <w:vAlign w:val="bottom"/>
          </w:tcPr>
          <w:p>
            <w:pPr>
              <w:pStyle w:val="TableContents"/>
              <w:spacing w:before="0" w:after="0"/>
              <w:ind w:left="504" w:right="0" w:hanging="144"/>
              <w:rPr/>
            </w:pPr>
            <w:r>
              <w:rPr/>
              <w:t>Southeast Asia/Pacific</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0"/>
              <w:jc w:val="right"/>
              <w:rPr/>
            </w:pPr>
            <w:r>
              <w:rPr/>
              <w:t>67,810</w:t>
            </w:r>
          </w:p>
        </w:tc>
        <w:tc>
          <w:tcPr>
            <w:tcW w:w="1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0"/>
              <w:jc w:val="right"/>
              <w:rPr/>
            </w:pPr>
            <w:r>
              <w:rPr/>
              <w:t>90,236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0"/>
              <w:jc w:val="right"/>
              <w:rPr/>
            </w:pPr>
            <w:r>
              <w:rPr/>
              <w:t>(25</w:t>
            </w:r>
          </w:p>
        </w:tc>
        <w:tc>
          <w:tcPr>
            <w:tcW w:w="290"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0"/>
              <w:jc w:val="right"/>
              <w:rPr/>
            </w:pPr>
            <w:r>
              <w:rPr/>
              <w:t>(21</w:t>
            </w:r>
          </w:p>
        </w:tc>
        <w:tc>
          <w:tcPr>
            <w:tcW w:w="305" w:type="dxa"/>
            <w:tcBorders/>
            <w:shd w:fill="auto" w:val="clear"/>
            <w:vAlign w:val="bottom"/>
          </w:tcPr>
          <w:p>
            <w:pPr>
              <w:pStyle w:val="TableContents"/>
              <w:spacing w:before="0" w:after="0"/>
              <w:rPr/>
            </w:pPr>
            <w:r>
              <w:rPr/>
              <w:t>)%</w:t>
            </w:r>
          </w:p>
        </w:tc>
      </w:tr>
      <w:tr>
        <w:trPr/>
        <w:tc>
          <w:tcPr>
            <w:tcW w:w="2225" w:type="dxa"/>
            <w:tcBorders/>
            <w:shd w:fill="CCEEFF" w:val="clear"/>
            <w:vAlign w:val="bottom"/>
          </w:tcPr>
          <w:p>
            <w:pPr>
              <w:pStyle w:val="TableContents"/>
              <w:spacing w:before="0" w:after="0"/>
              <w:ind w:left="504" w:right="0" w:hanging="144"/>
              <w:rPr/>
            </w:pPr>
            <w:r>
              <w:rPr/>
              <w:t>Japan</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52,606</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61,791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0"/>
              <w:jc w:val="right"/>
              <w:rPr/>
            </w:pPr>
            <w:r>
              <w:rPr/>
              <w:t>(15</w:t>
            </w:r>
          </w:p>
        </w:tc>
        <w:tc>
          <w:tcPr>
            <w:tcW w:w="290"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0"/>
              <w:jc w:val="right"/>
              <w:rPr/>
            </w:pPr>
            <w:r>
              <w:rPr/>
              <w:t>(3</w:t>
            </w:r>
          </w:p>
        </w:tc>
        <w:tc>
          <w:tcPr>
            <w:tcW w:w="305" w:type="dxa"/>
            <w:tcBorders/>
            <w:shd w:fill="CCEEFF" w:val="clear"/>
            <w:vAlign w:val="bottom"/>
          </w:tcPr>
          <w:p>
            <w:pPr>
              <w:pStyle w:val="TableContents"/>
              <w:spacing w:before="0" w:after="0"/>
              <w:rPr/>
            </w:pPr>
            <w:r>
              <w:rPr/>
              <w:t>)%</w:t>
            </w:r>
          </w:p>
        </w:tc>
      </w:tr>
      <w:tr>
        <w:trPr/>
        <w:tc>
          <w:tcPr>
            <w:tcW w:w="2225" w:type="dxa"/>
            <w:tcBorders/>
            <w:shd w:fill="auto" w:val="clear"/>
            <w:vAlign w:val="bottom"/>
          </w:tcPr>
          <w:p>
            <w:pPr>
              <w:pStyle w:val="TableContents"/>
              <w:spacing w:before="0" w:after="0"/>
              <w:ind w:left="504" w:right="0" w:hanging="144"/>
              <w:rPr/>
            </w:pPr>
            <w:r>
              <w:rPr/>
              <w:t>EMEA</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0"/>
              <w:jc w:val="right"/>
              <w:rPr/>
            </w:pPr>
            <w:r>
              <w:rPr/>
              <w:t>47,444</w:t>
            </w:r>
          </w:p>
        </w:tc>
        <w:tc>
          <w:tcPr>
            <w:tcW w:w="1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0"/>
              <w:jc w:val="right"/>
              <w:rPr/>
            </w:pPr>
            <w:r>
              <w:rPr/>
              <w:t>52,968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0"/>
              <w:jc w:val="right"/>
              <w:rPr/>
            </w:pPr>
            <w:r>
              <w:rPr/>
              <w:t>(10</w:t>
            </w:r>
          </w:p>
        </w:tc>
        <w:tc>
          <w:tcPr>
            <w:tcW w:w="290"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0"/>
              <w:jc w:val="right"/>
              <w:rPr/>
            </w:pPr>
            <w:r>
              <w:rPr/>
              <w:t>(6</w:t>
            </w:r>
          </w:p>
        </w:tc>
        <w:tc>
          <w:tcPr>
            <w:tcW w:w="305" w:type="dxa"/>
            <w:tcBorders/>
            <w:shd w:fill="auto" w:val="clear"/>
            <w:vAlign w:val="bottom"/>
          </w:tcPr>
          <w:p>
            <w:pPr>
              <w:pStyle w:val="TableContents"/>
              <w:spacing w:before="0" w:after="0"/>
              <w:rPr/>
            </w:pPr>
            <w:r>
              <w:rPr/>
              <w:t>)%</w:t>
            </w:r>
          </w:p>
        </w:tc>
      </w:tr>
      <w:tr>
        <w:trPr/>
        <w:tc>
          <w:tcPr>
            <w:tcW w:w="2225" w:type="dxa"/>
            <w:tcBorders/>
            <w:shd w:fill="CCEEFF" w:val="clear"/>
            <w:vAlign w:val="bottom"/>
          </w:tcPr>
          <w:p>
            <w:pPr>
              <w:pStyle w:val="TableContents"/>
              <w:spacing w:before="0" w:after="0"/>
              <w:ind w:left="504" w:right="0" w:hanging="144"/>
              <w:rPr/>
            </w:pPr>
            <w:r>
              <w:rPr/>
              <w:t>Hong Kong/Taiwan</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34,548</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38,494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0"/>
              <w:jc w:val="right"/>
              <w:rPr/>
            </w:pPr>
            <w:r>
              <w:rPr/>
              <w:t>(10</w:t>
            </w:r>
          </w:p>
        </w:tc>
        <w:tc>
          <w:tcPr>
            <w:tcW w:w="290"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0"/>
              <w:jc w:val="right"/>
              <w:rPr/>
            </w:pPr>
            <w:r>
              <w:rPr/>
              <w:t>(5</w:t>
            </w:r>
          </w:p>
        </w:tc>
        <w:tc>
          <w:tcPr>
            <w:tcW w:w="305" w:type="dxa"/>
            <w:tcBorders/>
            <w:shd w:fill="CCEEFF" w:val="clear"/>
            <w:vAlign w:val="bottom"/>
          </w:tcPr>
          <w:p>
            <w:pPr>
              <w:pStyle w:val="TableContents"/>
              <w:spacing w:before="0" w:after="0"/>
              <w:rPr/>
            </w:pPr>
            <w:r>
              <w:rPr/>
              <w:t>)%</w:t>
            </w:r>
          </w:p>
        </w:tc>
      </w:tr>
      <w:tr>
        <w:trPr/>
        <w:tc>
          <w:tcPr>
            <w:tcW w:w="2225" w:type="dxa"/>
            <w:tcBorders/>
            <w:shd w:fill="auto" w:val="clear"/>
            <w:vAlign w:val="bottom"/>
          </w:tcPr>
          <w:p>
            <w:pPr>
              <w:pStyle w:val="TableContents"/>
              <w:spacing w:before="0" w:after="0"/>
              <w:ind w:left="504" w:right="0" w:hanging="144"/>
              <w:rPr/>
            </w:pPr>
            <w:r>
              <w:rPr/>
              <w:t>Other</w:t>
            </w:r>
          </w:p>
        </w:tc>
        <w:tc>
          <w:tcPr>
            <w:tcW w:w="60" w:type="dxa"/>
            <w:tcBorders/>
            <w:shd w:fill="auto" w:val="clear"/>
            <w:vAlign w:val="bottom"/>
          </w:tcPr>
          <w:p>
            <w:pPr>
              <w:pStyle w:val="TableContents"/>
              <w:spacing w:before="0" w:after="283"/>
              <w:rPr/>
            </w:pPr>
            <w:r>
              <w:rPr/>
              <w:t> </w:t>
            </w:r>
          </w:p>
        </w:tc>
        <w:tc>
          <w:tcPr>
            <w:tcW w:w="152" w:type="dxa"/>
            <w:tcBorders>
              <w:bottom w:val="single" w:sz="12" w:space="0" w:color="000000"/>
            </w:tcBorders>
            <w:shd w:fill="auto" w:val="clear"/>
            <w:tcMar>
              <w:bottom w:w="28" w:type="dxa"/>
            </w:tcMar>
            <w:vAlign w:val="bottom"/>
          </w:tcPr>
          <w:p>
            <w:pPr>
              <w:pStyle w:val="TableContents"/>
              <w:spacing w:before="0" w:after="283"/>
              <w:rPr/>
            </w:pPr>
            <w:r>
              <w:rPr/>
              <w:t> </w:t>
            </w:r>
          </w:p>
        </w:tc>
        <w:tc>
          <w:tcPr>
            <w:tcW w:w="868" w:type="dxa"/>
            <w:tcBorders>
              <w:bottom w:val="single" w:sz="12" w:space="0" w:color="000000"/>
            </w:tcBorders>
            <w:shd w:fill="auto" w:val="clear"/>
            <w:tcMar>
              <w:bottom w:w="28" w:type="dxa"/>
            </w:tcMar>
            <w:vAlign w:val="bottom"/>
          </w:tcPr>
          <w:p>
            <w:pPr>
              <w:pStyle w:val="TableContents"/>
              <w:spacing w:before="0" w:after="0"/>
              <w:jc w:val="right"/>
              <w:rPr/>
            </w:pPr>
            <w:r>
              <w:rPr/>
              <w:t>(115</w:t>
            </w:r>
          </w:p>
        </w:tc>
        <w:tc>
          <w:tcPr>
            <w:tcW w:w="103" w:type="dxa"/>
            <w:tcBorders/>
            <w:shd w:fill="auto" w:val="clear"/>
            <w:vAlign w:val="bottom"/>
          </w:tcPr>
          <w:p>
            <w:pPr>
              <w:pStyle w:val="TableContents"/>
              <w:spacing w:before="0" w:after="0"/>
              <w:rPr/>
            </w:pPr>
            <w:r>
              <w:rPr/>
              <w:t>)</w:t>
            </w:r>
          </w:p>
        </w:tc>
        <w:tc>
          <w:tcPr>
            <w:tcW w:w="65" w:type="dxa"/>
            <w:tcBorders/>
            <w:shd w:fill="auto" w:val="clear"/>
            <w:vAlign w:val="bottom"/>
          </w:tcPr>
          <w:p>
            <w:pPr>
              <w:pStyle w:val="TableContents"/>
              <w:spacing w:before="0" w:after="283"/>
              <w:rPr/>
            </w:pPr>
            <w:r>
              <w:rPr/>
              <w:t> </w:t>
            </w:r>
          </w:p>
        </w:tc>
        <w:tc>
          <w:tcPr>
            <w:tcW w:w="152" w:type="dxa"/>
            <w:tcBorders>
              <w:bottom w:val="single" w:sz="12" w:space="0" w:color="000000"/>
            </w:tcBorders>
            <w:shd w:fill="auto" w:val="clear"/>
            <w:tcMar>
              <w:bottom w:w="28" w:type="dxa"/>
            </w:tcMar>
            <w:vAlign w:val="bottom"/>
          </w:tcPr>
          <w:p>
            <w:pPr>
              <w:pStyle w:val="TableContents"/>
              <w:spacing w:before="0" w:after="283"/>
              <w:rPr/>
            </w:pPr>
            <w:r>
              <w:rPr/>
              <w:t> </w:t>
            </w:r>
          </w:p>
        </w:tc>
        <w:tc>
          <w:tcPr>
            <w:tcW w:w="868" w:type="dxa"/>
            <w:tcBorders>
              <w:bottom w:val="single" w:sz="12" w:space="0" w:color="000000"/>
            </w:tcBorders>
            <w:shd w:fill="auto" w:val="clear"/>
            <w:tcMar>
              <w:bottom w:w="28" w:type="dxa"/>
            </w:tcMar>
            <w:vAlign w:val="bottom"/>
          </w:tcPr>
          <w:p>
            <w:pPr>
              <w:pStyle w:val="TableContents"/>
              <w:spacing w:before="0" w:after="0"/>
              <w:jc w:val="right"/>
              <w:rPr/>
            </w:pPr>
            <w:r>
              <w:rPr/>
              <w:t>620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0"/>
              <w:jc w:val="right"/>
              <w:rPr/>
            </w:pPr>
            <w:r>
              <w:rPr/>
              <w:t>(119</w:t>
            </w:r>
          </w:p>
        </w:tc>
        <w:tc>
          <w:tcPr>
            <w:tcW w:w="290"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0"/>
              <w:jc w:val="right"/>
              <w:rPr/>
            </w:pPr>
            <w:r>
              <w:rPr/>
              <w:t>(119</w:t>
            </w:r>
          </w:p>
        </w:tc>
        <w:tc>
          <w:tcPr>
            <w:tcW w:w="305" w:type="dxa"/>
            <w:tcBorders/>
            <w:shd w:fill="auto" w:val="clear"/>
            <w:vAlign w:val="bottom"/>
          </w:tcPr>
          <w:p>
            <w:pPr>
              <w:pStyle w:val="TableContents"/>
              <w:spacing w:before="0" w:after="0"/>
              <w:rPr/>
            </w:pPr>
            <w:r>
              <w:rPr/>
              <w:t>)%</w:t>
            </w:r>
          </w:p>
        </w:tc>
      </w:tr>
      <w:tr>
        <w:trPr/>
        <w:tc>
          <w:tcPr>
            <w:tcW w:w="2225" w:type="dxa"/>
            <w:tcBorders/>
            <w:shd w:fill="CCEEFF" w:val="clear"/>
            <w:vAlign w:val="bottom"/>
          </w:tcPr>
          <w:p>
            <w:pPr>
              <w:pStyle w:val="TableContents"/>
              <w:spacing w:before="0" w:after="0"/>
              <w:ind w:left="144" w:right="0" w:hanging="144"/>
              <w:rPr>
                <w:i/>
              </w:rPr>
            </w:pPr>
            <w:r>
              <w:rPr>
                <w:i/>
              </w:rPr>
              <w:t>Total Nu Skin</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441,750</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564,317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0"/>
              <w:jc w:val="right"/>
              <w:rPr/>
            </w:pPr>
            <w:r>
              <w:rPr/>
              <w:t>(22</w:t>
            </w:r>
          </w:p>
        </w:tc>
        <w:tc>
          <w:tcPr>
            <w:tcW w:w="290"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0"/>
              <w:jc w:val="right"/>
              <w:rPr/>
            </w:pPr>
            <w:r>
              <w:rPr/>
              <w:t>(17</w:t>
            </w:r>
          </w:p>
        </w:tc>
        <w:tc>
          <w:tcPr>
            <w:tcW w:w="305" w:type="dxa"/>
            <w:tcBorders/>
            <w:shd w:fill="CCEEFF" w:val="clear"/>
            <w:vAlign w:val="bottom"/>
          </w:tcPr>
          <w:p>
            <w:pPr>
              <w:pStyle w:val="TableContents"/>
              <w:spacing w:before="0" w:after="0"/>
              <w:rPr/>
            </w:pPr>
            <w:r>
              <w:rPr/>
              <w:t>)%</w:t>
            </w:r>
          </w:p>
        </w:tc>
      </w:tr>
      <w:tr>
        <w:trPr/>
        <w:tc>
          <w:tcPr>
            <w:tcW w:w="2225" w:type="dxa"/>
            <w:tcBorders/>
            <w:shd w:fill="auto" w:val="clear"/>
            <w:vAlign w:val="bottom"/>
          </w:tcPr>
          <w:p>
            <w:pPr>
              <w:pStyle w:val="TableContents"/>
              <w:spacing w:before="0" w:after="0"/>
              <w:ind w:left="144" w:right="0" w:hanging="144"/>
              <w:rPr>
                <w:i/>
              </w:rPr>
            </w:pPr>
            <w:r>
              <w:rPr>
                <w:i/>
              </w:rPr>
              <w:t>Rhyz Investments</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 </w:t>
            </w:r>
          </w:p>
        </w:tc>
        <w:tc>
          <w:tcPr>
            <w:tcW w:w="305" w:type="dxa"/>
            <w:tcBorders/>
            <w:shd w:fill="auto" w:val="clear"/>
            <w:vAlign w:val="bottom"/>
          </w:tcPr>
          <w:p>
            <w:pPr>
              <w:pStyle w:val="TableContents"/>
              <w:spacing w:before="0" w:after="283"/>
              <w:rPr/>
            </w:pPr>
            <w:r>
              <w:rPr/>
              <w:t> </w:t>
            </w:r>
          </w:p>
        </w:tc>
      </w:tr>
      <w:tr>
        <w:trPr/>
        <w:tc>
          <w:tcPr>
            <w:tcW w:w="2225" w:type="dxa"/>
            <w:tcBorders/>
            <w:shd w:fill="CCEEFF" w:val="clear"/>
            <w:vAlign w:val="bottom"/>
          </w:tcPr>
          <w:p>
            <w:pPr>
              <w:pStyle w:val="TableContents"/>
              <w:spacing w:before="0" w:after="0"/>
              <w:ind w:left="504" w:right="0" w:hanging="144"/>
              <w:rPr/>
            </w:pPr>
            <w:r>
              <w:rPr/>
              <w:t>Manufacturing</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35,767</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40,341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0"/>
              <w:jc w:val="right"/>
              <w:rPr/>
            </w:pPr>
            <w:r>
              <w:rPr/>
              <w:t>(11</w:t>
            </w:r>
          </w:p>
        </w:tc>
        <w:tc>
          <w:tcPr>
            <w:tcW w:w="290"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0"/>
              <w:jc w:val="right"/>
              <w:rPr/>
            </w:pPr>
            <w:r>
              <w:rPr/>
              <w:t>(11</w:t>
            </w:r>
          </w:p>
        </w:tc>
        <w:tc>
          <w:tcPr>
            <w:tcW w:w="305" w:type="dxa"/>
            <w:tcBorders/>
            <w:shd w:fill="CCEEFF" w:val="clear"/>
            <w:vAlign w:val="bottom"/>
          </w:tcPr>
          <w:p>
            <w:pPr>
              <w:pStyle w:val="TableContents"/>
              <w:spacing w:before="0" w:after="0"/>
              <w:rPr/>
            </w:pPr>
            <w:r>
              <w:rPr/>
              <w:t>)%</w:t>
            </w:r>
          </w:p>
        </w:tc>
      </w:tr>
      <w:tr>
        <w:trPr/>
        <w:tc>
          <w:tcPr>
            <w:tcW w:w="2225" w:type="dxa"/>
            <w:tcBorders/>
            <w:shd w:fill="auto" w:val="clear"/>
            <w:vAlign w:val="bottom"/>
          </w:tcPr>
          <w:p>
            <w:pPr>
              <w:pStyle w:val="TableContents"/>
              <w:spacing w:before="0" w:after="0"/>
              <w:ind w:left="504" w:right="0" w:hanging="144"/>
              <w:rPr/>
            </w:pPr>
            <w:r>
              <w:rPr/>
              <w:t>Rhyz other</w:t>
            </w:r>
          </w:p>
        </w:tc>
        <w:tc>
          <w:tcPr>
            <w:tcW w:w="60" w:type="dxa"/>
            <w:tcBorders/>
            <w:shd w:fill="auto" w:val="clear"/>
            <w:vAlign w:val="bottom"/>
          </w:tcPr>
          <w:p>
            <w:pPr>
              <w:pStyle w:val="TableContents"/>
              <w:spacing w:before="0" w:after="283"/>
              <w:rPr/>
            </w:pPr>
            <w:r>
              <w:rPr/>
              <w:t> </w:t>
            </w:r>
          </w:p>
        </w:tc>
        <w:tc>
          <w:tcPr>
            <w:tcW w:w="152" w:type="dxa"/>
            <w:tcBorders>
              <w:bottom w:val="single" w:sz="12" w:space="0" w:color="000000"/>
            </w:tcBorders>
            <w:shd w:fill="auto" w:val="clear"/>
            <w:tcMar>
              <w:bottom w:w="28" w:type="dxa"/>
            </w:tcMar>
            <w:vAlign w:val="bottom"/>
          </w:tcPr>
          <w:p>
            <w:pPr>
              <w:pStyle w:val="TableContents"/>
              <w:spacing w:before="0" w:after="283"/>
              <w:rPr/>
            </w:pPr>
            <w:r>
              <w:rPr/>
              <w:t> </w:t>
            </w:r>
          </w:p>
        </w:tc>
        <w:tc>
          <w:tcPr>
            <w:tcW w:w="868" w:type="dxa"/>
            <w:tcBorders>
              <w:bottom w:val="single" w:sz="12" w:space="0" w:color="000000"/>
            </w:tcBorders>
            <w:shd w:fill="auto" w:val="clear"/>
            <w:tcMar>
              <w:bottom w:w="28" w:type="dxa"/>
            </w:tcMar>
            <w:vAlign w:val="bottom"/>
          </w:tcPr>
          <w:p>
            <w:pPr>
              <w:pStyle w:val="TableContents"/>
              <w:spacing w:before="0" w:after="0"/>
              <w:jc w:val="right"/>
              <w:rPr/>
            </w:pPr>
            <w:r>
              <w:rPr/>
              <w:t>3,945</w:t>
            </w:r>
          </w:p>
        </w:tc>
        <w:tc>
          <w:tcPr>
            <w:tcW w:w="1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2" w:type="dxa"/>
            <w:tcBorders>
              <w:bottom w:val="single" w:sz="12" w:space="0" w:color="000000"/>
            </w:tcBorders>
            <w:shd w:fill="auto" w:val="clear"/>
            <w:tcMar>
              <w:bottom w:w="28" w:type="dxa"/>
            </w:tcMar>
            <w:vAlign w:val="bottom"/>
          </w:tcPr>
          <w:p>
            <w:pPr>
              <w:pStyle w:val="TableContents"/>
              <w:spacing w:before="0" w:after="283"/>
              <w:rPr/>
            </w:pPr>
            <w:r>
              <w:rPr/>
              <w:t> </w:t>
            </w:r>
          </w:p>
        </w:tc>
        <w:tc>
          <w:tcPr>
            <w:tcW w:w="868" w:type="dxa"/>
            <w:tcBorders>
              <w:bottom w:val="single" w:sz="12" w:space="0" w:color="000000"/>
            </w:tcBorders>
            <w:shd w:fill="auto" w:val="clear"/>
            <w:tcMar>
              <w:bottom w:w="28" w:type="dxa"/>
            </w:tcMar>
            <w:vAlign w:val="bottom"/>
          </w:tcPr>
          <w:p>
            <w:pPr>
              <w:pStyle w:val="TableContents"/>
              <w:spacing w:before="0" w:after="0"/>
              <w:jc w:val="right"/>
              <w:rPr/>
            </w:pPr>
            <w:r>
              <w:rPr/>
              <w:t>241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0"/>
              <w:jc w:val="right"/>
              <w:rPr/>
            </w:pPr>
            <w:r>
              <w:rPr/>
              <w:t>1,537</w:t>
            </w:r>
          </w:p>
        </w:tc>
        <w:tc>
          <w:tcPr>
            <w:tcW w:w="290"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0"/>
              <w:jc w:val="right"/>
              <w:rPr/>
            </w:pPr>
            <w:r>
              <w:rPr/>
              <w:t>1,537</w:t>
            </w:r>
          </w:p>
        </w:tc>
        <w:tc>
          <w:tcPr>
            <w:tcW w:w="305" w:type="dxa"/>
            <w:tcBorders/>
            <w:shd w:fill="auto" w:val="clear"/>
            <w:vAlign w:val="bottom"/>
          </w:tcPr>
          <w:p>
            <w:pPr>
              <w:pStyle w:val="TableContents"/>
              <w:spacing w:before="0" w:after="0"/>
              <w:rPr/>
            </w:pPr>
            <w:r>
              <w:rPr/>
              <w:t>%</w:t>
            </w:r>
          </w:p>
        </w:tc>
      </w:tr>
      <w:tr>
        <w:trPr/>
        <w:tc>
          <w:tcPr>
            <w:tcW w:w="2225" w:type="dxa"/>
            <w:tcBorders/>
            <w:shd w:fill="CCEEFF" w:val="clear"/>
            <w:vAlign w:val="bottom"/>
          </w:tcPr>
          <w:p>
            <w:pPr>
              <w:pStyle w:val="TableContents"/>
              <w:spacing w:before="0" w:after="0"/>
              <w:ind w:left="144" w:right="0" w:hanging="144"/>
              <w:rPr>
                <w:i/>
              </w:rPr>
            </w:pPr>
            <w:r>
              <w:rPr>
                <w:i/>
              </w:rPr>
              <w:t>Total Rhyz Investments</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68" w:type="dxa"/>
            <w:tcBorders>
              <w:bottom w:val="single" w:sz="12" w:space="0" w:color="000000"/>
            </w:tcBorders>
            <w:shd w:fill="CCEEFF" w:val="clear"/>
            <w:tcMar>
              <w:bottom w:w="28" w:type="dxa"/>
            </w:tcMar>
            <w:vAlign w:val="bottom"/>
          </w:tcPr>
          <w:p>
            <w:pPr>
              <w:pStyle w:val="TableContents"/>
              <w:spacing w:before="0" w:after="0"/>
              <w:jc w:val="right"/>
              <w:rPr/>
            </w:pPr>
            <w:r>
              <w:rPr/>
              <w:t>39,712</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68" w:type="dxa"/>
            <w:tcBorders>
              <w:bottom w:val="single" w:sz="12" w:space="0" w:color="000000"/>
            </w:tcBorders>
            <w:shd w:fill="CCEEFF" w:val="clear"/>
            <w:tcMar>
              <w:bottom w:w="28" w:type="dxa"/>
            </w:tcMar>
            <w:vAlign w:val="bottom"/>
          </w:tcPr>
          <w:p>
            <w:pPr>
              <w:pStyle w:val="TableContents"/>
              <w:spacing w:before="0" w:after="0"/>
              <w:jc w:val="right"/>
              <w:rPr/>
            </w:pPr>
            <w:r>
              <w:rPr/>
              <w:t>40,582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0"/>
              <w:jc w:val="right"/>
              <w:rPr/>
            </w:pPr>
            <w:r>
              <w:rPr/>
              <w:t>(2</w:t>
            </w:r>
          </w:p>
        </w:tc>
        <w:tc>
          <w:tcPr>
            <w:tcW w:w="290"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0"/>
              <w:jc w:val="right"/>
              <w:rPr/>
            </w:pPr>
            <w:r>
              <w:rPr/>
              <w:t>(2</w:t>
            </w:r>
          </w:p>
        </w:tc>
        <w:tc>
          <w:tcPr>
            <w:tcW w:w="305" w:type="dxa"/>
            <w:tcBorders/>
            <w:shd w:fill="CCEEFF" w:val="clear"/>
            <w:vAlign w:val="bottom"/>
          </w:tcPr>
          <w:p>
            <w:pPr>
              <w:pStyle w:val="TableContents"/>
              <w:spacing w:before="0" w:after="0"/>
              <w:rPr/>
            </w:pPr>
            <w:r>
              <w:rPr/>
              <w:t>)%</w:t>
            </w:r>
          </w:p>
        </w:tc>
      </w:tr>
      <w:tr>
        <w:trPr/>
        <w:tc>
          <w:tcPr>
            <w:tcW w:w="2225" w:type="dxa"/>
            <w:tcBorders/>
            <w:shd w:fill="auto" w:val="clear"/>
            <w:vAlign w:val="bottom"/>
          </w:tcPr>
          <w:p>
            <w:pPr>
              <w:pStyle w:val="TableContents"/>
              <w:spacing w:before="0" w:after="0"/>
              <w:ind w:left="324" w:right="0" w:hanging="144"/>
              <w:rPr/>
            </w:pPr>
            <w:r>
              <w:rPr/>
              <w:t>Total</w:t>
            </w:r>
          </w:p>
        </w:tc>
        <w:tc>
          <w:tcPr>
            <w:tcW w:w="60" w:type="dxa"/>
            <w:tcBorders/>
            <w:shd w:fill="auto" w:val="clear"/>
            <w:vAlign w:val="bottom"/>
          </w:tcPr>
          <w:p>
            <w:pPr>
              <w:pStyle w:val="TableContents"/>
              <w:spacing w:before="0" w:after="283"/>
              <w:rPr/>
            </w:pPr>
            <w:r>
              <w:rPr/>
              <w:t> </w:t>
            </w:r>
          </w:p>
        </w:tc>
        <w:tc>
          <w:tcPr>
            <w:tcW w:w="152" w:type="dxa"/>
            <w:tcBorders>
              <w:bottom w:val="single" w:sz="12" w:space="0" w:color="000000"/>
            </w:tcBorders>
            <w:shd w:fill="auto" w:val="clear"/>
            <w:tcMar>
              <w:bottom w:w="28" w:type="dxa"/>
            </w:tcMar>
            <w:vAlign w:val="bottom"/>
          </w:tcPr>
          <w:p>
            <w:pPr>
              <w:pStyle w:val="TableContents"/>
              <w:spacing w:before="0" w:after="0"/>
              <w:rPr/>
            </w:pPr>
            <w:r>
              <w:rPr/>
              <w:t>$</w:t>
            </w:r>
          </w:p>
        </w:tc>
        <w:tc>
          <w:tcPr>
            <w:tcW w:w="868" w:type="dxa"/>
            <w:tcBorders>
              <w:bottom w:val="single" w:sz="12" w:space="0" w:color="000000"/>
            </w:tcBorders>
            <w:shd w:fill="auto" w:val="clear"/>
            <w:tcMar>
              <w:bottom w:w="28" w:type="dxa"/>
            </w:tcMar>
            <w:vAlign w:val="bottom"/>
          </w:tcPr>
          <w:p>
            <w:pPr>
              <w:pStyle w:val="TableContents"/>
              <w:spacing w:before="0" w:after="0"/>
              <w:jc w:val="right"/>
              <w:rPr/>
            </w:pPr>
            <w:r>
              <w:rPr/>
              <w:t>481,462</w:t>
            </w:r>
          </w:p>
        </w:tc>
        <w:tc>
          <w:tcPr>
            <w:tcW w:w="1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2" w:type="dxa"/>
            <w:tcBorders>
              <w:bottom w:val="single" w:sz="12" w:space="0" w:color="000000"/>
            </w:tcBorders>
            <w:shd w:fill="auto" w:val="clear"/>
            <w:tcMar>
              <w:bottom w:w="28" w:type="dxa"/>
            </w:tcMar>
            <w:vAlign w:val="bottom"/>
          </w:tcPr>
          <w:p>
            <w:pPr>
              <w:pStyle w:val="TableContents"/>
              <w:spacing w:before="0" w:after="0"/>
              <w:rPr/>
            </w:pPr>
            <w:r>
              <w:rPr/>
              <w:t>$</w:t>
            </w:r>
          </w:p>
        </w:tc>
        <w:tc>
          <w:tcPr>
            <w:tcW w:w="868" w:type="dxa"/>
            <w:tcBorders>
              <w:bottom w:val="single" w:sz="12" w:space="0" w:color="000000"/>
            </w:tcBorders>
            <w:shd w:fill="auto" w:val="clear"/>
            <w:tcMar>
              <w:bottom w:w="28" w:type="dxa"/>
            </w:tcMar>
            <w:vAlign w:val="bottom"/>
          </w:tcPr>
          <w:p>
            <w:pPr>
              <w:pStyle w:val="TableContents"/>
              <w:spacing w:before="0" w:after="0"/>
              <w:jc w:val="right"/>
              <w:rPr/>
            </w:pPr>
            <w:r>
              <w:rPr/>
              <w:t>604,899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0"/>
              <w:jc w:val="right"/>
              <w:rPr/>
            </w:pPr>
            <w:r>
              <w:rPr/>
              <w:t>(20</w:t>
            </w:r>
          </w:p>
        </w:tc>
        <w:tc>
          <w:tcPr>
            <w:tcW w:w="290"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0"/>
              <w:jc w:val="right"/>
              <w:rPr/>
            </w:pPr>
            <w:r>
              <w:rPr/>
              <w:t>(16</w:t>
            </w:r>
          </w:p>
        </w:tc>
        <w:tc>
          <w:tcPr>
            <w:tcW w:w="305" w:type="dxa"/>
            <w:tcBorders/>
            <w:shd w:fill="auto" w:val="clear"/>
            <w:vAlign w:val="bottom"/>
          </w:tcPr>
          <w:p>
            <w:pPr>
              <w:pStyle w:val="TableContents"/>
              <w:spacing w:before="0" w:after="0"/>
              <w:rPr/>
            </w:pPr>
            <w:r>
              <w:rPr/>
              <w: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rPr/>
            </w:pPr>
            <w:r>
              <w:rPr/>
              <w:t>(1)</w:t>
            </w:r>
          </w:p>
        </w:tc>
        <w:tc>
          <w:tcPr>
            <w:tcW w:w="9910" w:type="dxa"/>
            <w:tcBorders/>
            <w:shd w:fill="auto" w:val="clear"/>
            <w:vAlign w:val="center"/>
          </w:tcPr>
          <w:p>
            <w:pPr>
              <w:pStyle w:val="TableContents"/>
              <w:spacing w:before="0" w:after="0"/>
              <w:jc w:val="both"/>
              <w:rPr/>
            </w:pPr>
            <w:r>
              <w:rPr/>
              <w:t>Constant-currency revenue change is a non-GAAP financial measure. See “Non-GAAP Financial Measures,” below.</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sets forth segment contribution for the three-month periods ended March 31, 2023 and 2022 for each of our reportable segments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The prior year segment contribution has been recast due to a change in how we allocate certain corporate costs. Consolidated financial information was not affected. For additional information regarding our segments and the calculation of segment contribution, see Note 10 to the consolidated financial statements contained in this report.</w:t>
      </w:r>
    </w:p>
    <w:p>
      <w:pPr>
        <w:pStyle w:val="TextBody"/>
        <w:spacing w:before="0" w:after="0"/>
        <w:jc w:val="left"/>
        <w:rPr/>
      </w:pPr>
      <w:r>
        <w:rPr/>
      </w:r>
    </w:p>
    <w:tbl>
      <w:tblPr>
        <w:tblW w:w="5767" w:type="dxa"/>
        <w:jc w:val="left"/>
        <w:tblInd w:w="0" w:type="dxa"/>
        <w:tblCellMar>
          <w:top w:w="0" w:type="dxa"/>
          <w:left w:w="0" w:type="dxa"/>
          <w:bottom w:w="0" w:type="dxa"/>
          <w:right w:w="0" w:type="dxa"/>
        </w:tblCellMar>
      </w:tblPr>
      <w:tblGrid>
        <w:gridCol w:w="2225"/>
        <w:gridCol w:w="60"/>
        <w:gridCol w:w="161"/>
        <w:gridCol w:w="784"/>
        <w:gridCol w:w="109"/>
        <w:gridCol w:w="69"/>
        <w:gridCol w:w="161"/>
        <w:gridCol w:w="923"/>
        <w:gridCol w:w="95"/>
        <w:gridCol w:w="60"/>
        <w:gridCol w:w="94"/>
        <w:gridCol w:w="721"/>
        <w:gridCol w:w="305"/>
      </w:tblGrid>
      <w:tr>
        <w:trPr/>
        <w:tc>
          <w:tcPr>
            <w:tcW w:w="222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2207"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22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2023</w:t>
            </w:r>
          </w:p>
        </w:tc>
        <w:tc>
          <w:tcPr>
            <w:tcW w:w="10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8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Change</w:t>
            </w:r>
          </w:p>
        </w:tc>
        <w:tc>
          <w:tcPr>
            <w:tcW w:w="305" w:type="dxa"/>
            <w:tcBorders/>
            <w:shd w:fill="auto" w:val="clear"/>
            <w:vAlign w:val="bottom"/>
          </w:tcPr>
          <w:p>
            <w:pPr>
              <w:pStyle w:val="TableContents"/>
              <w:spacing w:before="0" w:after="283"/>
              <w:rPr/>
            </w:pPr>
            <w:r>
              <w:rPr/>
              <w:t> </w:t>
            </w:r>
          </w:p>
        </w:tc>
      </w:tr>
      <w:tr>
        <w:trPr/>
        <w:tc>
          <w:tcPr>
            <w:tcW w:w="2225" w:type="dxa"/>
            <w:tcBorders/>
            <w:shd w:fill="auto" w:val="clear"/>
            <w:vAlign w:val="bottom"/>
          </w:tcPr>
          <w:p>
            <w:pPr>
              <w:pStyle w:val="TableContents"/>
              <w:spacing w:before="0" w:after="0"/>
              <w:ind w:left="144" w:right="0" w:hanging="144"/>
              <w:rPr>
                <w:i/>
              </w:rPr>
            </w:pPr>
            <w:r>
              <w:rPr>
                <w:i/>
              </w:rPr>
              <w:t>Nu Skin</w:t>
            </w:r>
          </w:p>
        </w:tc>
        <w:tc>
          <w:tcPr>
            <w:tcW w:w="60" w:type="dxa"/>
            <w:tcBorders/>
            <w:shd w:fill="auto" w:val="clear"/>
            <w:vAlign w:val="bottom"/>
          </w:tcPr>
          <w:p>
            <w:pPr>
              <w:pStyle w:val="TableContents"/>
              <w:spacing w:before="0" w:after="283"/>
              <w:rPr/>
            </w:pPr>
            <w:r>
              <w:rPr/>
              <w:t> </w:t>
            </w:r>
          </w:p>
        </w:tc>
        <w:tc>
          <w:tcPr>
            <w:tcW w:w="945"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2225" w:type="dxa"/>
            <w:tcBorders/>
            <w:shd w:fill="CCEEFF" w:val="clear"/>
            <w:vAlign w:val="bottom"/>
          </w:tcPr>
          <w:p>
            <w:pPr>
              <w:pStyle w:val="TableContents"/>
              <w:spacing w:before="0" w:after="0"/>
              <w:ind w:left="324" w:right="0" w:hanging="144"/>
              <w:rPr/>
            </w:pPr>
            <w:r>
              <w:rPr/>
              <w:t>Americas</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0"/>
              <w:rPr/>
            </w:pPr>
            <w:r>
              <w:rPr/>
              <w:t>$</w:t>
            </w:r>
          </w:p>
        </w:tc>
        <w:tc>
          <w:tcPr>
            <w:tcW w:w="784" w:type="dxa"/>
            <w:tcBorders/>
            <w:shd w:fill="CCEEFF" w:val="clear"/>
            <w:vAlign w:val="bottom"/>
          </w:tcPr>
          <w:p>
            <w:pPr>
              <w:pStyle w:val="TableContents"/>
              <w:spacing w:before="0" w:after="0"/>
              <w:jc w:val="right"/>
              <w:rPr/>
            </w:pPr>
            <w:r>
              <w:rPr/>
              <w:t>16,250</w:t>
            </w:r>
          </w:p>
        </w:tc>
        <w:tc>
          <w:tcPr>
            <w:tcW w:w="10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0"/>
              <w:rPr/>
            </w:pPr>
            <w:r>
              <w:rPr/>
              <w:t>$</w:t>
            </w:r>
          </w:p>
        </w:tc>
        <w:tc>
          <w:tcPr>
            <w:tcW w:w="923" w:type="dxa"/>
            <w:tcBorders/>
            <w:shd w:fill="CCEEFF" w:val="clear"/>
            <w:vAlign w:val="bottom"/>
          </w:tcPr>
          <w:p>
            <w:pPr>
              <w:pStyle w:val="TableContents"/>
              <w:spacing w:before="0" w:after="0"/>
              <w:jc w:val="right"/>
              <w:rPr/>
            </w:pPr>
            <w:r>
              <w:rPr/>
              <w:t>21,951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pPr>
            <w:r>
              <w:rPr/>
              <w:t>(26</w:t>
            </w:r>
          </w:p>
        </w:tc>
        <w:tc>
          <w:tcPr>
            <w:tcW w:w="305" w:type="dxa"/>
            <w:tcBorders/>
            <w:shd w:fill="CCEEFF" w:val="clear"/>
            <w:vAlign w:val="bottom"/>
          </w:tcPr>
          <w:p>
            <w:pPr>
              <w:pStyle w:val="TableContents"/>
              <w:spacing w:before="0" w:after="0"/>
              <w:rPr/>
            </w:pPr>
            <w:r>
              <w:rPr/>
              <w:t>)%</w:t>
            </w:r>
          </w:p>
        </w:tc>
      </w:tr>
      <w:tr>
        <w:trPr/>
        <w:tc>
          <w:tcPr>
            <w:tcW w:w="2225" w:type="dxa"/>
            <w:tcBorders/>
            <w:shd w:fill="auto" w:val="clear"/>
            <w:vAlign w:val="bottom"/>
          </w:tcPr>
          <w:p>
            <w:pPr>
              <w:pStyle w:val="TableContents"/>
              <w:spacing w:before="0" w:after="0"/>
              <w:ind w:left="324" w:right="0" w:hanging="144"/>
              <w:rPr/>
            </w:pPr>
            <w:r>
              <w:rPr/>
              <w:t>South Korea</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0"/>
              <w:jc w:val="right"/>
              <w:rPr/>
            </w:pPr>
            <w:r>
              <w:rPr/>
              <w:t>23,575</w:t>
            </w:r>
          </w:p>
        </w:tc>
        <w:tc>
          <w:tcPr>
            <w:tcW w:w="10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0"/>
              <w:jc w:val="right"/>
              <w:rPr/>
            </w:pPr>
            <w:r>
              <w:rPr/>
              <w:t>21,998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0"/>
              <w:jc w:val="right"/>
              <w:rPr/>
            </w:pPr>
            <w:r>
              <w:rPr/>
              <w:t>7</w:t>
            </w:r>
          </w:p>
        </w:tc>
        <w:tc>
          <w:tcPr>
            <w:tcW w:w="305" w:type="dxa"/>
            <w:tcBorders/>
            <w:shd w:fill="auto" w:val="clear"/>
            <w:vAlign w:val="bottom"/>
          </w:tcPr>
          <w:p>
            <w:pPr>
              <w:pStyle w:val="TableContents"/>
              <w:spacing w:before="0" w:after="0"/>
              <w:rPr/>
            </w:pPr>
            <w:r>
              <w:rPr/>
              <w:t>%</w:t>
            </w:r>
          </w:p>
        </w:tc>
      </w:tr>
      <w:tr>
        <w:trPr/>
        <w:tc>
          <w:tcPr>
            <w:tcW w:w="2225" w:type="dxa"/>
            <w:tcBorders/>
            <w:shd w:fill="CCEEFF" w:val="clear"/>
            <w:vAlign w:val="bottom"/>
          </w:tcPr>
          <w:p>
            <w:pPr>
              <w:pStyle w:val="TableContents"/>
              <w:spacing w:before="0" w:after="0"/>
              <w:ind w:left="324" w:right="0" w:hanging="144"/>
              <w:rPr/>
            </w:pPr>
            <w:r>
              <w:rPr/>
              <w:t>Mainland China</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0"/>
              <w:jc w:val="right"/>
              <w:rPr/>
            </w:pPr>
            <w:r>
              <w:rPr/>
              <w:t>13,612</w:t>
            </w:r>
          </w:p>
        </w:tc>
        <w:tc>
          <w:tcPr>
            <w:tcW w:w="10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0"/>
              <w:jc w:val="right"/>
              <w:rPr/>
            </w:pPr>
            <w:r>
              <w:rPr/>
              <w:t>28,995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pPr>
            <w:r>
              <w:rPr/>
              <w:t>(53</w:t>
            </w:r>
          </w:p>
        </w:tc>
        <w:tc>
          <w:tcPr>
            <w:tcW w:w="305" w:type="dxa"/>
            <w:tcBorders/>
            <w:shd w:fill="CCEEFF" w:val="clear"/>
            <w:vAlign w:val="bottom"/>
          </w:tcPr>
          <w:p>
            <w:pPr>
              <w:pStyle w:val="TableContents"/>
              <w:spacing w:before="0" w:after="0"/>
              <w:rPr/>
            </w:pPr>
            <w:r>
              <w:rPr/>
              <w:t>)%</w:t>
            </w:r>
          </w:p>
        </w:tc>
      </w:tr>
      <w:tr>
        <w:trPr/>
        <w:tc>
          <w:tcPr>
            <w:tcW w:w="2225" w:type="dxa"/>
            <w:tcBorders/>
            <w:shd w:fill="auto" w:val="clear"/>
            <w:vAlign w:val="bottom"/>
          </w:tcPr>
          <w:p>
            <w:pPr>
              <w:pStyle w:val="TableContents"/>
              <w:spacing w:before="0" w:after="0"/>
              <w:ind w:left="324" w:right="0" w:hanging="144"/>
              <w:rPr/>
            </w:pPr>
            <w:r>
              <w:rPr/>
              <w:t>Southeast Asia/Pacific</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0"/>
              <w:jc w:val="right"/>
              <w:rPr/>
            </w:pPr>
            <w:r>
              <w:rPr/>
              <w:t>12,471</w:t>
            </w:r>
          </w:p>
        </w:tc>
        <w:tc>
          <w:tcPr>
            <w:tcW w:w="10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0"/>
              <w:jc w:val="right"/>
              <w:rPr/>
            </w:pPr>
            <w:r>
              <w:rPr/>
              <w:t>20,996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0"/>
              <w:jc w:val="right"/>
              <w:rPr/>
            </w:pPr>
            <w:r>
              <w:rPr/>
              <w:t>(41</w:t>
            </w:r>
          </w:p>
        </w:tc>
        <w:tc>
          <w:tcPr>
            <w:tcW w:w="305" w:type="dxa"/>
            <w:tcBorders/>
            <w:shd w:fill="auto" w:val="clear"/>
            <w:vAlign w:val="bottom"/>
          </w:tcPr>
          <w:p>
            <w:pPr>
              <w:pStyle w:val="TableContents"/>
              <w:spacing w:before="0" w:after="0"/>
              <w:rPr/>
            </w:pPr>
            <w:r>
              <w:rPr/>
              <w:t>)%</w:t>
            </w:r>
          </w:p>
        </w:tc>
      </w:tr>
      <w:tr>
        <w:trPr/>
        <w:tc>
          <w:tcPr>
            <w:tcW w:w="2225" w:type="dxa"/>
            <w:tcBorders/>
            <w:shd w:fill="CCEEFF" w:val="clear"/>
            <w:vAlign w:val="bottom"/>
          </w:tcPr>
          <w:p>
            <w:pPr>
              <w:pStyle w:val="TableContents"/>
              <w:spacing w:before="0" w:after="0"/>
              <w:ind w:left="324" w:right="0" w:hanging="144"/>
              <w:rPr/>
            </w:pPr>
            <w:r>
              <w:rPr/>
              <w:t>Japan</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0"/>
              <w:jc w:val="right"/>
              <w:rPr/>
            </w:pPr>
            <w:r>
              <w:rPr/>
              <w:t>12,908</w:t>
            </w:r>
          </w:p>
        </w:tc>
        <w:tc>
          <w:tcPr>
            <w:tcW w:w="10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0"/>
              <w:jc w:val="right"/>
              <w:rPr/>
            </w:pPr>
            <w:r>
              <w:rPr/>
              <w:t>14,420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pPr>
            <w:r>
              <w:rPr/>
              <w:t>(10</w:t>
            </w:r>
          </w:p>
        </w:tc>
        <w:tc>
          <w:tcPr>
            <w:tcW w:w="305" w:type="dxa"/>
            <w:tcBorders/>
            <w:shd w:fill="CCEEFF" w:val="clear"/>
            <w:vAlign w:val="bottom"/>
          </w:tcPr>
          <w:p>
            <w:pPr>
              <w:pStyle w:val="TableContents"/>
              <w:spacing w:before="0" w:after="0"/>
              <w:rPr/>
            </w:pPr>
            <w:r>
              <w:rPr/>
              <w:t>)%</w:t>
            </w:r>
          </w:p>
        </w:tc>
      </w:tr>
      <w:tr>
        <w:trPr/>
        <w:tc>
          <w:tcPr>
            <w:tcW w:w="2225" w:type="dxa"/>
            <w:tcBorders/>
            <w:shd w:fill="auto" w:val="clear"/>
            <w:vAlign w:val="bottom"/>
          </w:tcPr>
          <w:p>
            <w:pPr>
              <w:pStyle w:val="TableContents"/>
              <w:spacing w:before="0" w:after="0"/>
              <w:ind w:left="324" w:right="0" w:hanging="144"/>
              <w:rPr/>
            </w:pPr>
            <w:r>
              <w:rPr/>
              <w:t>EMEA</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0"/>
              <w:jc w:val="right"/>
              <w:rPr/>
            </w:pPr>
            <w:r>
              <w:rPr/>
              <w:t>3,638</w:t>
            </w:r>
          </w:p>
        </w:tc>
        <w:tc>
          <w:tcPr>
            <w:tcW w:w="10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0"/>
              <w:jc w:val="right"/>
              <w:rPr/>
            </w:pPr>
            <w:r>
              <w:rPr/>
              <w:t>2,622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0"/>
              <w:jc w:val="right"/>
              <w:rPr/>
            </w:pPr>
            <w:r>
              <w:rPr/>
              <w:t>39</w:t>
            </w:r>
          </w:p>
        </w:tc>
        <w:tc>
          <w:tcPr>
            <w:tcW w:w="305" w:type="dxa"/>
            <w:tcBorders/>
            <w:shd w:fill="auto" w:val="clear"/>
            <w:vAlign w:val="bottom"/>
          </w:tcPr>
          <w:p>
            <w:pPr>
              <w:pStyle w:val="TableContents"/>
              <w:spacing w:before="0" w:after="0"/>
              <w:rPr/>
            </w:pPr>
            <w:r>
              <w:rPr/>
              <w:t>%</w:t>
            </w:r>
          </w:p>
        </w:tc>
      </w:tr>
      <w:tr>
        <w:trPr/>
        <w:tc>
          <w:tcPr>
            <w:tcW w:w="2225" w:type="dxa"/>
            <w:tcBorders/>
            <w:shd w:fill="CCEEFF" w:val="clear"/>
            <w:vAlign w:val="bottom"/>
          </w:tcPr>
          <w:p>
            <w:pPr>
              <w:pStyle w:val="TableContents"/>
              <w:spacing w:before="0" w:after="0"/>
              <w:ind w:left="324" w:right="0" w:hanging="144"/>
              <w:rPr/>
            </w:pPr>
            <w:r>
              <w:rPr/>
              <w:t>Hong Kong/Taiwan</w:t>
            </w:r>
          </w:p>
        </w:tc>
        <w:tc>
          <w:tcPr>
            <w:tcW w:w="60" w:type="dxa"/>
            <w:tcBorders/>
            <w:shd w:fill="CCEEFF" w:val="clear"/>
            <w:vAlign w:val="bottom"/>
          </w:tcPr>
          <w:p>
            <w:pPr>
              <w:pStyle w:val="TableContents"/>
              <w:spacing w:before="0" w:after="283"/>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84" w:type="dxa"/>
            <w:tcBorders>
              <w:bottom w:val="single" w:sz="12" w:space="0" w:color="000000"/>
            </w:tcBorders>
            <w:shd w:fill="CCEEFF" w:val="clear"/>
            <w:tcMar>
              <w:bottom w:w="28" w:type="dxa"/>
            </w:tcMar>
            <w:vAlign w:val="bottom"/>
          </w:tcPr>
          <w:p>
            <w:pPr>
              <w:pStyle w:val="TableContents"/>
              <w:spacing w:before="0" w:after="0"/>
              <w:jc w:val="right"/>
              <w:rPr/>
            </w:pPr>
            <w:r>
              <w:rPr/>
              <w:t>7,834</w:t>
            </w:r>
          </w:p>
        </w:tc>
        <w:tc>
          <w:tcPr>
            <w:tcW w:w="10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23" w:type="dxa"/>
            <w:tcBorders>
              <w:bottom w:val="single" w:sz="12" w:space="0" w:color="000000"/>
            </w:tcBorders>
            <w:shd w:fill="CCEEFF" w:val="clear"/>
            <w:tcMar>
              <w:bottom w:w="28" w:type="dxa"/>
            </w:tcMar>
            <w:vAlign w:val="bottom"/>
          </w:tcPr>
          <w:p>
            <w:pPr>
              <w:pStyle w:val="TableContents"/>
              <w:spacing w:before="0" w:after="0"/>
              <w:jc w:val="right"/>
              <w:rPr/>
            </w:pPr>
            <w:r>
              <w:rPr/>
              <w:t>8,086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pPr>
            <w:r>
              <w:rPr/>
              <w:t>(3</w:t>
            </w:r>
          </w:p>
        </w:tc>
        <w:tc>
          <w:tcPr>
            <w:tcW w:w="305" w:type="dxa"/>
            <w:tcBorders/>
            <w:shd w:fill="CCEEFF" w:val="clear"/>
            <w:vAlign w:val="bottom"/>
          </w:tcPr>
          <w:p>
            <w:pPr>
              <w:pStyle w:val="TableContents"/>
              <w:spacing w:before="0" w:after="0"/>
              <w:rPr/>
            </w:pPr>
            <w:r>
              <w:rPr/>
              <w:t>)%</w:t>
            </w:r>
          </w:p>
        </w:tc>
      </w:tr>
      <w:tr>
        <w:trPr/>
        <w:tc>
          <w:tcPr>
            <w:tcW w:w="2225" w:type="dxa"/>
            <w:tcBorders/>
            <w:shd w:fill="auto" w:val="clear"/>
            <w:vAlign w:val="bottom"/>
          </w:tcPr>
          <w:p>
            <w:pPr>
              <w:pStyle w:val="TableContents"/>
              <w:spacing w:before="0" w:after="0"/>
              <w:ind w:left="144" w:right="0" w:hanging="144"/>
              <w:rPr>
                <w:i/>
              </w:rPr>
            </w:pPr>
            <w:r>
              <w:rPr>
                <w:i/>
              </w:rPr>
              <w:t>Total Nu Skin</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0"/>
              <w:jc w:val="right"/>
              <w:rPr/>
            </w:pPr>
            <w:r>
              <w:rPr/>
              <w:t>90,288</w:t>
            </w:r>
          </w:p>
        </w:tc>
        <w:tc>
          <w:tcPr>
            <w:tcW w:w="10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0"/>
              <w:jc w:val="right"/>
              <w:rPr/>
            </w:pPr>
            <w:r>
              <w:rPr/>
              <w:t>119,068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0"/>
              <w:jc w:val="right"/>
              <w:rPr/>
            </w:pPr>
            <w:r>
              <w:rPr/>
              <w:t>(24</w:t>
            </w:r>
          </w:p>
        </w:tc>
        <w:tc>
          <w:tcPr>
            <w:tcW w:w="305" w:type="dxa"/>
            <w:tcBorders/>
            <w:shd w:fill="auto" w:val="clear"/>
            <w:vAlign w:val="bottom"/>
          </w:tcPr>
          <w:p>
            <w:pPr>
              <w:pStyle w:val="TableContents"/>
              <w:spacing w:before="0" w:after="0"/>
              <w:rPr/>
            </w:pPr>
            <w:r>
              <w:rPr/>
              <w:t>)%</w:t>
            </w:r>
          </w:p>
        </w:tc>
      </w:tr>
      <w:tr>
        <w:trPr/>
        <w:tc>
          <w:tcPr>
            <w:tcW w:w="2225" w:type="dxa"/>
            <w:tcBorders/>
            <w:shd w:fill="CCEEFF" w:val="clear"/>
            <w:vAlign w:val="bottom"/>
          </w:tcPr>
          <w:p>
            <w:pPr>
              <w:pStyle w:val="TableContents"/>
              <w:spacing w:before="0" w:after="0"/>
              <w:ind w:left="144" w:right="0" w:hanging="144"/>
              <w:rPr>
                <w:i/>
              </w:rPr>
            </w:pPr>
            <w:r>
              <w:rPr>
                <w:i/>
              </w:rPr>
              <w:t>Rhyz Investments</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pPr>
            <w:r>
              <w:rPr/>
              <w:t> </w:t>
            </w:r>
          </w:p>
        </w:tc>
        <w:tc>
          <w:tcPr>
            <w:tcW w:w="305" w:type="dxa"/>
            <w:tcBorders/>
            <w:shd w:fill="CCEEFF" w:val="clear"/>
            <w:vAlign w:val="bottom"/>
          </w:tcPr>
          <w:p>
            <w:pPr>
              <w:pStyle w:val="TableContents"/>
              <w:spacing w:before="0" w:after="283"/>
              <w:rPr/>
            </w:pPr>
            <w:r>
              <w:rPr/>
              <w:t> </w:t>
            </w:r>
          </w:p>
        </w:tc>
      </w:tr>
      <w:tr>
        <w:trPr/>
        <w:tc>
          <w:tcPr>
            <w:tcW w:w="2225" w:type="dxa"/>
            <w:tcBorders/>
            <w:shd w:fill="auto" w:val="clear"/>
            <w:vAlign w:val="bottom"/>
          </w:tcPr>
          <w:p>
            <w:pPr>
              <w:pStyle w:val="TableContents"/>
              <w:spacing w:before="0" w:after="0"/>
              <w:ind w:left="324" w:right="0" w:hanging="144"/>
              <w:rPr/>
            </w:pPr>
            <w:r>
              <w:rPr/>
              <w:t>Manufacturing</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0"/>
              <w:jc w:val="right"/>
              <w:rPr/>
            </w:pPr>
            <w:r>
              <w:rPr/>
              <w:t>(1,373</w:t>
            </w:r>
          </w:p>
        </w:tc>
        <w:tc>
          <w:tcPr>
            <w:tcW w:w="109" w:type="dxa"/>
            <w:tcBorders/>
            <w:shd w:fill="auto" w:val="clear"/>
            <w:vAlign w:val="bottom"/>
          </w:tcPr>
          <w:p>
            <w:pPr>
              <w:pStyle w:val="TableContents"/>
              <w:spacing w:before="0" w:after="0"/>
              <w:rPr/>
            </w:pPr>
            <w:r>
              <w:rPr/>
              <w:t>)</w:t>
            </w:r>
          </w:p>
        </w:tc>
        <w:tc>
          <w:tcPr>
            <w:tcW w:w="6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0"/>
              <w:jc w:val="right"/>
              <w:rPr/>
            </w:pPr>
            <w:r>
              <w:rPr/>
              <w:t>3,292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0"/>
              <w:jc w:val="right"/>
              <w:rPr/>
            </w:pPr>
            <w:r>
              <w:rPr/>
              <w:t>(142</w:t>
            </w:r>
          </w:p>
        </w:tc>
        <w:tc>
          <w:tcPr>
            <w:tcW w:w="305" w:type="dxa"/>
            <w:tcBorders/>
            <w:shd w:fill="auto" w:val="clear"/>
            <w:vAlign w:val="bottom"/>
          </w:tcPr>
          <w:p>
            <w:pPr>
              <w:pStyle w:val="TableContents"/>
              <w:spacing w:before="0" w:after="0"/>
              <w:rPr/>
            </w:pPr>
            <w:r>
              <w:rPr/>
              <w:t>)%</w:t>
            </w:r>
          </w:p>
        </w:tc>
      </w:tr>
      <w:tr>
        <w:trPr/>
        <w:tc>
          <w:tcPr>
            <w:tcW w:w="2225" w:type="dxa"/>
            <w:tcBorders/>
            <w:shd w:fill="CCEEFF" w:val="clear"/>
            <w:vAlign w:val="bottom"/>
          </w:tcPr>
          <w:p>
            <w:pPr>
              <w:pStyle w:val="TableContents"/>
              <w:spacing w:before="0" w:after="0"/>
              <w:ind w:left="324" w:right="0" w:hanging="144"/>
              <w:rPr/>
            </w:pPr>
            <w:r>
              <w:rPr/>
              <w:t>Rhyz other</w:t>
            </w:r>
          </w:p>
        </w:tc>
        <w:tc>
          <w:tcPr>
            <w:tcW w:w="60" w:type="dxa"/>
            <w:tcBorders/>
            <w:shd w:fill="CCEEFF" w:val="clear"/>
            <w:vAlign w:val="bottom"/>
          </w:tcPr>
          <w:p>
            <w:pPr>
              <w:pStyle w:val="TableContents"/>
              <w:spacing w:before="0" w:after="283"/>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84" w:type="dxa"/>
            <w:tcBorders>
              <w:bottom w:val="single" w:sz="12" w:space="0" w:color="000000"/>
            </w:tcBorders>
            <w:shd w:fill="CCEEFF" w:val="clear"/>
            <w:tcMar>
              <w:bottom w:w="28" w:type="dxa"/>
            </w:tcMar>
            <w:vAlign w:val="bottom"/>
          </w:tcPr>
          <w:p>
            <w:pPr>
              <w:pStyle w:val="TableContents"/>
              <w:spacing w:before="0" w:after="0"/>
              <w:jc w:val="right"/>
              <w:rPr/>
            </w:pPr>
            <w:r>
              <w:rPr/>
              <w:t>(1,960</w:t>
            </w:r>
          </w:p>
        </w:tc>
        <w:tc>
          <w:tcPr>
            <w:tcW w:w="109" w:type="dxa"/>
            <w:tcBorders/>
            <w:shd w:fill="CCEEFF" w:val="clear"/>
            <w:vAlign w:val="bottom"/>
          </w:tcPr>
          <w:p>
            <w:pPr>
              <w:pStyle w:val="TableContents"/>
              <w:spacing w:before="0" w:after="0"/>
              <w:rPr/>
            </w:pPr>
            <w:r>
              <w:rPr/>
              <w:t>)</w:t>
            </w:r>
          </w:p>
        </w:tc>
        <w:tc>
          <w:tcPr>
            <w:tcW w:w="69" w:type="dxa"/>
            <w:tcBorders/>
            <w:shd w:fill="CCEEFF" w:val="clear"/>
            <w:vAlign w:val="bottom"/>
          </w:tcPr>
          <w:p>
            <w:pPr>
              <w:pStyle w:val="TableContents"/>
              <w:spacing w:before="0" w:after="283"/>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23" w:type="dxa"/>
            <w:tcBorders>
              <w:bottom w:val="single" w:sz="12" w:space="0" w:color="000000"/>
            </w:tcBorders>
            <w:shd w:fill="CCEEFF" w:val="clear"/>
            <w:tcMar>
              <w:bottom w:w="28" w:type="dxa"/>
            </w:tcMar>
            <w:vAlign w:val="bottom"/>
          </w:tcPr>
          <w:p>
            <w:pPr>
              <w:pStyle w:val="TableContents"/>
              <w:spacing w:before="0" w:after="0"/>
              <w:jc w:val="right"/>
              <w:rPr/>
            </w:pPr>
            <w:r>
              <w:rPr/>
              <w:t>(1,046</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pPr>
            <w:r>
              <w:rPr/>
              <w:t>(87</w:t>
            </w:r>
          </w:p>
        </w:tc>
        <w:tc>
          <w:tcPr>
            <w:tcW w:w="305" w:type="dxa"/>
            <w:tcBorders/>
            <w:shd w:fill="CCEEFF" w:val="clear"/>
            <w:vAlign w:val="bottom"/>
          </w:tcPr>
          <w:p>
            <w:pPr>
              <w:pStyle w:val="TableContents"/>
              <w:spacing w:before="0" w:after="0"/>
              <w:rPr/>
            </w:pPr>
            <w:r>
              <w:rPr/>
              <w:t>)%</w:t>
            </w:r>
          </w:p>
        </w:tc>
      </w:tr>
      <w:tr>
        <w:trPr/>
        <w:tc>
          <w:tcPr>
            <w:tcW w:w="2225" w:type="dxa"/>
            <w:tcBorders/>
            <w:shd w:fill="auto" w:val="clear"/>
            <w:vAlign w:val="bottom"/>
          </w:tcPr>
          <w:p>
            <w:pPr>
              <w:pStyle w:val="TableContents"/>
              <w:spacing w:before="0" w:after="0"/>
              <w:ind w:left="144" w:right="0" w:hanging="144"/>
              <w:rPr>
                <w:i/>
              </w:rPr>
            </w:pPr>
            <w:r>
              <w:rPr>
                <w:i/>
              </w:rPr>
              <w:t>Total Rhyz Investments</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0"/>
              <w:jc w:val="right"/>
              <w:rPr/>
            </w:pPr>
            <w:r>
              <w:rPr/>
              <w:t>(3,333</w:t>
            </w:r>
          </w:p>
        </w:tc>
        <w:tc>
          <w:tcPr>
            <w:tcW w:w="109" w:type="dxa"/>
            <w:tcBorders/>
            <w:shd w:fill="auto" w:val="clear"/>
            <w:vAlign w:val="bottom"/>
          </w:tcPr>
          <w:p>
            <w:pPr>
              <w:pStyle w:val="TableContents"/>
              <w:spacing w:before="0" w:after="0"/>
              <w:rPr/>
            </w:pPr>
            <w:r>
              <w:rPr/>
              <w:t>)</w:t>
            </w:r>
          </w:p>
        </w:tc>
        <w:tc>
          <w:tcPr>
            <w:tcW w:w="69"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0"/>
              <w:jc w:val="right"/>
              <w:rPr/>
            </w:pPr>
            <w:r>
              <w:rPr/>
              <w:t>2,246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0"/>
              <w:jc w:val="right"/>
              <w:rPr/>
            </w:pPr>
            <w:r>
              <w:rPr/>
              <w:t>(248</w:t>
            </w:r>
          </w:p>
        </w:tc>
        <w:tc>
          <w:tcPr>
            <w:tcW w:w="305" w:type="dxa"/>
            <w:tcBorders/>
            <w:shd w:fill="auto" w:val="clear"/>
            <w:vAlign w:val="bottom"/>
          </w:tcPr>
          <w:p>
            <w:pPr>
              <w:pStyle w:val="TableContents"/>
              <w:spacing w:before="0" w:after="0"/>
              <w:rPr/>
            </w:pPr>
            <w:r>
              <w:rPr/>
              <w:t>)%</w:t>
            </w:r>
          </w:p>
        </w:tc>
      </w:tr>
    </w:tbl>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provides information concerning the number of Customers, Paid Affiliates and Sales Leaders in our core Nu Skin business for the three-month periods ended March 31, 2023 and 2022.</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0"/>
              <w:jc w:val="both"/>
              <w:rPr/>
            </w:pPr>
            <w:r>
              <w:rPr/>
              <w:t>“</w:t>
            </w:r>
            <w:r>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0"/>
              <w:jc w:val="both"/>
              <w:rPr/>
            </w:pPr>
            <w:r>
              <w:rPr/>
              <w:t>“</w:t>
            </w:r>
            <w:r>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0"/>
              <w:jc w:val="both"/>
              <w:rPr/>
            </w:pPr>
            <w:r>
              <w:rPr/>
              <w:t>“</w:t>
            </w:r>
            <w:r>
              <w:rPr/>
              <w:t>Sales Leaders” are the three-month average of our monthly Brand Affiliates, as well as sales employees and independent marketers in Mainland China, who achieved certain qualification requirements as of the end of each month of the quarter.</w:t>
            </w:r>
          </w:p>
        </w:tc>
      </w:tr>
    </w:tbl>
    <w:p>
      <w:pPr>
        <w:pStyle w:val="TextBody"/>
        <w:spacing w:before="0" w:after="0"/>
        <w:rPr/>
      </w:pPr>
      <w:r>
        <w:rPr/>
      </w:r>
    </w:p>
    <w:tbl>
      <w:tblPr>
        <w:tblW w:w="5658" w:type="dxa"/>
        <w:jc w:val="left"/>
        <w:tblInd w:w="0" w:type="dxa"/>
        <w:tblCellMar>
          <w:top w:w="0" w:type="dxa"/>
          <w:left w:w="0" w:type="dxa"/>
          <w:bottom w:w="0" w:type="dxa"/>
          <w:right w:w="0" w:type="dxa"/>
        </w:tblCellMar>
      </w:tblPr>
      <w:tblGrid>
        <w:gridCol w:w="2150"/>
        <w:gridCol w:w="60"/>
        <w:gridCol w:w="60"/>
        <w:gridCol w:w="984"/>
        <w:gridCol w:w="60"/>
        <w:gridCol w:w="60"/>
        <w:gridCol w:w="60"/>
        <w:gridCol w:w="984"/>
        <w:gridCol w:w="60"/>
        <w:gridCol w:w="60"/>
        <w:gridCol w:w="123"/>
        <w:gridCol w:w="692"/>
        <w:gridCol w:w="305"/>
      </w:tblGrid>
      <w:tr>
        <w:trPr/>
        <w:tc>
          <w:tcPr>
            <w:tcW w:w="2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08"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2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Change</w:t>
            </w:r>
          </w:p>
        </w:tc>
        <w:tc>
          <w:tcPr>
            <w:tcW w:w="305" w:type="dxa"/>
            <w:tcBorders/>
            <w:shd w:fill="auto" w:val="clear"/>
            <w:vAlign w:val="bottom"/>
          </w:tcPr>
          <w:p>
            <w:pPr>
              <w:pStyle w:val="TableContents"/>
              <w:spacing w:before="0" w:after="283"/>
              <w:rPr/>
            </w:pPr>
            <w:r>
              <w:rPr/>
              <w:t> </w:t>
            </w:r>
          </w:p>
        </w:tc>
      </w:tr>
      <w:tr>
        <w:trPr/>
        <w:tc>
          <w:tcPr>
            <w:tcW w:w="2150" w:type="dxa"/>
            <w:tcBorders/>
            <w:shd w:fill="auto" w:val="clear"/>
            <w:vAlign w:val="bottom"/>
          </w:tcPr>
          <w:p>
            <w:pPr>
              <w:pStyle w:val="TableContents"/>
              <w:spacing w:before="0" w:after="0"/>
              <w:ind w:left="144" w:right="0" w:hanging="144"/>
              <w:rPr>
                <w:b/>
              </w:rPr>
            </w:pPr>
            <w:r>
              <w:rPr>
                <w:b/>
              </w:rPr>
              <w:t>Customers</w:t>
            </w:r>
          </w:p>
        </w:tc>
        <w:tc>
          <w:tcPr>
            <w:tcW w:w="60" w:type="dxa"/>
            <w:tcBorders/>
            <w:shd w:fill="auto" w:val="clear"/>
            <w:vAlign w:val="bottom"/>
          </w:tcPr>
          <w:p>
            <w:pPr>
              <w:pStyle w:val="TableContents"/>
              <w:spacing w:before="0" w:after="283"/>
              <w:rPr/>
            </w:pPr>
            <w:r>
              <w:rPr/>
              <w:t> </w:t>
            </w:r>
          </w:p>
        </w:tc>
        <w:tc>
          <w:tcPr>
            <w:tcW w:w="104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r>
      <w:tr>
        <w:trPr/>
        <w:tc>
          <w:tcPr>
            <w:tcW w:w="2150" w:type="dxa"/>
            <w:tcBorders/>
            <w:shd w:fill="CCEEFF" w:val="clear"/>
            <w:vAlign w:val="bottom"/>
          </w:tcPr>
          <w:p>
            <w:pPr>
              <w:pStyle w:val="TableContents"/>
              <w:spacing w:before="0" w:after="0"/>
              <w:ind w:left="324" w:right="0" w:hanging="144"/>
              <w:rPr/>
            </w:pPr>
            <w:r>
              <w:rPr/>
              <w:t>Americas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266,378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318,458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0"/>
              <w:jc w:val="right"/>
              <w:rPr/>
            </w:pPr>
            <w:r>
              <w:rPr/>
              <w:t>(16</w:t>
            </w:r>
          </w:p>
        </w:tc>
        <w:tc>
          <w:tcPr>
            <w:tcW w:w="305" w:type="dxa"/>
            <w:tcBorders/>
            <w:shd w:fill="CCEEFF" w:val="clear"/>
            <w:vAlign w:val="bottom"/>
          </w:tcPr>
          <w:p>
            <w:pPr>
              <w:pStyle w:val="TableContents"/>
              <w:spacing w:before="0" w:after="0"/>
              <w:rPr/>
            </w:pPr>
            <w:r>
              <w:rPr/>
              <w:t>)%</w:t>
            </w:r>
          </w:p>
        </w:tc>
      </w:tr>
      <w:tr>
        <w:trPr/>
        <w:tc>
          <w:tcPr>
            <w:tcW w:w="2150" w:type="dxa"/>
            <w:tcBorders/>
            <w:shd w:fill="auto" w:val="clear"/>
            <w:vAlign w:val="bottom"/>
          </w:tcPr>
          <w:p>
            <w:pPr>
              <w:pStyle w:val="TableContents"/>
              <w:spacing w:before="0" w:after="0"/>
              <w:ind w:left="324" w:right="0" w:hanging="144"/>
              <w:rPr/>
            </w:pPr>
            <w:r>
              <w:rPr/>
              <w:t>South Korea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120,907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140,648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0"/>
              <w:jc w:val="right"/>
              <w:rPr/>
            </w:pPr>
            <w:r>
              <w:rPr/>
              <w:t>(14</w:t>
            </w:r>
          </w:p>
        </w:tc>
        <w:tc>
          <w:tcPr>
            <w:tcW w:w="305" w:type="dxa"/>
            <w:tcBorders/>
            <w:shd w:fill="auto" w:val="clear"/>
            <w:vAlign w:val="bottom"/>
          </w:tcPr>
          <w:p>
            <w:pPr>
              <w:pStyle w:val="TableContents"/>
              <w:spacing w:before="0" w:after="0"/>
              <w:rPr/>
            </w:pPr>
            <w:r>
              <w:rPr/>
              <w:t>)%</w:t>
            </w:r>
          </w:p>
        </w:tc>
      </w:tr>
      <w:tr>
        <w:trPr/>
        <w:tc>
          <w:tcPr>
            <w:tcW w:w="2150" w:type="dxa"/>
            <w:tcBorders/>
            <w:shd w:fill="CCEEFF" w:val="clear"/>
            <w:vAlign w:val="bottom"/>
          </w:tcPr>
          <w:p>
            <w:pPr>
              <w:pStyle w:val="TableContents"/>
              <w:spacing w:before="0" w:after="0"/>
              <w:ind w:left="324" w:right="0" w:hanging="144"/>
              <w:rPr/>
            </w:pPr>
            <w:r>
              <w:rPr/>
              <w:t>Mainland China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0"/>
              <w:rPr/>
            </w:pPr>
            <w:r>
              <w:rPr/>
            </w:r>
          </w:p>
        </w:tc>
        <w:tc>
          <w:tcPr>
            <w:tcW w:w="984" w:type="dxa"/>
            <w:tcBorders/>
            <w:shd w:fill="CCEEFF" w:val="clear"/>
            <w:vAlign w:val="bottom"/>
          </w:tcPr>
          <w:p>
            <w:pPr>
              <w:pStyle w:val="TableContents"/>
              <w:spacing w:before="0" w:after="0"/>
              <w:jc w:val="right"/>
              <w:rPr/>
            </w:pPr>
            <w:r>
              <w:rPr/>
              <w:t>217,101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289,060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0"/>
              <w:jc w:val="right"/>
              <w:rPr/>
            </w:pPr>
            <w:r>
              <w:rPr/>
              <w:t>(25</w:t>
            </w:r>
          </w:p>
        </w:tc>
        <w:tc>
          <w:tcPr>
            <w:tcW w:w="305" w:type="dxa"/>
            <w:tcBorders/>
            <w:shd w:fill="CCEEFF" w:val="clear"/>
            <w:vAlign w:val="bottom"/>
          </w:tcPr>
          <w:p>
            <w:pPr>
              <w:pStyle w:val="TableContents"/>
              <w:spacing w:before="0" w:after="0"/>
              <w:rPr/>
            </w:pPr>
            <w:r>
              <w:rPr/>
              <w:t>)%</w:t>
            </w:r>
          </w:p>
        </w:tc>
      </w:tr>
      <w:tr>
        <w:trPr/>
        <w:tc>
          <w:tcPr>
            <w:tcW w:w="2150" w:type="dxa"/>
            <w:tcBorders/>
            <w:shd w:fill="auto" w:val="clear"/>
            <w:vAlign w:val="bottom"/>
          </w:tcPr>
          <w:p>
            <w:pPr>
              <w:pStyle w:val="TableContents"/>
              <w:spacing w:before="0" w:after="0"/>
              <w:ind w:left="324" w:right="0" w:hanging="144"/>
              <w:rPr/>
            </w:pPr>
            <w:r>
              <w:rPr/>
              <w:t>Southeast Asia/Pacific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117,266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165,657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0"/>
              <w:jc w:val="right"/>
              <w:rPr/>
            </w:pPr>
            <w:r>
              <w:rPr/>
              <w:t>(29</w:t>
            </w:r>
          </w:p>
        </w:tc>
        <w:tc>
          <w:tcPr>
            <w:tcW w:w="305" w:type="dxa"/>
            <w:tcBorders/>
            <w:shd w:fill="auto" w:val="clear"/>
            <w:vAlign w:val="bottom"/>
          </w:tcPr>
          <w:p>
            <w:pPr>
              <w:pStyle w:val="TableContents"/>
              <w:spacing w:before="0" w:after="0"/>
              <w:rPr/>
            </w:pPr>
            <w:r>
              <w:rPr/>
              <w:t>)%</w:t>
            </w:r>
          </w:p>
        </w:tc>
      </w:tr>
      <w:tr>
        <w:trPr/>
        <w:tc>
          <w:tcPr>
            <w:tcW w:w="2150" w:type="dxa"/>
            <w:tcBorders/>
            <w:shd w:fill="CCEEFF" w:val="clear"/>
            <w:vAlign w:val="bottom"/>
          </w:tcPr>
          <w:p>
            <w:pPr>
              <w:pStyle w:val="TableContents"/>
              <w:spacing w:before="0" w:after="0"/>
              <w:ind w:left="324" w:right="0" w:hanging="144"/>
              <w:rPr/>
            </w:pPr>
            <w:r>
              <w:rPr/>
              <w:t>Japan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115,161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122,616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0"/>
              <w:jc w:val="right"/>
              <w:rPr/>
            </w:pPr>
            <w:r>
              <w:rPr/>
              <w:t>(6</w:t>
            </w:r>
          </w:p>
        </w:tc>
        <w:tc>
          <w:tcPr>
            <w:tcW w:w="305" w:type="dxa"/>
            <w:tcBorders/>
            <w:shd w:fill="CCEEFF" w:val="clear"/>
            <w:vAlign w:val="bottom"/>
          </w:tcPr>
          <w:p>
            <w:pPr>
              <w:pStyle w:val="TableContents"/>
              <w:spacing w:before="0" w:after="0"/>
              <w:rPr/>
            </w:pPr>
            <w:r>
              <w:rPr/>
              <w:t>)%</w:t>
            </w:r>
          </w:p>
        </w:tc>
      </w:tr>
      <w:tr>
        <w:trPr/>
        <w:tc>
          <w:tcPr>
            <w:tcW w:w="2150" w:type="dxa"/>
            <w:tcBorders/>
            <w:shd w:fill="auto" w:val="clear"/>
            <w:vAlign w:val="bottom"/>
          </w:tcPr>
          <w:p>
            <w:pPr>
              <w:pStyle w:val="TableContents"/>
              <w:spacing w:before="0" w:after="0"/>
              <w:ind w:left="324" w:right="0" w:hanging="144"/>
              <w:rPr/>
            </w:pPr>
            <w:r>
              <w:rPr/>
              <w:t>EMEA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190,313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216,037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0"/>
              <w:jc w:val="right"/>
              <w:rPr/>
            </w:pPr>
            <w:r>
              <w:rPr/>
              <w:t>(12</w:t>
            </w:r>
          </w:p>
        </w:tc>
        <w:tc>
          <w:tcPr>
            <w:tcW w:w="305" w:type="dxa"/>
            <w:tcBorders/>
            <w:shd w:fill="auto" w:val="clear"/>
            <w:vAlign w:val="bottom"/>
          </w:tcPr>
          <w:p>
            <w:pPr>
              <w:pStyle w:val="TableContents"/>
              <w:spacing w:before="0" w:after="0"/>
              <w:rPr/>
            </w:pPr>
            <w:r>
              <w:rPr/>
              <w:t>)%</w:t>
            </w:r>
          </w:p>
        </w:tc>
      </w:tr>
      <w:tr>
        <w:trPr/>
        <w:tc>
          <w:tcPr>
            <w:tcW w:w="2150" w:type="dxa"/>
            <w:tcBorders/>
            <w:shd w:fill="CCEEFF" w:val="clear"/>
            <w:vAlign w:val="bottom"/>
          </w:tcPr>
          <w:p>
            <w:pPr>
              <w:pStyle w:val="TableContents"/>
              <w:spacing w:before="0" w:after="0"/>
              <w:ind w:left="324" w:right="0" w:hanging="144"/>
              <w:rPr/>
            </w:pPr>
            <w:r>
              <w:rPr/>
              <w:t>Hong Kong/Taiwan</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4" w:type="dxa"/>
            <w:tcBorders>
              <w:bottom w:val="single" w:sz="12" w:space="0" w:color="000000"/>
            </w:tcBorders>
            <w:shd w:fill="CCEEFF" w:val="clear"/>
            <w:tcMar>
              <w:bottom w:w="28" w:type="dxa"/>
            </w:tcMar>
            <w:vAlign w:val="bottom"/>
          </w:tcPr>
          <w:p>
            <w:pPr>
              <w:pStyle w:val="TableContents"/>
              <w:spacing w:before="0" w:after="0"/>
              <w:jc w:val="right"/>
              <w:rPr/>
            </w:pPr>
            <w:r>
              <w:rPr/>
              <w:t>56,410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4" w:type="dxa"/>
            <w:tcBorders>
              <w:bottom w:val="single" w:sz="12" w:space="0" w:color="000000"/>
            </w:tcBorders>
            <w:shd w:fill="CCEEFF" w:val="clear"/>
            <w:tcMar>
              <w:bottom w:w="28" w:type="dxa"/>
            </w:tcMar>
            <w:vAlign w:val="bottom"/>
          </w:tcPr>
          <w:p>
            <w:pPr>
              <w:pStyle w:val="TableContents"/>
              <w:spacing w:before="0" w:after="0"/>
              <w:jc w:val="right"/>
              <w:rPr/>
            </w:pPr>
            <w:r>
              <w:rPr/>
              <w:t>68,975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0"/>
              <w:jc w:val="right"/>
              <w:rPr/>
            </w:pPr>
            <w:r>
              <w:rPr/>
              <w:t>(18</w:t>
            </w:r>
          </w:p>
        </w:tc>
        <w:tc>
          <w:tcPr>
            <w:tcW w:w="305" w:type="dxa"/>
            <w:tcBorders/>
            <w:shd w:fill="CCEEFF" w:val="clear"/>
            <w:vAlign w:val="bottom"/>
          </w:tcPr>
          <w:p>
            <w:pPr>
              <w:pStyle w:val="TableContents"/>
              <w:spacing w:before="0" w:after="0"/>
              <w:rPr/>
            </w:pPr>
            <w:r>
              <w:rPr/>
              <w:t>)%</w:t>
            </w:r>
          </w:p>
        </w:tc>
      </w:tr>
      <w:tr>
        <w:trPr/>
        <w:tc>
          <w:tcPr>
            <w:tcW w:w="2150" w:type="dxa"/>
            <w:tcBorders/>
            <w:shd w:fill="auto" w:val="clear"/>
            <w:vAlign w:val="bottom"/>
          </w:tcPr>
          <w:p>
            <w:pPr>
              <w:pStyle w:val="TableContents"/>
              <w:spacing w:before="0" w:after="0"/>
              <w:ind w:left="144" w:right="0" w:hanging="144"/>
              <w:rPr>
                <w:b/>
              </w:rPr>
            </w:pPr>
            <w:r>
              <w:rPr>
                <w:b/>
              </w:rPr>
              <w:t>Total Customers</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pPr>
            <w:r>
              <w:rPr/>
              <w:t>1,083,536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pPr>
            <w:r>
              <w:rPr/>
              <w:t>1,321,451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0"/>
              <w:jc w:val="right"/>
              <w:rPr/>
            </w:pPr>
            <w:r>
              <w:rPr/>
              <w:t>(18</w:t>
            </w:r>
          </w:p>
        </w:tc>
        <w:tc>
          <w:tcPr>
            <w:tcW w:w="305" w:type="dxa"/>
            <w:tcBorders/>
            <w:shd w:fill="auto" w:val="clear"/>
            <w:vAlign w:val="bottom"/>
          </w:tcPr>
          <w:p>
            <w:pPr>
              <w:pStyle w:val="TableContents"/>
              <w:spacing w:before="0" w:after="0"/>
              <w:rPr/>
            </w:pPr>
            <w:r>
              <w:rPr/>
              <w:t>)%</w:t>
            </w:r>
          </w:p>
        </w:tc>
      </w:tr>
      <w:tr>
        <w:trPr/>
        <w:tc>
          <w:tcPr>
            <w:tcW w:w="2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305" w:type="dxa"/>
            <w:tcBorders/>
            <w:shd w:fill="CCEEFF" w:val="clear"/>
            <w:vAlign w:val="bottom"/>
          </w:tcPr>
          <w:p>
            <w:pPr>
              <w:pStyle w:val="TableContents"/>
              <w:spacing w:before="0" w:after="283"/>
              <w:rPr/>
            </w:pPr>
            <w:r>
              <w:rPr/>
              <w:t> </w:t>
            </w:r>
          </w:p>
        </w:tc>
      </w:tr>
      <w:tr>
        <w:trPr/>
        <w:tc>
          <w:tcPr>
            <w:tcW w:w="2150" w:type="dxa"/>
            <w:tcBorders/>
            <w:shd w:fill="auto" w:val="clear"/>
            <w:vAlign w:val="bottom"/>
          </w:tcPr>
          <w:p>
            <w:pPr>
              <w:pStyle w:val="TableContents"/>
              <w:spacing w:before="0" w:after="0"/>
              <w:ind w:left="144" w:right="0" w:hanging="144"/>
              <w:rPr>
                <w:b/>
              </w:rPr>
            </w:pPr>
            <w:r>
              <w:rPr>
                <w:b/>
              </w:rPr>
              <w:t>Paid Affiliates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 </w:t>
            </w:r>
          </w:p>
        </w:tc>
        <w:tc>
          <w:tcPr>
            <w:tcW w:w="305" w:type="dxa"/>
            <w:tcBorders/>
            <w:shd w:fill="auto" w:val="clear"/>
            <w:vAlign w:val="bottom"/>
          </w:tcPr>
          <w:p>
            <w:pPr>
              <w:pStyle w:val="TableContents"/>
              <w:spacing w:before="0" w:after="283"/>
              <w:rPr/>
            </w:pPr>
            <w:r>
              <w:rPr/>
              <w:t> </w:t>
            </w:r>
          </w:p>
        </w:tc>
      </w:tr>
      <w:tr>
        <w:trPr/>
        <w:tc>
          <w:tcPr>
            <w:tcW w:w="2150" w:type="dxa"/>
            <w:tcBorders/>
            <w:shd w:fill="CCEEFF" w:val="clear"/>
            <w:vAlign w:val="bottom"/>
          </w:tcPr>
          <w:p>
            <w:pPr>
              <w:pStyle w:val="TableContents"/>
              <w:spacing w:before="0" w:after="0"/>
              <w:ind w:left="324" w:right="0" w:hanging="144"/>
              <w:rPr/>
            </w:pPr>
            <w:r>
              <w:rPr/>
              <w:t>Americas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38,707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46,317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0"/>
              <w:jc w:val="right"/>
              <w:rPr/>
            </w:pPr>
            <w:r>
              <w:rPr/>
              <w:t>(16</w:t>
            </w:r>
          </w:p>
        </w:tc>
        <w:tc>
          <w:tcPr>
            <w:tcW w:w="305" w:type="dxa"/>
            <w:tcBorders/>
            <w:shd w:fill="CCEEFF" w:val="clear"/>
            <w:vAlign w:val="bottom"/>
          </w:tcPr>
          <w:p>
            <w:pPr>
              <w:pStyle w:val="TableContents"/>
              <w:spacing w:before="0" w:after="0"/>
              <w:rPr/>
            </w:pPr>
            <w:r>
              <w:rPr/>
              <w:t>)%</w:t>
            </w:r>
          </w:p>
        </w:tc>
      </w:tr>
      <w:tr>
        <w:trPr/>
        <w:tc>
          <w:tcPr>
            <w:tcW w:w="2150" w:type="dxa"/>
            <w:tcBorders/>
            <w:shd w:fill="auto" w:val="clear"/>
            <w:vAlign w:val="bottom"/>
          </w:tcPr>
          <w:p>
            <w:pPr>
              <w:pStyle w:val="TableContents"/>
              <w:spacing w:before="0" w:after="0"/>
              <w:ind w:left="324" w:right="0" w:hanging="144"/>
              <w:rPr/>
            </w:pPr>
            <w:r>
              <w:rPr/>
              <w:t>South Korea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40,599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49,474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0"/>
              <w:jc w:val="right"/>
              <w:rPr/>
            </w:pPr>
            <w:r>
              <w:rPr/>
              <w:t>(18</w:t>
            </w:r>
          </w:p>
        </w:tc>
        <w:tc>
          <w:tcPr>
            <w:tcW w:w="305" w:type="dxa"/>
            <w:tcBorders/>
            <w:shd w:fill="auto" w:val="clear"/>
            <w:vAlign w:val="bottom"/>
          </w:tcPr>
          <w:p>
            <w:pPr>
              <w:pStyle w:val="TableContents"/>
              <w:spacing w:before="0" w:after="0"/>
              <w:rPr/>
            </w:pPr>
            <w:r>
              <w:rPr/>
              <w:t>)%</w:t>
            </w:r>
          </w:p>
        </w:tc>
      </w:tr>
      <w:tr>
        <w:trPr/>
        <w:tc>
          <w:tcPr>
            <w:tcW w:w="2150" w:type="dxa"/>
            <w:tcBorders/>
            <w:shd w:fill="CCEEFF" w:val="clear"/>
            <w:vAlign w:val="bottom"/>
          </w:tcPr>
          <w:p>
            <w:pPr>
              <w:pStyle w:val="TableContents"/>
              <w:spacing w:before="0" w:after="0"/>
              <w:ind w:left="324" w:right="0" w:hanging="144"/>
              <w:rPr/>
            </w:pPr>
            <w:r>
              <w:rPr/>
              <w:t>Mainland China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0"/>
              <w:rPr/>
            </w:pPr>
            <w:r>
              <w:rPr/>
            </w:r>
          </w:p>
        </w:tc>
        <w:tc>
          <w:tcPr>
            <w:tcW w:w="984" w:type="dxa"/>
            <w:tcBorders/>
            <w:shd w:fill="CCEEFF" w:val="clear"/>
            <w:vAlign w:val="bottom"/>
          </w:tcPr>
          <w:p>
            <w:pPr>
              <w:pStyle w:val="TableContents"/>
              <w:spacing w:before="0" w:after="0"/>
              <w:jc w:val="right"/>
              <w:rPr/>
            </w:pPr>
            <w:r>
              <w:rPr/>
              <w:t>24,522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22,783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0"/>
              <w:jc w:val="right"/>
              <w:rPr/>
            </w:pPr>
            <w:r>
              <w:rPr/>
              <w:t>8</w:t>
            </w:r>
          </w:p>
        </w:tc>
        <w:tc>
          <w:tcPr>
            <w:tcW w:w="305" w:type="dxa"/>
            <w:tcBorders/>
            <w:shd w:fill="CCEEFF" w:val="clear"/>
            <w:vAlign w:val="bottom"/>
          </w:tcPr>
          <w:p>
            <w:pPr>
              <w:pStyle w:val="TableContents"/>
              <w:spacing w:before="0" w:after="0"/>
              <w:rPr/>
            </w:pPr>
            <w:r>
              <w:rPr/>
              <w:t>%</w:t>
            </w:r>
          </w:p>
        </w:tc>
      </w:tr>
      <w:tr>
        <w:trPr/>
        <w:tc>
          <w:tcPr>
            <w:tcW w:w="2150" w:type="dxa"/>
            <w:tcBorders/>
            <w:shd w:fill="auto" w:val="clear"/>
            <w:vAlign w:val="bottom"/>
          </w:tcPr>
          <w:p>
            <w:pPr>
              <w:pStyle w:val="TableContents"/>
              <w:spacing w:before="0" w:after="0"/>
              <w:ind w:left="324" w:right="0" w:hanging="144"/>
              <w:rPr/>
            </w:pPr>
            <w:r>
              <w:rPr/>
              <w:t>Southeast Asia/Pacific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36,431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43,347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0"/>
              <w:jc w:val="right"/>
              <w:rPr/>
            </w:pPr>
            <w:r>
              <w:rPr/>
              <w:t>(16</w:t>
            </w:r>
          </w:p>
        </w:tc>
        <w:tc>
          <w:tcPr>
            <w:tcW w:w="305" w:type="dxa"/>
            <w:tcBorders/>
            <w:shd w:fill="auto" w:val="clear"/>
            <w:vAlign w:val="bottom"/>
          </w:tcPr>
          <w:p>
            <w:pPr>
              <w:pStyle w:val="TableContents"/>
              <w:spacing w:before="0" w:after="0"/>
              <w:rPr/>
            </w:pPr>
            <w:r>
              <w:rPr/>
              <w:t>)%</w:t>
            </w:r>
          </w:p>
        </w:tc>
      </w:tr>
      <w:tr>
        <w:trPr/>
        <w:tc>
          <w:tcPr>
            <w:tcW w:w="2150" w:type="dxa"/>
            <w:tcBorders/>
            <w:shd w:fill="CCEEFF" w:val="clear"/>
            <w:vAlign w:val="bottom"/>
          </w:tcPr>
          <w:p>
            <w:pPr>
              <w:pStyle w:val="TableContents"/>
              <w:spacing w:before="0" w:after="0"/>
              <w:ind w:left="324" w:right="0" w:hanging="144"/>
              <w:rPr/>
            </w:pPr>
            <w:r>
              <w:rPr/>
              <w:t>Japan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37,155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38,096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0"/>
              <w:jc w:val="right"/>
              <w:rPr/>
            </w:pPr>
            <w:r>
              <w:rPr/>
              <w:t>(2</w:t>
            </w:r>
          </w:p>
        </w:tc>
        <w:tc>
          <w:tcPr>
            <w:tcW w:w="305" w:type="dxa"/>
            <w:tcBorders/>
            <w:shd w:fill="CCEEFF" w:val="clear"/>
            <w:vAlign w:val="bottom"/>
          </w:tcPr>
          <w:p>
            <w:pPr>
              <w:pStyle w:val="TableContents"/>
              <w:spacing w:before="0" w:after="0"/>
              <w:rPr/>
            </w:pPr>
            <w:r>
              <w:rPr/>
              <w:t>)%</w:t>
            </w:r>
          </w:p>
        </w:tc>
      </w:tr>
      <w:tr>
        <w:trPr/>
        <w:tc>
          <w:tcPr>
            <w:tcW w:w="2150" w:type="dxa"/>
            <w:tcBorders/>
            <w:shd w:fill="auto" w:val="clear"/>
            <w:vAlign w:val="bottom"/>
          </w:tcPr>
          <w:p>
            <w:pPr>
              <w:pStyle w:val="TableContents"/>
              <w:spacing w:before="0" w:after="0"/>
              <w:ind w:left="324" w:right="0" w:hanging="144"/>
              <w:rPr/>
            </w:pPr>
            <w:r>
              <w:rPr/>
              <w:t>EMEA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27,654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33,914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0"/>
              <w:jc w:val="right"/>
              <w:rPr/>
            </w:pPr>
            <w:r>
              <w:rPr/>
              <w:t>(18</w:t>
            </w:r>
          </w:p>
        </w:tc>
        <w:tc>
          <w:tcPr>
            <w:tcW w:w="305" w:type="dxa"/>
            <w:tcBorders/>
            <w:shd w:fill="auto" w:val="clear"/>
            <w:vAlign w:val="bottom"/>
          </w:tcPr>
          <w:p>
            <w:pPr>
              <w:pStyle w:val="TableContents"/>
              <w:spacing w:before="0" w:after="0"/>
              <w:rPr/>
            </w:pPr>
            <w:r>
              <w:rPr/>
              <w:t>)%</w:t>
            </w:r>
          </w:p>
        </w:tc>
      </w:tr>
      <w:tr>
        <w:trPr/>
        <w:tc>
          <w:tcPr>
            <w:tcW w:w="2150" w:type="dxa"/>
            <w:tcBorders/>
            <w:shd w:fill="CCEEFF" w:val="clear"/>
            <w:vAlign w:val="bottom"/>
          </w:tcPr>
          <w:p>
            <w:pPr>
              <w:pStyle w:val="TableContents"/>
              <w:spacing w:before="0" w:after="0"/>
              <w:ind w:left="324" w:right="0" w:hanging="144"/>
              <w:rPr/>
            </w:pPr>
            <w:r>
              <w:rPr/>
              <w:t>Hong Kong/Taiwan</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4" w:type="dxa"/>
            <w:tcBorders>
              <w:bottom w:val="single" w:sz="12" w:space="0" w:color="000000"/>
            </w:tcBorders>
            <w:shd w:fill="CCEEFF" w:val="clear"/>
            <w:tcMar>
              <w:bottom w:w="28" w:type="dxa"/>
            </w:tcMar>
            <w:vAlign w:val="bottom"/>
          </w:tcPr>
          <w:p>
            <w:pPr>
              <w:pStyle w:val="TableContents"/>
              <w:spacing w:before="0" w:after="0"/>
              <w:jc w:val="right"/>
              <w:rPr/>
            </w:pPr>
            <w:r>
              <w:rPr/>
              <w:t>16,286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4" w:type="dxa"/>
            <w:tcBorders>
              <w:bottom w:val="single" w:sz="12" w:space="0" w:color="000000"/>
            </w:tcBorders>
            <w:shd w:fill="CCEEFF" w:val="clear"/>
            <w:tcMar>
              <w:bottom w:w="28" w:type="dxa"/>
            </w:tcMar>
            <w:vAlign w:val="bottom"/>
          </w:tcPr>
          <w:p>
            <w:pPr>
              <w:pStyle w:val="TableContents"/>
              <w:spacing w:before="0" w:after="0"/>
              <w:jc w:val="right"/>
              <w:rPr/>
            </w:pPr>
            <w:r>
              <w:rPr/>
              <w:t>17,928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0"/>
              <w:jc w:val="right"/>
              <w:rPr/>
            </w:pPr>
            <w:r>
              <w:rPr/>
              <w:t>(9</w:t>
            </w:r>
          </w:p>
        </w:tc>
        <w:tc>
          <w:tcPr>
            <w:tcW w:w="305" w:type="dxa"/>
            <w:tcBorders/>
            <w:shd w:fill="CCEEFF" w:val="clear"/>
            <w:vAlign w:val="bottom"/>
          </w:tcPr>
          <w:p>
            <w:pPr>
              <w:pStyle w:val="TableContents"/>
              <w:spacing w:before="0" w:after="0"/>
              <w:rPr/>
            </w:pPr>
            <w:r>
              <w:rPr/>
              <w:t>)%</w:t>
            </w:r>
          </w:p>
        </w:tc>
      </w:tr>
      <w:tr>
        <w:trPr/>
        <w:tc>
          <w:tcPr>
            <w:tcW w:w="2150" w:type="dxa"/>
            <w:tcBorders/>
            <w:shd w:fill="auto" w:val="clear"/>
            <w:vAlign w:val="bottom"/>
          </w:tcPr>
          <w:p>
            <w:pPr>
              <w:pStyle w:val="TableContents"/>
              <w:spacing w:before="0" w:after="0"/>
              <w:ind w:left="144" w:right="0" w:hanging="144"/>
              <w:rPr>
                <w:b/>
              </w:rPr>
            </w:pPr>
            <w:r>
              <w:rPr>
                <w:b/>
              </w:rPr>
              <w:t>Total Paid Affiliates</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pPr>
            <w:r>
              <w:rPr/>
              <w:t>221,354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pPr>
            <w:r>
              <w:rPr/>
              <w:t>251,859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0"/>
              <w:jc w:val="right"/>
              <w:rPr/>
            </w:pPr>
            <w:r>
              <w:rPr/>
              <w:t>(12</w:t>
            </w:r>
          </w:p>
        </w:tc>
        <w:tc>
          <w:tcPr>
            <w:tcW w:w="305" w:type="dxa"/>
            <w:tcBorders/>
            <w:shd w:fill="auto" w:val="clear"/>
            <w:vAlign w:val="bottom"/>
          </w:tcPr>
          <w:p>
            <w:pPr>
              <w:pStyle w:val="TableContents"/>
              <w:spacing w:before="0" w:after="0"/>
              <w:rPr/>
            </w:pPr>
            <w:r>
              <w:rPr/>
              <w:t>)%</w:t>
            </w:r>
          </w:p>
        </w:tc>
      </w:tr>
      <w:tr>
        <w:trPr/>
        <w:tc>
          <w:tcPr>
            <w:tcW w:w="21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283"/>
              <w:jc w:val="right"/>
              <w:rPr/>
            </w:pPr>
            <w:r>
              <w:rPr/>
              <w:t> </w:t>
            </w:r>
          </w:p>
        </w:tc>
        <w:tc>
          <w:tcPr>
            <w:tcW w:w="305" w:type="dxa"/>
            <w:tcBorders/>
            <w:shd w:fill="CCEEFF" w:val="clear"/>
            <w:vAlign w:val="bottom"/>
          </w:tcPr>
          <w:p>
            <w:pPr>
              <w:pStyle w:val="TableContents"/>
              <w:spacing w:before="0" w:after="283"/>
              <w:rPr/>
            </w:pPr>
            <w:r>
              <w:rPr/>
              <w:t> </w:t>
            </w:r>
          </w:p>
        </w:tc>
      </w:tr>
      <w:tr>
        <w:trPr/>
        <w:tc>
          <w:tcPr>
            <w:tcW w:w="2150" w:type="dxa"/>
            <w:tcBorders/>
            <w:shd w:fill="auto" w:val="clear"/>
            <w:vAlign w:val="bottom"/>
          </w:tcPr>
          <w:p>
            <w:pPr>
              <w:pStyle w:val="TableContents"/>
              <w:spacing w:before="0" w:after="0"/>
              <w:ind w:left="144" w:right="0" w:hanging="144"/>
              <w:rPr>
                <w:b/>
              </w:rPr>
            </w:pPr>
            <w:r>
              <w:rPr>
                <w:b/>
              </w:rPr>
              <w:t>Sales Leaders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jc w:val="right"/>
              <w:rPr/>
            </w:pPr>
            <w:r>
              <w:rPr/>
              <w:t> </w:t>
            </w:r>
          </w:p>
        </w:tc>
        <w:tc>
          <w:tcPr>
            <w:tcW w:w="305" w:type="dxa"/>
            <w:tcBorders/>
            <w:shd w:fill="auto" w:val="clear"/>
            <w:vAlign w:val="bottom"/>
          </w:tcPr>
          <w:p>
            <w:pPr>
              <w:pStyle w:val="TableContents"/>
              <w:spacing w:before="0" w:after="283"/>
              <w:rPr/>
            </w:pPr>
            <w:r>
              <w:rPr/>
              <w:t> </w:t>
            </w:r>
          </w:p>
        </w:tc>
      </w:tr>
      <w:tr>
        <w:trPr/>
        <w:tc>
          <w:tcPr>
            <w:tcW w:w="2150" w:type="dxa"/>
            <w:tcBorders/>
            <w:shd w:fill="CCEEFF" w:val="clear"/>
            <w:vAlign w:val="bottom"/>
          </w:tcPr>
          <w:p>
            <w:pPr>
              <w:pStyle w:val="TableContents"/>
              <w:spacing w:before="0" w:after="0"/>
              <w:ind w:left="324" w:right="0" w:hanging="144"/>
              <w:rPr/>
            </w:pPr>
            <w:r>
              <w:rPr/>
              <w:t>Americas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8,242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9,548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0"/>
              <w:jc w:val="right"/>
              <w:rPr/>
            </w:pPr>
            <w:r>
              <w:rPr/>
              <w:t>(14</w:t>
            </w:r>
          </w:p>
        </w:tc>
        <w:tc>
          <w:tcPr>
            <w:tcW w:w="305" w:type="dxa"/>
            <w:tcBorders/>
            <w:shd w:fill="CCEEFF" w:val="clear"/>
            <w:vAlign w:val="bottom"/>
          </w:tcPr>
          <w:p>
            <w:pPr>
              <w:pStyle w:val="TableContents"/>
              <w:spacing w:before="0" w:after="0"/>
              <w:rPr/>
            </w:pPr>
            <w:r>
              <w:rPr/>
              <w:t>)%</w:t>
            </w:r>
          </w:p>
        </w:tc>
      </w:tr>
      <w:tr>
        <w:trPr/>
        <w:tc>
          <w:tcPr>
            <w:tcW w:w="2150" w:type="dxa"/>
            <w:tcBorders/>
            <w:shd w:fill="auto" w:val="clear"/>
            <w:vAlign w:val="bottom"/>
          </w:tcPr>
          <w:p>
            <w:pPr>
              <w:pStyle w:val="TableContents"/>
              <w:spacing w:before="0" w:after="0"/>
              <w:ind w:left="324" w:right="0" w:hanging="144"/>
              <w:rPr/>
            </w:pPr>
            <w:r>
              <w:rPr/>
              <w:t>South Korea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6,242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6,072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0"/>
              <w:jc w:val="right"/>
              <w:rPr/>
            </w:pPr>
            <w:r>
              <w:rPr/>
              <w:t>3</w:t>
            </w:r>
          </w:p>
        </w:tc>
        <w:tc>
          <w:tcPr>
            <w:tcW w:w="305" w:type="dxa"/>
            <w:tcBorders/>
            <w:shd w:fill="auto" w:val="clear"/>
            <w:vAlign w:val="bottom"/>
          </w:tcPr>
          <w:p>
            <w:pPr>
              <w:pStyle w:val="TableContents"/>
              <w:spacing w:before="0" w:after="0"/>
              <w:rPr/>
            </w:pPr>
            <w:r>
              <w:rPr/>
              <w:t>%</w:t>
            </w:r>
          </w:p>
        </w:tc>
      </w:tr>
      <w:tr>
        <w:trPr/>
        <w:tc>
          <w:tcPr>
            <w:tcW w:w="2150" w:type="dxa"/>
            <w:tcBorders/>
            <w:shd w:fill="CCEEFF" w:val="clear"/>
            <w:vAlign w:val="bottom"/>
          </w:tcPr>
          <w:p>
            <w:pPr>
              <w:pStyle w:val="TableContents"/>
              <w:spacing w:lineRule="auto" w:line="240" w:before="0" w:after="0"/>
              <w:ind w:left="324" w:right="0" w:hanging="144"/>
              <w:rPr/>
            </w:pPr>
            <w:r>
              <w:rPr/>
              <w:t>Mainland China</w:t>
            </w:r>
            <w:r>
              <w:rPr>
                <w:b/>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0"/>
              <w:rPr/>
            </w:pPr>
            <w:r>
              <w:rPr/>
            </w:r>
          </w:p>
        </w:tc>
        <w:tc>
          <w:tcPr>
            <w:tcW w:w="984" w:type="dxa"/>
            <w:tcBorders/>
            <w:shd w:fill="CCEEFF" w:val="clear"/>
            <w:vAlign w:val="bottom"/>
          </w:tcPr>
          <w:p>
            <w:pPr>
              <w:pStyle w:val="TableContents"/>
              <w:spacing w:before="0" w:after="0"/>
              <w:jc w:val="right"/>
              <w:rPr/>
            </w:pPr>
            <w:r>
              <w:rPr/>
              <w:t>10,034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14,146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0"/>
              <w:jc w:val="right"/>
              <w:rPr/>
            </w:pPr>
            <w:r>
              <w:rPr/>
              <w:t>(29</w:t>
            </w:r>
          </w:p>
        </w:tc>
        <w:tc>
          <w:tcPr>
            <w:tcW w:w="305" w:type="dxa"/>
            <w:tcBorders/>
            <w:shd w:fill="CCEEFF" w:val="clear"/>
            <w:vAlign w:val="bottom"/>
          </w:tcPr>
          <w:p>
            <w:pPr>
              <w:pStyle w:val="TableContents"/>
              <w:spacing w:before="0" w:after="0"/>
              <w:rPr/>
            </w:pPr>
            <w:r>
              <w:rPr/>
              <w:t>)%</w:t>
            </w:r>
          </w:p>
        </w:tc>
      </w:tr>
      <w:tr>
        <w:trPr/>
        <w:tc>
          <w:tcPr>
            <w:tcW w:w="2150" w:type="dxa"/>
            <w:tcBorders/>
            <w:shd w:fill="auto" w:val="clear"/>
            <w:vAlign w:val="bottom"/>
          </w:tcPr>
          <w:p>
            <w:pPr>
              <w:pStyle w:val="TableContents"/>
              <w:spacing w:before="0" w:after="0"/>
              <w:ind w:left="324" w:right="0" w:hanging="144"/>
              <w:rPr/>
            </w:pPr>
            <w:r>
              <w:rPr/>
              <w:t>Southeast Asia/Pacific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6,337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8,012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0"/>
              <w:jc w:val="right"/>
              <w:rPr/>
            </w:pPr>
            <w:r>
              <w:rPr/>
              <w:t>(21</w:t>
            </w:r>
          </w:p>
        </w:tc>
        <w:tc>
          <w:tcPr>
            <w:tcW w:w="305" w:type="dxa"/>
            <w:tcBorders/>
            <w:shd w:fill="auto" w:val="clear"/>
            <w:vAlign w:val="bottom"/>
          </w:tcPr>
          <w:p>
            <w:pPr>
              <w:pStyle w:val="TableContents"/>
              <w:spacing w:before="0" w:after="0"/>
              <w:rPr/>
            </w:pPr>
            <w:r>
              <w:rPr/>
              <w:t>)%</w:t>
            </w:r>
          </w:p>
        </w:tc>
      </w:tr>
      <w:tr>
        <w:trPr/>
        <w:tc>
          <w:tcPr>
            <w:tcW w:w="2150" w:type="dxa"/>
            <w:tcBorders/>
            <w:shd w:fill="CCEEFF" w:val="clear"/>
            <w:vAlign w:val="bottom"/>
          </w:tcPr>
          <w:p>
            <w:pPr>
              <w:pStyle w:val="TableContents"/>
              <w:spacing w:before="0" w:after="0"/>
              <w:ind w:left="324" w:right="0" w:hanging="144"/>
              <w:rPr/>
            </w:pPr>
            <w:r>
              <w:rPr/>
              <w:t>Japan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5,688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0"/>
              <w:jc w:val="right"/>
              <w:rPr/>
            </w:pPr>
            <w:r>
              <w:rPr/>
              <w:t>5,977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0"/>
              <w:jc w:val="right"/>
              <w:rPr/>
            </w:pPr>
            <w:r>
              <w:rPr/>
              <w:t>(5</w:t>
            </w:r>
          </w:p>
        </w:tc>
        <w:tc>
          <w:tcPr>
            <w:tcW w:w="305" w:type="dxa"/>
            <w:tcBorders/>
            <w:shd w:fill="CCEEFF" w:val="clear"/>
            <w:vAlign w:val="bottom"/>
          </w:tcPr>
          <w:p>
            <w:pPr>
              <w:pStyle w:val="TableContents"/>
              <w:spacing w:before="0" w:after="0"/>
              <w:rPr/>
            </w:pPr>
            <w:r>
              <w:rPr/>
              <w:t>)%</w:t>
            </w:r>
          </w:p>
        </w:tc>
      </w:tr>
      <w:tr>
        <w:trPr/>
        <w:tc>
          <w:tcPr>
            <w:tcW w:w="2150" w:type="dxa"/>
            <w:tcBorders/>
            <w:shd w:fill="auto" w:val="clear"/>
            <w:vAlign w:val="bottom"/>
          </w:tcPr>
          <w:p>
            <w:pPr>
              <w:pStyle w:val="TableContents"/>
              <w:spacing w:before="0" w:after="0"/>
              <w:ind w:left="324" w:right="0" w:hanging="144"/>
              <w:rPr/>
            </w:pPr>
            <w:r>
              <w:rPr/>
              <w:t>EMEA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4,524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0"/>
              <w:jc w:val="right"/>
              <w:rPr/>
            </w:pPr>
            <w:r>
              <w:rPr/>
              <w:t>5,455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0"/>
              <w:jc w:val="right"/>
              <w:rPr/>
            </w:pPr>
            <w:r>
              <w:rPr/>
              <w:t>(17</w:t>
            </w:r>
          </w:p>
        </w:tc>
        <w:tc>
          <w:tcPr>
            <w:tcW w:w="305" w:type="dxa"/>
            <w:tcBorders/>
            <w:shd w:fill="auto" w:val="clear"/>
            <w:vAlign w:val="bottom"/>
          </w:tcPr>
          <w:p>
            <w:pPr>
              <w:pStyle w:val="TableContents"/>
              <w:spacing w:before="0" w:after="0"/>
              <w:rPr/>
            </w:pPr>
            <w:r>
              <w:rPr/>
              <w:t>)%</w:t>
            </w:r>
          </w:p>
        </w:tc>
      </w:tr>
      <w:tr>
        <w:trPr/>
        <w:tc>
          <w:tcPr>
            <w:tcW w:w="2150" w:type="dxa"/>
            <w:tcBorders/>
            <w:shd w:fill="CCEEFF" w:val="clear"/>
            <w:vAlign w:val="bottom"/>
          </w:tcPr>
          <w:p>
            <w:pPr>
              <w:pStyle w:val="TableContents"/>
              <w:spacing w:before="0" w:after="0"/>
              <w:ind w:left="324" w:right="0" w:hanging="144"/>
              <w:rPr/>
            </w:pPr>
            <w:r>
              <w:rPr/>
              <w:t>Hong Kong/Taiwan</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4" w:type="dxa"/>
            <w:tcBorders>
              <w:bottom w:val="single" w:sz="12" w:space="0" w:color="000000"/>
            </w:tcBorders>
            <w:shd w:fill="CCEEFF" w:val="clear"/>
            <w:tcMar>
              <w:bottom w:w="28" w:type="dxa"/>
            </w:tcMar>
            <w:vAlign w:val="bottom"/>
          </w:tcPr>
          <w:p>
            <w:pPr>
              <w:pStyle w:val="TableContents"/>
              <w:spacing w:before="0" w:after="0"/>
              <w:jc w:val="right"/>
              <w:rPr/>
            </w:pPr>
            <w:r>
              <w:rPr/>
              <w:t>2,688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4" w:type="dxa"/>
            <w:tcBorders>
              <w:bottom w:val="single" w:sz="12" w:space="0" w:color="000000"/>
            </w:tcBorders>
            <w:shd w:fill="CCEEFF" w:val="clear"/>
            <w:tcMar>
              <w:bottom w:w="28" w:type="dxa"/>
            </w:tcMar>
            <w:vAlign w:val="bottom"/>
          </w:tcPr>
          <w:p>
            <w:pPr>
              <w:pStyle w:val="TableContents"/>
              <w:spacing w:before="0" w:after="0"/>
              <w:jc w:val="right"/>
              <w:rPr/>
            </w:pPr>
            <w:r>
              <w:rPr/>
              <w:t>3,253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692" w:type="dxa"/>
            <w:tcBorders/>
            <w:shd w:fill="CCEEFF" w:val="clear"/>
            <w:vAlign w:val="bottom"/>
          </w:tcPr>
          <w:p>
            <w:pPr>
              <w:pStyle w:val="TableContents"/>
              <w:spacing w:before="0" w:after="0"/>
              <w:jc w:val="right"/>
              <w:rPr/>
            </w:pPr>
            <w:r>
              <w:rPr/>
              <w:t>(17</w:t>
            </w:r>
          </w:p>
        </w:tc>
        <w:tc>
          <w:tcPr>
            <w:tcW w:w="305" w:type="dxa"/>
            <w:tcBorders/>
            <w:shd w:fill="CCEEFF" w:val="clear"/>
            <w:vAlign w:val="bottom"/>
          </w:tcPr>
          <w:p>
            <w:pPr>
              <w:pStyle w:val="TableContents"/>
              <w:spacing w:before="0" w:after="0"/>
              <w:rPr/>
            </w:pPr>
            <w:r>
              <w:rPr/>
              <w:t>)%</w:t>
            </w:r>
          </w:p>
        </w:tc>
      </w:tr>
      <w:tr>
        <w:trPr/>
        <w:tc>
          <w:tcPr>
            <w:tcW w:w="2150" w:type="dxa"/>
            <w:tcBorders/>
            <w:shd w:fill="auto" w:val="clear"/>
            <w:vAlign w:val="bottom"/>
          </w:tcPr>
          <w:p>
            <w:pPr>
              <w:pStyle w:val="TableContents"/>
              <w:spacing w:before="0" w:after="0"/>
              <w:ind w:left="144" w:right="0" w:hanging="144"/>
              <w:rPr>
                <w:b/>
              </w:rPr>
            </w:pPr>
            <w:r>
              <w:rPr>
                <w:b/>
              </w:rPr>
              <w:t>Total Sales Leaders</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4" w:type="dxa"/>
            <w:tcBorders>
              <w:bottom w:val="single" w:sz="12" w:space="0" w:color="000000"/>
            </w:tcBorders>
            <w:shd w:fill="auto" w:val="clear"/>
            <w:tcMar>
              <w:bottom w:w="30" w:type="dxa"/>
            </w:tcMar>
            <w:vAlign w:val="bottom"/>
          </w:tcPr>
          <w:p>
            <w:pPr>
              <w:pStyle w:val="TableContents"/>
              <w:spacing w:before="0" w:after="0"/>
              <w:jc w:val="right"/>
              <w:rPr/>
            </w:pPr>
            <w:r>
              <w:rPr/>
              <w:t>43,755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4" w:type="dxa"/>
            <w:tcBorders>
              <w:bottom w:val="single" w:sz="12" w:space="0" w:color="000000"/>
            </w:tcBorders>
            <w:shd w:fill="auto" w:val="clear"/>
            <w:tcMar>
              <w:bottom w:w="28" w:type="dxa"/>
            </w:tcMar>
            <w:vAlign w:val="bottom"/>
          </w:tcPr>
          <w:p>
            <w:pPr>
              <w:pStyle w:val="TableContents"/>
              <w:spacing w:before="0" w:after="0"/>
              <w:jc w:val="right"/>
              <w:rPr/>
            </w:pPr>
            <w:r>
              <w:rPr/>
              <w:t>52,463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0"/>
              <w:jc w:val="right"/>
              <w:rPr/>
            </w:pPr>
            <w:r>
              <w:rPr/>
              <w:t>(17</w:t>
            </w:r>
          </w:p>
        </w:tc>
        <w:tc>
          <w:tcPr>
            <w:tcW w:w="305" w:type="dxa"/>
            <w:tcBorders/>
            <w:shd w:fill="auto" w:val="clear"/>
            <w:vAlign w:val="bottom"/>
          </w:tcPr>
          <w:p>
            <w:pPr>
              <w:pStyle w:val="TableContents"/>
              <w:spacing w:before="0" w:after="0"/>
              <w:rPr/>
            </w:pPr>
            <w:r>
              <w:rPr/>
              <w:t>)%</w:t>
            </w:r>
          </w:p>
        </w:tc>
      </w:tr>
    </w:tbl>
    <w:p>
      <w:pPr>
        <w:pStyle w:val="TextBody"/>
        <w:spacing w:before="0" w:after="0"/>
        <w:rPr/>
      </w:pPr>
      <w:r>
        <w:rPr/>
      </w:r>
    </w:p>
    <w:tbl>
      <w:tblPr>
        <w:tblW w:w="10135" w:type="dxa"/>
        <w:jc w:val="left"/>
        <w:tblInd w:w="0" w:type="dxa"/>
        <w:tblCellMar>
          <w:top w:w="0" w:type="dxa"/>
          <w:left w:w="0" w:type="dxa"/>
          <w:bottom w:w="0" w:type="dxa"/>
          <w:right w:w="0" w:type="dxa"/>
        </w:tblCellMar>
      </w:tblPr>
      <w:tblGrid>
        <w:gridCol w:w="305"/>
        <w:gridCol w:w="9830"/>
      </w:tblGrid>
      <w:tr>
        <w:trPr/>
        <w:tc>
          <w:tcPr>
            <w:tcW w:w="305" w:type="dxa"/>
            <w:tcBorders/>
            <w:shd w:fill="auto" w:val="clear"/>
            <w:vAlign w:val="center"/>
          </w:tcPr>
          <w:p>
            <w:pPr>
              <w:pStyle w:val="TableContents"/>
              <w:spacing w:before="0" w:after="0"/>
              <w:jc w:val="both"/>
              <w:rPr/>
            </w:pPr>
            <w:r>
              <w:rPr/>
              <w:t>(1)</w:t>
            </w:r>
          </w:p>
        </w:tc>
        <w:tc>
          <w:tcPr>
            <w:tcW w:w="9830" w:type="dxa"/>
            <w:tcBorders/>
            <w:shd w:fill="auto" w:val="clear"/>
            <w:vAlign w:val="center"/>
          </w:tcPr>
          <w:p>
            <w:pPr>
              <w:pStyle w:val="TableContents"/>
              <w:spacing w:before="0" w:after="0"/>
              <w:jc w:val="both"/>
              <w:rPr/>
            </w:pPr>
            <w:r>
              <w:rPr/>
              <w:t>The March 31, 2023 number reflects a modified Sales Leader definition. See “Mainland China,” below.</w:t>
            </w:r>
          </w:p>
        </w:tc>
      </w:tr>
    </w:tbl>
    <w:p>
      <w:pPr>
        <w:pStyle w:val="TextBody"/>
        <w:spacing w:before="0" w:after="0"/>
        <w:jc w:val="both"/>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following is a narrative discussion of our results in each segment, which supplements the tables above.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Americas</w:t>
      </w:r>
      <w:r>
        <w:rPr>
          <w:rFonts w:ascii="Times New Roman" w:hAnsi="Times New Roman"/>
          <w:color w:val="000000"/>
          <w:sz w:val="20"/>
        </w:rPr>
        <w:t>. The decline in revenue, Customers, Paid Affiliates and Sales Leaders in our Americas segment is attributable to the decline in momentum in our North America markets, while our Latin America markets continue to be challenged by macroeconomic issues. We recently launched our new affiliates rewards and recognition program in North America and are adjusting the structure of our sales compensation in our Latin America markets.  We remain optimistic for our upcoming product launches in the Americas segment, which include products aimed at social selling along with our latest connected device, which we expect to preview with our Sales Leaders by the end of the year, pending regulatory clearance.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year-over-year decline in segment contribution for the first quarter of 2023 primarily reflects the decrease in revenue and the fixed nature of general and administrative expenses.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South Korea</w:t>
      </w:r>
      <w:r>
        <w:rPr>
          <w:rFonts w:ascii="Times New Roman" w:hAnsi="Times New Roman"/>
          <w:color w:val="000000"/>
          <w:sz w:val="20"/>
        </w:rPr>
        <w:t xml:space="preserve">. Our first quarter of 2023 constant-currency revenue increased 3% compared to 2022; our reported revenue reflects a 6% negative impact from foreign-currency fluctuations. During the first quarter of 2023, we previewed our latest personalized wellness product, </w:t>
      </w:r>
      <w:r>
        <w:rPr>
          <w:rFonts w:ascii="Times New Roman" w:hAnsi="Times New Roman"/>
          <w:i/>
          <w:color w:val="000000"/>
          <w:sz w:val="20"/>
        </w:rPr>
        <w:t>ageLOC TRMe</w:t>
      </w:r>
      <w:r>
        <w:rPr>
          <w:rFonts w:ascii="Times New Roman" w:hAnsi="Times New Roman"/>
          <w:color w:val="000000"/>
          <w:sz w:val="20"/>
        </w:rPr>
        <w:t>, which generated approximately $19.4 million in revenue.  Our Sales Leaders for the quarter increased 3%, which is attributable to the limited preview, while our Customers and Paid Affiliates declined 14% and 18%, respectively.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year-over-year increase in segment contribution primarily reflects a 2.7 percentage point increase in gross margin from a favorable product mix, and a decline in general and administrative expenses from savings generated by our 2022 restructuring.</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Mainland China</w:t>
      </w:r>
      <w:r>
        <w:rPr>
          <w:rFonts w:ascii="Times New Roman" w:hAnsi="Times New Roman"/>
          <w:color w:val="000000"/>
          <w:sz w:val="20"/>
        </w:rPr>
        <w:t xml:space="preserve">.  Our Mainland China market continued to be challenged during the first quarter of 2023.  While the market has been opening up from the COVID-related restrictions, we are anticipating the first half of 2023 to remain difficult.  As a result of the economic headwinds in the market, we made some modifications to the compensation plan during the third quarter of 2022, which provides leaders more flexible requirements to maintain their business. Our Mainland China Sales Leaders number as of March 31, 2023 reflects these modified requirements. Our Paid Affiliates benefited from promotional efforts during the quarter. We remain optimistic in the potential of our Mainland China market, with our upcoming product launches of </w:t>
      </w:r>
      <w:r>
        <w:rPr>
          <w:rFonts w:ascii="Times New Roman" w:hAnsi="Times New Roman"/>
          <w:i/>
          <w:color w:val="000000"/>
          <w:sz w:val="20"/>
        </w:rPr>
        <w:t xml:space="preserve">ageLOC TRMe </w:t>
      </w:r>
      <w:r>
        <w:rPr>
          <w:rFonts w:ascii="Times New Roman" w:hAnsi="Times New Roman"/>
          <w:color w:val="000000"/>
          <w:sz w:val="20"/>
        </w:rPr>
        <w:t>and the latest connected device, which we plan to preview with our Sales Leaders in the fourth quarter of 2023.</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year-over-year decrease in segment contribution for the first quarter of 2023 primarily reflects lower revenue, and the fixed nature of general and administrative expenses.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Southeast Asia/Pacific</w:t>
      </w:r>
      <w:r>
        <w:rPr>
          <w:rFonts w:ascii="Times New Roman" w:hAnsi="Times New Roman"/>
          <w:color w:val="000000"/>
          <w:sz w:val="20"/>
        </w:rPr>
        <w:t xml:space="preserve">. The decline in revenue, Customers, Paid Affiliates and Sales Leaders for the first quarter of 2023, is partially attributable to our first quarter of 2022 launch of </w:t>
      </w:r>
      <w:r>
        <w:rPr>
          <w:rFonts w:ascii="Times New Roman" w:hAnsi="Times New Roman"/>
          <w:i/>
          <w:color w:val="000000"/>
          <w:sz w:val="20"/>
        </w:rPr>
        <w:t>ageLOC Meta (</w:t>
      </w:r>
      <w:r>
        <w:rPr>
          <w:rFonts w:ascii="Times New Roman" w:hAnsi="Times New Roman"/>
          <w:color w:val="000000"/>
          <w:sz w:val="20"/>
        </w:rPr>
        <w:t xml:space="preserve">locally referred to as </w:t>
      </w:r>
      <w:r>
        <w:rPr>
          <w:rFonts w:ascii="Times New Roman" w:hAnsi="Times New Roman"/>
          <w:i/>
          <w:color w:val="000000"/>
          <w:sz w:val="20"/>
        </w:rPr>
        <w:t>ageLOC Reset</w:t>
      </w:r>
      <w:r>
        <w:rPr>
          <w:rFonts w:ascii="Times New Roman" w:hAnsi="Times New Roman"/>
          <w:color w:val="000000"/>
          <w:sz w:val="20"/>
        </w:rPr>
        <w:t xml:space="preserve"> in the Southeast Asia markets), which generated approximately $13.2 million in revenue along with a slowdown of momentum from the general macro-economic factors in the markets along with our recent price increases to address inflation.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year-over-year decrease in segment contribution is primarily attributable to the decline in revenue, along with a decline in gross margin due to product mix.</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Japan</w:t>
      </w:r>
      <w:r>
        <w:rPr>
          <w:rFonts w:ascii="Times New Roman" w:hAnsi="Times New Roman"/>
          <w:color w:val="000000"/>
          <w:sz w:val="20"/>
        </w:rPr>
        <w:t xml:space="preserve">. The decline in revenue is primarily attributable to a 12% negative impact from unfavorable foreign-currency fluctuations.  In addition, our revenue, Customers, Paid Affiliates, and Sales Leaders were negatively impacted by decreased promotions in the period along with timing of our product launches, as the first quarter of 2022 contained our </w:t>
      </w:r>
      <w:r>
        <w:rPr>
          <w:rFonts w:ascii="Times New Roman" w:hAnsi="Times New Roman"/>
          <w:i/>
          <w:color w:val="000000"/>
          <w:sz w:val="20"/>
        </w:rPr>
        <w:t xml:space="preserve">ageLOC Meta, </w:t>
      </w:r>
      <w:r>
        <w:rPr>
          <w:rFonts w:ascii="Times New Roman" w:hAnsi="Times New Roman"/>
          <w:color w:val="000000"/>
          <w:sz w:val="20"/>
        </w:rPr>
        <w:t xml:space="preserve">while we recently launched </w:t>
      </w:r>
      <w:r>
        <w:rPr>
          <w:rFonts w:ascii="Times New Roman" w:hAnsi="Times New Roman"/>
          <w:i/>
          <w:color w:val="000000"/>
          <w:sz w:val="20"/>
        </w:rPr>
        <w:t xml:space="preserve">Beauty Focus Collagen+ </w:t>
      </w:r>
      <w:r>
        <w:rPr>
          <w:rFonts w:ascii="Times New Roman" w:hAnsi="Times New Roman"/>
          <w:color w:val="000000"/>
          <w:sz w:val="20"/>
        </w:rPr>
        <w:t>in the second quarter of 2023.</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year-over-year decline in segment contribution reflects the decreased revenue, partially offset by a decline in general and administrative expenses attributable to savings from our 2022 restructuring plan.</w:t>
      </w:r>
    </w:p>
    <w:p>
      <w:pPr>
        <w:pStyle w:val="TextBody"/>
        <w:spacing w:before="0" w:after="0"/>
        <w:jc w:val="both"/>
        <w:rPr>
          <w:color w:val="000000"/>
        </w:rPr>
      </w:pPr>
      <w:r>
        <w:rPr>
          <w:color w:val="000000"/>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u w:val="single"/>
        </w:rPr>
        <w:t>EMEA</w:t>
      </w:r>
      <w:r>
        <w:rPr>
          <w:rFonts w:ascii="Times New Roman" w:hAnsi="Times New Roman"/>
          <w:color w:val="000000"/>
          <w:sz w:val="20"/>
        </w:rPr>
        <w:t xml:space="preserve">. The continued softening of momentum in our EMEA segment, further driven by the distractions to our sales force from the ongoing geopolitical conflict, led to a 10% decline in revenue for the quarter. Our reported revenue was negatively impacted 4% from foreign-currency fluctuations. Approximately 10% of our EMEA segment revenue was from our </w:t>
      </w:r>
      <w:r>
        <w:rPr>
          <w:rFonts w:ascii="Times New Roman" w:hAnsi="Times New Roman"/>
          <w:i/>
          <w:color w:val="000000"/>
          <w:sz w:val="20"/>
        </w:rPr>
        <w:t>ageLOC Lumispa iO</w:t>
      </w:r>
      <w:r>
        <w:rPr>
          <w:rFonts w:ascii="Times New Roman" w:hAnsi="Times New Roman"/>
          <w:color w:val="000000"/>
          <w:sz w:val="20"/>
        </w:rPr>
        <w:t>, as we prepare for the second half of 2023 launch of the latest connected device</w:t>
      </w:r>
      <w:r>
        <w:rPr>
          <w:rFonts w:ascii="Times New Roman" w:hAnsi="Times New Roman"/>
          <w:i/>
          <w:color w:val="000000"/>
          <w:sz w:val="20"/>
        </w:rPr>
        <w: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year-over-year increase in segment contribution reflects slight increases in gross margin, a 2.7 percentage point decrease in selling expenses as a percentage of revenue from higher cost associated with the incentive trips in our first quarter of 2022, all partially offset by the decline in revenue.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Hong Kong/Taiwan</w:t>
      </w:r>
      <w:r>
        <w:rPr>
          <w:rFonts w:ascii="Times New Roman" w:hAnsi="Times New Roman"/>
          <w:color w:val="000000"/>
          <w:sz w:val="20"/>
        </w:rPr>
        <w:t>. Our Hong Kong/Taiwan segment reported a 10% decline in revenue for the first quarter of 2023, with a 5% negative impact from unfavorable foreign-currency fluctuations.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decline in segment contribution was primarily driven by the decline in revenue, partially offset by a 1.2 percentage point decline in selling expenses as a percent of revenue from sales mix, as our products have differing commission percentages assigned to them.</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Manufacturing</w:t>
      </w:r>
      <w:r>
        <w:rPr>
          <w:rFonts w:ascii="Times New Roman" w:hAnsi="Times New Roman"/>
          <w:color w:val="000000"/>
          <w:sz w:val="20"/>
        </w:rPr>
        <w:t>. Our Manufacturing segment revenue declined 11% for the first quarter of 2023, primarily due to our customers continuing to rebalance their inventory from the higher levels in 2021, reducing current demand.  We are beginning to see an increase in orders and anticipating returning to growth in the second quarter.</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decline in segment contribution is attributed to the lower revenue on fixed costs, along with the revenue mix between our manufacturing entities with different profitability and increased labor rates from inflationary pressures.</w:t>
      </w:r>
    </w:p>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Consolidated Results</w:t>
      </w:r>
    </w:p>
    <w:p>
      <w:pPr>
        <w:pStyle w:val="TextBody"/>
        <w:spacing w:before="0" w:after="0"/>
        <w:jc w:val="left"/>
        <w:rPr/>
      </w:pPr>
      <w:r>
        <w:rPr/>
      </w:r>
    </w:p>
    <w:p>
      <w:pPr>
        <w:pStyle w:val="TextBody"/>
        <w:spacing w:before="0" w:after="0"/>
        <w:jc w:val="both"/>
        <w:rPr>
          <w:rFonts w:ascii="Times New Roman" w:hAnsi="Times New Roman"/>
          <w:b/>
          <w:color w:val="000000"/>
          <w:sz w:val="20"/>
          <w:u w:val="single"/>
        </w:rPr>
      </w:pPr>
      <w:r>
        <w:rPr>
          <w:rFonts w:ascii="Times New Roman" w:hAnsi="Times New Roman"/>
          <w:b/>
          <w:color w:val="000000"/>
          <w:sz w:val="20"/>
          <w:u w:val="single"/>
        </w:rPr>
        <w:t>Revenue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Revenue for the three-month period ended March 31, 2023 decreased 20% to $481.5 million, compared to $604.9 million in the prior-year period. For a discussion and analysis of this decrease in revenue, see “Overview” and “Segment Results,” above.</w:t>
      </w:r>
    </w:p>
    <w:p>
      <w:pPr>
        <w:pStyle w:val="TextBody"/>
        <w:spacing w:before="0" w:after="0"/>
        <w:jc w:val="left"/>
        <w:rPr/>
      </w:pPr>
      <w:r>
        <w:rPr/>
      </w:r>
    </w:p>
    <w:p>
      <w:pPr>
        <w:pStyle w:val="TextBody"/>
        <w:spacing w:before="0" w:after="0"/>
        <w:jc w:val="both"/>
        <w:rPr>
          <w:rFonts w:ascii="Times New Roman" w:hAnsi="Times New Roman"/>
          <w:b/>
          <w:color w:val="000000"/>
          <w:sz w:val="20"/>
          <w:u w:val="single"/>
        </w:rPr>
      </w:pPr>
      <w:r>
        <w:rPr>
          <w:rFonts w:ascii="Times New Roman" w:hAnsi="Times New Roman"/>
          <w:b/>
          <w:color w:val="000000"/>
          <w:sz w:val="20"/>
          <w:u w:val="single"/>
        </w:rPr>
        <w:t>Gross profit</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Gross profit as a percentage of revenue was 72.3% for the first quarter of 2023 compared to 73.3% for the prior-year period.  The gross margin of our core Nu Skin business declined 0.1 percentage points to 76.4%.  The decline in our gross margin is predominately attributed to a decline in gross margin at our manufacturing segment.</w:t>
      </w:r>
    </w:p>
    <w:p>
      <w:pPr>
        <w:pStyle w:val="TextBody"/>
        <w:spacing w:before="0" w:after="0"/>
        <w:jc w:val="left"/>
        <w:rPr/>
      </w:pPr>
      <w:r>
        <w:rPr/>
      </w:r>
    </w:p>
    <w:p>
      <w:pPr>
        <w:pStyle w:val="TextBody"/>
        <w:spacing w:before="0" w:after="0"/>
        <w:jc w:val="both"/>
        <w:rPr>
          <w:rFonts w:ascii="Times New Roman" w:hAnsi="Times New Roman"/>
          <w:b/>
          <w:color w:val="000000"/>
          <w:sz w:val="20"/>
          <w:u w:val="single"/>
        </w:rPr>
      </w:pPr>
      <w:r>
        <w:rPr>
          <w:rFonts w:ascii="Times New Roman" w:hAnsi="Times New Roman"/>
          <w:b/>
          <w:color w:val="000000"/>
          <w:sz w:val="20"/>
          <w:u w:val="single"/>
        </w:rPr>
        <w:t>Selling expenses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Selling expenses as a percentage of revenue was 39.1% for the first quarter of 2023, compared to 40.1% for the prior-year period.  Selling expenses for our core Nu Skin business as a percentage of revenue decreased 1.3 percentage points to 41.7% for the first quarter of 2023.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fluctuates plus or minus approximately 100 basis points from period to period.</w:t>
      </w:r>
    </w:p>
    <w:p>
      <w:pPr>
        <w:pStyle w:val="TextBody"/>
        <w:spacing w:before="0" w:after="0"/>
        <w:jc w:val="left"/>
        <w:rPr/>
      </w:pPr>
      <w:r>
        <w:rPr/>
      </w:r>
    </w:p>
    <w:p>
      <w:pPr>
        <w:pStyle w:val="TextBody"/>
        <w:spacing w:before="0" w:after="0"/>
        <w:jc w:val="both"/>
        <w:rPr>
          <w:rFonts w:ascii="Times New Roman" w:hAnsi="Times New Roman"/>
          <w:b/>
          <w:color w:val="000000"/>
          <w:sz w:val="20"/>
          <w:u w:val="single"/>
        </w:rPr>
      </w:pPr>
      <w:r>
        <w:rPr>
          <w:rFonts w:ascii="Times New Roman" w:hAnsi="Times New Roman"/>
          <w:b/>
          <w:color w:val="000000"/>
          <w:sz w:val="20"/>
          <w:u w:val="single"/>
        </w:rPr>
        <w:t>General and administrative expenses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General and administrative expenses decreased to $133.9 million in the first quarter of 2023, compared to $148.6 million in the prior-year period. The $14.7 million decline is primarily from a $8.9 million contraction in labor expenses and $4.6 million decline in occupancy related expenses, both attributable to our 2022 restructuring in which we reduced our physical footprint and reduced our headcount. General and administrative expenses as a percentage of revenue increased to 27.8% for the first quarter of 2023 from 24.6% for the prior-year period.</w:t>
      </w:r>
    </w:p>
    <w:p>
      <w:pPr>
        <w:pStyle w:val="TextBody"/>
        <w:spacing w:before="0" w:after="0"/>
        <w:jc w:val="both"/>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b/>
          <w:color w:val="000000"/>
          <w:sz w:val="20"/>
          <w:u w:val="single"/>
        </w:rPr>
      </w:pPr>
      <w:r>
        <w:rPr>
          <w:rFonts w:ascii="Times New Roman" w:hAnsi="Times New Roman"/>
          <w:b/>
          <w:color w:val="000000"/>
          <w:sz w:val="20"/>
          <w:u w:val="single"/>
        </w:rPr>
        <w:t>Restructuring and impairment expenses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the third quarter of 2022, we adopted a strategic plan to focus resources on our strategic priorities and optimize future growth and profitability. The global program includes workforce reductions and footprint optimization. We estimate total charges under the program will approximate $53.3 million, with $40.8 million in cash charges of severance and lease termination cost and approximately $12.5 million of non-cash charges of impairment of fixed assets, acceleration of depreciation and other intangibles related to the footprint optimization. We expect to substantially complete the program during the first half of 2023. During the third and fourth quarters of 2022, we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the first quarter of 2023 we incurred charges to be settled in cash of $4.0 million in severance charges, $1.9 million in lease termination cost, and $2.2 million in other associated cost, and non-cash charges of $1.7 million in accelerated depreciation.</w:t>
      </w:r>
    </w:p>
    <w:p>
      <w:pPr>
        <w:pStyle w:val="TextBody"/>
        <w:spacing w:before="0" w:after="0"/>
        <w:jc w:val="left"/>
        <w:rPr/>
      </w:pPr>
      <w:r>
        <w:rPr/>
      </w:r>
    </w:p>
    <w:p>
      <w:pPr>
        <w:pStyle w:val="TextBody"/>
        <w:spacing w:before="0" w:after="0"/>
        <w:jc w:val="both"/>
        <w:rPr>
          <w:rFonts w:ascii="Times New Roman" w:hAnsi="Times New Roman"/>
          <w:b/>
          <w:color w:val="000000"/>
          <w:sz w:val="20"/>
          <w:u w:val="single"/>
        </w:rPr>
      </w:pPr>
      <w:r>
        <w:rPr>
          <w:rFonts w:ascii="Times New Roman" w:hAnsi="Times New Roman"/>
          <w:b/>
          <w:color w:val="000000"/>
          <w:sz w:val="20"/>
          <w:u w:val="single"/>
        </w:rPr>
        <w:t>Other income (expense), net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Other expense, net for the first quarter of 2023 and 2022 remained constant at $1.5 million.</w:t>
      </w:r>
    </w:p>
    <w:p>
      <w:pPr>
        <w:pStyle w:val="TextBody"/>
        <w:spacing w:before="0" w:after="0"/>
        <w:jc w:val="left"/>
        <w:rPr/>
      </w:pPr>
      <w:r>
        <w:rPr/>
      </w:r>
    </w:p>
    <w:p>
      <w:pPr>
        <w:pStyle w:val="TextBody"/>
        <w:spacing w:before="0" w:after="0"/>
        <w:jc w:val="both"/>
        <w:rPr>
          <w:rFonts w:ascii="Times New Roman" w:hAnsi="Times New Roman"/>
          <w:b/>
          <w:color w:val="000000"/>
          <w:sz w:val="20"/>
          <w:u w:val="single"/>
        </w:rPr>
      </w:pPr>
      <w:r>
        <w:rPr>
          <w:rFonts w:ascii="Times New Roman" w:hAnsi="Times New Roman"/>
          <w:b/>
          <w:color w:val="000000"/>
          <w:sz w:val="20"/>
          <w:u w:val="single"/>
        </w:rPr>
        <w:t>Provision for income taxes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Provision for income taxes for the first quarter of 2023 was $3.2 million, compared to $12.0 million for the prior-year period. The effective tax rate was 22.0% of pre-tax book income during the first quarter of 2023 compared to 23.6% in the prior-year period. Our first quarter of 2023 effective tax rate benefited from the statute of limitations expiration for an uncertain tax position.</w:t>
      </w:r>
    </w:p>
    <w:p>
      <w:pPr>
        <w:pStyle w:val="TextBody"/>
        <w:spacing w:before="0" w:after="0"/>
        <w:jc w:val="left"/>
        <w:rPr/>
      </w:pPr>
      <w:r>
        <w:rPr/>
      </w:r>
    </w:p>
    <w:p>
      <w:pPr>
        <w:pStyle w:val="TextBody"/>
        <w:spacing w:before="0" w:after="0"/>
        <w:jc w:val="both"/>
        <w:rPr>
          <w:rFonts w:ascii="Times New Roman" w:hAnsi="Times New Roman"/>
          <w:b/>
          <w:color w:val="000000"/>
          <w:sz w:val="20"/>
          <w:u w:val="single"/>
        </w:rPr>
      </w:pPr>
      <w:r>
        <w:rPr>
          <w:rFonts w:ascii="Times New Roman" w:hAnsi="Times New Roman"/>
          <w:b/>
          <w:color w:val="000000"/>
          <w:sz w:val="20"/>
          <w:u w:val="single"/>
        </w:rPr>
        <w:t>Net income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a result of the foregoing factors, net income for the first quarter of 2023 was $11.4 million compared to $38.7 million in the prior-year period.</w:t>
      </w:r>
    </w:p>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However, in the first three months of 2023, we had a net outflow of  $22.1 million in cash from operations, compared to $7.5 million in cash from operations during the prior-year period. The decrease in cash flow from operations primarily reflects an approximate $19.7 million increase in inventory during the period, compared to a decrease in the prior year period, as we begin to stage inventory for our upcoming product launches. Our cash from operations was also impacted by lower net income in 2023, offset by a higher payout of accruals in the first quarter of 2022, primarily from sales commissions. Cash and cash equivalents, including current investments, as of March 31, 2023 and December 31, 2022 were $246.7 million and $278.5 million, respectively, with the decrease being driven by our quarterly dividend payments, capital expenditures, as discussed below, and payment on liabilities associated with our 2022 restructuring plan, partially offset by borrowings on our revolving credit facility.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Working capital</w:t>
      </w:r>
      <w:r>
        <w:rPr>
          <w:rFonts w:ascii="Times New Roman" w:hAnsi="Times New Roman"/>
          <w:color w:val="000000"/>
          <w:sz w:val="20"/>
        </w:rPr>
        <w:t>. As of March 31, 2023, working capital was $400.8 million, compared to $400.6 million as of December 31,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Capital expenditures</w:t>
      </w:r>
      <w:r>
        <w:rPr>
          <w:rFonts w:ascii="Times New Roman" w:hAnsi="Times New Roman"/>
          <w:color w:val="000000"/>
          <w:sz w:val="20"/>
        </w:rPr>
        <w:t>. Capital expenditures for the three months ended March 31, 2023 were $11.5 million. We expect that our capital expenditures in 2023 will be primarily related to:</w:t>
      </w:r>
    </w:p>
    <w:p>
      <w:pPr>
        <w:pStyle w:val="TextBody"/>
        <w:spacing w:before="0" w:after="0"/>
        <w:jc w:val="left"/>
        <w:rPr/>
      </w:pPr>
      <w:r>
        <w:rPr/>
      </w:r>
    </w:p>
    <w:tbl>
      <w:tblPr>
        <w:tblW w:w="10188" w:type="dxa"/>
        <w:jc w:val="left"/>
        <w:tblInd w:w="0" w:type="dxa"/>
        <w:tblCellMar>
          <w:top w:w="0" w:type="dxa"/>
          <w:left w:w="0" w:type="dxa"/>
          <w:bottom w:w="0" w:type="dxa"/>
          <w:right w:w="0" w:type="dxa"/>
        </w:tblCellMar>
      </w:tblPr>
      <w:tblGrid>
        <w:gridCol w:w="38"/>
        <w:gridCol w:w="170"/>
        <w:gridCol w:w="9980"/>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9980" w:type="dxa"/>
            <w:tcBorders/>
            <w:shd w:fill="auto" w:val="clear"/>
            <w:vAlign w:val="center"/>
          </w:tcPr>
          <w:p>
            <w:pPr>
              <w:pStyle w:val="TableContents"/>
              <w:spacing w:before="0" w:after="0"/>
              <w:jc w:val="both"/>
              <w:rPr>
                <w:color w:val="000000"/>
              </w:rPr>
            </w:pPr>
            <w:r>
              <w:rPr>
                <w:color w:val="000000"/>
              </w:rPr>
              <w:t>purchases and expenditures for computer systems and equipment, software, and application development;</w:t>
            </w:r>
          </w:p>
        </w:tc>
      </w:tr>
    </w:tbl>
    <w:tbl>
      <w:tblPr>
        <w:tblW w:w="6498" w:type="dxa"/>
        <w:jc w:val="left"/>
        <w:tblInd w:w="0" w:type="dxa"/>
        <w:tblCellMar>
          <w:top w:w="0" w:type="dxa"/>
          <w:left w:w="0" w:type="dxa"/>
          <w:bottom w:w="0" w:type="dxa"/>
          <w:right w:w="0" w:type="dxa"/>
        </w:tblCellMar>
      </w:tblPr>
      <w:tblGrid>
        <w:gridCol w:w="38"/>
        <w:gridCol w:w="170"/>
        <w:gridCol w:w="6290"/>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6290" w:type="dxa"/>
            <w:tcBorders/>
            <w:shd w:fill="auto" w:val="clear"/>
            <w:vAlign w:val="center"/>
          </w:tcPr>
          <w:p>
            <w:pPr>
              <w:pStyle w:val="TableContents"/>
              <w:spacing w:before="0" w:after="0"/>
              <w:jc w:val="both"/>
              <w:rPr>
                <w:color w:val="000000"/>
              </w:rPr>
            </w:pPr>
            <w:r>
              <w:rPr>
                <w:color w:val="000000"/>
              </w:rPr>
              <w:t>the expansion and upgrade of facilities in our various markets; and</w:t>
            </w:r>
          </w:p>
        </w:tc>
      </w:tr>
    </w:tbl>
    <w:tbl>
      <w:tblPr>
        <w:tblW w:w="4653" w:type="dxa"/>
        <w:jc w:val="left"/>
        <w:tblInd w:w="0" w:type="dxa"/>
        <w:tblCellMar>
          <w:top w:w="0" w:type="dxa"/>
          <w:left w:w="0" w:type="dxa"/>
          <w:bottom w:w="0" w:type="dxa"/>
          <w:right w:w="0" w:type="dxa"/>
        </w:tblCellMar>
      </w:tblPr>
      <w:tblGrid>
        <w:gridCol w:w="38"/>
        <w:gridCol w:w="170"/>
        <w:gridCol w:w="444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4445" w:type="dxa"/>
            <w:tcBorders/>
            <w:shd w:fill="auto" w:val="clear"/>
            <w:vAlign w:val="center"/>
          </w:tcPr>
          <w:p>
            <w:pPr>
              <w:pStyle w:val="TableContents"/>
              <w:spacing w:before="0" w:after="0"/>
              <w:jc w:val="both"/>
              <w:rPr>
                <w:color w:val="000000"/>
              </w:rPr>
            </w:pPr>
            <w:r>
              <w:rPr>
                <w:color w:val="000000"/>
              </w:rPr>
              <w:t>a new manufacturing plant in Mainland China.</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estimate that capital expenditures for the uses listed above will total approximately $55–75 million for 2023. We are currently expecting to complete construction of the new manufacturing plant in Mainland China in the first half of 2023.  As of March 31, 2023, we have spent approximately $52.1 million on this project, including $1.4 million in the first quarter of 2023 and expect that our expenditures for this project will total approximately $54-56 million, including approximately $3-5 million during 2023.</w:t>
      </w:r>
    </w:p>
    <w:p>
      <w:pPr>
        <w:pStyle w:val="TextBody"/>
        <w:spacing w:before="0" w:after="0"/>
        <w:jc w:val="both"/>
        <w:rPr>
          <w:color w:val="000000"/>
        </w:rPr>
      </w:pPr>
      <w:r>
        <w:rPr>
          <w:color w:val="000000"/>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u w:val="single"/>
        </w:rPr>
        <w:t>Credit Agreement</w:t>
      </w:r>
      <w:r>
        <w:rPr>
          <w:rFonts w:ascii="Times New Roman" w:hAnsi="Times New Roman"/>
          <w:color w:val="000000"/>
          <w:sz w:val="20"/>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SOFR,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March 31, 2023 and December 31, 2022, we had $30.0 million and $10.0 million of outstanding borrowings under our revolving credit facility, and $392.5 million and $395.0 million on our term loan facility. The carrying value of the debt also reflects debt issuance costs of $2.4 million and $2.5 million as of March 31, 2023 and December 31, 2022, respectively, related to the Credit Agreement. The Credit Agreement requires us to maintain a consolidated leverage ratio not exceeding 2.25 to 1.00 and a consolidated interest coverage ratio of no less than 3.00 to 1.00. As of March 31, 2023, we were in compliance with all debt covenants under the Credit Agreement.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Derivative Instruments</w:t>
      </w:r>
      <w:r>
        <w:rPr>
          <w:rFonts w:ascii="Times New Roman" w:hAnsi="Times New Roman"/>
          <w:color w:val="000000"/>
          <w:sz w:val="20"/>
        </w:rPr>
        <w:t>. As of March 31, 2023,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Stock repurchase plan</w:t>
      </w:r>
      <w:r>
        <w:rPr>
          <w:rFonts w:ascii="Times New Roman" w:hAnsi="Times New Roman"/>
          <w:color w:val="000000"/>
          <w:sz w:val="20"/>
        </w:rPr>
        <w:t>. In 2018, our board of directors approved a stock repurchase plan authorizing us to repurchase up to $500.0 million of our outstanding shares of Class A common stock on the open market or in private transactions.  During the first quarter of  2023, we repurchased zero shares of our Class A common stock under the plan. As of March 31, 2023, $175.4 million was available for repurchases under the plan. Our stock repurchases are used primarily to offset dilution from our equity incentive plans and for strategic initiatives.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Dividends</w:t>
      </w:r>
      <w:r>
        <w:rPr>
          <w:rFonts w:ascii="Times New Roman" w:hAnsi="Times New Roman"/>
          <w:color w:val="000000"/>
          <w:sz w:val="20"/>
        </w:rPr>
        <w:t>. In February 2023, our board of directors declared a quarterly cash dividend of $0.39 per share. This quarterly cash dividends of $19.4 million was paid on March 8, 2023 to stockholders of record on February 27, 2023. In April 2023, our board of directors declared a quarterly cash dividend of $0.39 per share to be paid on June 7, 2023 to stockholders of record on May 26, 2023.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Cash from foreign subsidiaries</w:t>
      </w:r>
      <w:r>
        <w:rPr>
          <w:rFonts w:ascii="Times New Roman" w:hAnsi="Times New Roman"/>
          <w:color w:val="000000"/>
          <w:sz w:val="20"/>
        </w:rPr>
        <w:t>. As of March 31, 2023 and December 31, 2022, we held $246.7 million and $278.5 million, respectively, in cash and cash equivalents, including current investments. These amounts include $211.4 million and $223.0 million as of March 31, 2023 and December 31, 2022,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March 31, 2023, we had $36.1 million in cash denominated in Chinese RMB. We also have experienced delays in repatriating cash from Argentina. As of March 31, 2023 and December 31, 2022, we had $15.7 million and $14.9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pStyle w:val="TextBody"/>
        <w:spacing w:before="0" w:after="0"/>
        <w:jc w:val="both"/>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Contingent Liabilities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Please refer to Note 11 to the consolidated financial statements contained in this Quarterly Report for information regarding our contingent liabilities.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There were no significant changes in our critical accounting policies or estimates during the first quarter of 2023.</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Seasonality and Cyclicality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Non-GAAP Financial Measures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Available Information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Normal"/>
        <w:spacing w:before="0" w:after="0"/>
        <w:jc w:val="left"/>
        <w:rPr>
          <w:sz w:val="4"/>
          <w:szCs w:val="4"/>
        </w:rPr>
      </w:pPr>
      <w:r>
        <w:rPr>
          <w:sz w:val="4"/>
          <w:szCs w:val="4"/>
        </w:rPr>
      </w:r>
      <w:bookmarkStart w:id="11" w:name="QUANTITATIVEANDQUALITATIV"/>
      <w:bookmarkStart w:id="12" w:name="QUANTITATIVEANDQUALITATIV"/>
      <w:bookmarkEnd w:id="12"/>
    </w:p>
    <w:tbl>
      <w:tblPr>
        <w:tblW w:w="9790" w:type="dxa"/>
        <w:jc w:val="left"/>
        <w:tblInd w:w="0" w:type="dxa"/>
        <w:tblCellMar>
          <w:top w:w="0" w:type="dxa"/>
          <w:left w:w="0" w:type="dxa"/>
          <w:bottom w:w="0" w:type="dxa"/>
          <w:right w:w="0" w:type="dxa"/>
        </w:tblCellMar>
      </w:tblPr>
      <w:tblGrid>
        <w:gridCol w:w="920"/>
        <w:gridCol w:w="8870"/>
      </w:tblGrid>
      <w:tr>
        <w:trPr/>
        <w:tc>
          <w:tcPr>
            <w:tcW w:w="920" w:type="dxa"/>
            <w:tcBorders/>
            <w:shd w:fill="auto" w:val="clear"/>
            <w:vAlign w:val="center"/>
          </w:tcPr>
          <w:p>
            <w:pPr>
              <w:pStyle w:val="TableContents"/>
              <w:spacing w:before="0" w:after="283"/>
              <w:rPr>
                <w:b/>
              </w:rPr>
            </w:pPr>
            <w:r>
              <w:rPr>
                <w:b/>
              </w:rPr>
              <w:t>ITEM 3.</w:t>
            </w:r>
          </w:p>
        </w:tc>
        <w:tc>
          <w:tcPr>
            <w:tcW w:w="8870" w:type="dxa"/>
            <w:tcBorders/>
            <w:shd w:fill="auto" w:val="clear"/>
            <w:vAlign w:val="center"/>
          </w:tcPr>
          <w:p>
            <w:pPr>
              <w:pStyle w:val="TableContents"/>
              <w:spacing w:before="0" w:after="0"/>
              <w:rPr>
                <w:b/>
                <w:u w:val="single"/>
              </w:rPr>
            </w:pPr>
            <w:r>
              <w:rPr>
                <w:b/>
                <w:u w:val="single"/>
              </w:rPr>
              <w:t>QUANTITATIVE AND QUALITATIVE DISCLOSURES ABOUT MARKET RISK</w:t>
            </w:r>
          </w:p>
        </w:tc>
      </w:tr>
    </w:tbl>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Currency Risk and Exchange Rate Information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March 31, 2023, our subsidiary in Argentina had a small net peso monetary position. Net sales of our subsidiary in Argentina were less than 2% of our consolidated net sales for the three-month periods ended March 31, 2023 and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March 31, 2023 and 2022, we did not hold material non-designated mark-to-market forward derivative contracts to hedge foreign denominated intercompany positions or third party foreign debt. As of March 31, 2023, and 2022 we did not hold any material forward contracts designated as foreign currency cash flow hedges. We continue to evaluate our foreign currency hedging policy.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additional information about our market risk see Note 9 to the consolidated financial statements contained in this Quarterly Report.</w:t>
      </w:r>
    </w:p>
    <w:p>
      <w:pPr>
        <w:pStyle w:val="TextBody"/>
        <w:spacing w:before="0" w:after="0"/>
        <w:jc w:val="left"/>
        <w:rPr/>
      </w:pPr>
      <w:r>
        <w:rPr/>
      </w:r>
    </w:p>
    <w:p>
      <w:pPr>
        <w:pStyle w:val="Normal"/>
        <w:spacing w:before="0" w:after="0"/>
        <w:jc w:val="left"/>
        <w:rPr>
          <w:sz w:val="4"/>
          <w:szCs w:val="4"/>
        </w:rPr>
      </w:pPr>
      <w:r>
        <w:rPr>
          <w:sz w:val="4"/>
          <w:szCs w:val="4"/>
        </w:rPr>
      </w:r>
      <w:bookmarkStart w:id="13" w:name="CONTROLSANDPROCEDURES"/>
      <w:bookmarkStart w:id="14" w:name="CONTROLSANDPROCEDURES"/>
      <w:bookmarkEnd w:id="14"/>
    </w:p>
    <w:tbl>
      <w:tblPr>
        <w:tblW w:w="4675" w:type="dxa"/>
        <w:jc w:val="left"/>
        <w:tblInd w:w="0" w:type="dxa"/>
        <w:tblCellMar>
          <w:top w:w="0" w:type="dxa"/>
          <w:left w:w="0" w:type="dxa"/>
          <w:bottom w:w="0" w:type="dxa"/>
          <w:right w:w="0" w:type="dxa"/>
        </w:tblCellMar>
      </w:tblPr>
      <w:tblGrid>
        <w:gridCol w:w="920"/>
        <w:gridCol w:w="3755"/>
      </w:tblGrid>
      <w:tr>
        <w:trPr/>
        <w:tc>
          <w:tcPr>
            <w:tcW w:w="920" w:type="dxa"/>
            <w:tcBorders/>
            <w:shd w:fill="auto" w:val="clear"/>
            <w:vAlign w:val="center"/>
          </w:tcPr>
          <w:p>
            <w:pPr>
              <w:pStyle w:val="TableContents"/>
              <w:spacing w:before="0" w:after="283"/>
              <w:rPr>
                <w:b/>
              </w:rPr>
            </w:pPr>
            <w:r>
              <w:rPr>
                <w:b/>
              </w:rPr>
              <w:t>ITEM 4.</w:t>
            </w:r>
          </w:p>
        </w:tc>
        <w:tc>
          <w:tcPr>
            <w:tcW w:w="3755" w:type="dxa"/>
            <w:tcBorders/>
            <w:shd w:fill="auto" w:val="clear"/>
            <w:vAlign w:val="center"/>
          </w:tcPr>
          <w:p>
            <w:pPr>
              <w:pStyle w:val="TableContents"/>
              <w:spacing w:before="0" w:after="0"/>
              <w:rPr>
                <w:b/>
                <w:u w:val="single"/>
              </w:rPr>
            </w:pPr>
            <w:r>
              <w:rPr>
                <w:b/>
                <w:u w:val="single"/>
              </w:rPr>
              <w:t>CONTROLS AND PROCEDURES</w:t>
            </w:r>
          </w:p>
        </w:tc>
      </w:tr>
    </w:tbl>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March 31, 2023.</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Changes in Internal Controls Over Financial Reporting.</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We made no changes in our internal control over financial reporting (as defined in Rule 13a-15(f) under the Exchange Act) during the fiscal quarter ended March 31, 2023 that materially affected, or are reasonably likely to materially affect, our internal control over financial reporting.</w:t>
      </w:r>
    </w:p>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PART II. OTHER INFORMATION</w:t>
      </w:r>
    </w:p>
    <w:p>
      <w:pPr>
        <w:pStyle w:val="TextBody"/>
        <w:spacing w:before="0" w:after="0"/>
        <w:jc w:val="left"/>
        <w:rPr/>
      </w:pPr>
      <w:r>
        <w:rPr/>
      </w:r>
    </w:p>
    <w:p>
      <w:pPr>
        <w:pStyle w:val="Normal"/>
        <w:spacing w:before="0" w:after="0"/>
        <w:jc w:val="left"/>
        <w:rPr>
          <w:sz w:val="4"/>
          <w:szCs w:val="4"/>
        </w:rPr>
      </w:pPr>
      <w:r>
        <w:rPr>
          <w:sz w:val="4"/>
          <w:szCs w:val="4"/>
        </w:rPr>
      </w:r>
      <w:bookmarkStart w:id="15" w:name="LEGALPROCEEDINGS"/>
      <w:bookmarkStart w:id="16" w:name="LEGALPROCEEDINGS"/>
      <w:bookmarkEnd w:id="16"/>
    </w:p>
    <w:tbl>
      <w:tblPr>
        <w:tblW w:w="3655" w:type="dxa"/>
        <w:jc w:val="left"/>
        <w:tblInd w:w="0" w:type="dxa"/>
        <w:tblCellMar>
          <w:top w:w="0" w:type="dxa"/>
          <w:left w:w="0" w:type="dxa"/>
          <w:bottom w:w="0" w:type="dxa"/>
          <w:right w:w="0" w:type="dxa"/>
        </w:tblCellMar>
      </w:tblPr>
      <w:tblGrid>
        <w:gridCol w:w="920"/>
        <w:gridCol w:w="2735"/>
      </w:tblGrid>
      <w:tr>
        <w:trPr/>
        <w:tc>
          <w:tcPr>
            <w:tcW w:w="920" w:type="dxa"/>
            <w:tcBorders/>
            <w:shd w:fill="auto" w:val="clear"/>
            <w:vAlign w:val="center"/>
          </w:tcPr>
          <w:p>
            <w:pPr>
              <w:pStyle w:val="TableContents"/>
              <w:spacing w:before="0" w:after="283"/>
              <w:rPr>
                <w:b/>
              </w:rPr>
            </w:pPr>
            <w:r>
              <w:rPr>
                <w:b/>
              </w:rPr>
              <w:t>ITEM 1.</w:t>
            </w:r>
          </w:p>
        </w:tc>
        <w:tc>
          <w:tcPr>
            <w:tcW w:w="2735" w:type="dxa"/>
            <w:tcBorders/>
            <w:shd w:fill="auto" w:val="clear"/>
            <w:vAlign w:val="center"/>
          </w:tcPr>
          <w:p>
            <w:pPr>
              <w:pStyle w:val="TableContents"/>
              <w:spacing w:before="0" w:after="0"/>
              <w:rPr>
                <w:b/>
                <w:u w:val="single"/>
              </w:rPr>
            </w:pPr>
            <w:r>
              <w:rPr>
                <w:b/>
                <w:u w:val="single"/>
              </w:rPr>
              <w:t>LEGAL PROCEEDINGS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There have been no material developments concerning the matters discussed in the “Legal Proceedings” section of our Annual Report on Form 10-K for the 2022 fiscal year.</w:t>
      </w:r>
    </w:p>
    <w:p>
      <w:pPr>
        <w:pStyle w:val="TextBody"/>
        <w:spacing w:before="0" w:after="0"/>
        <w:jc w:val="left"/>
        <w:rPr/>
      </w:pPr>
      <w:r>
        <w:rPr/>
      </w:r>
    </w:p>
    <w:p>
      <w:pPr>
        <w:pStyle w:val="Normal"/>
        <w:spacing w:before="0" w:after="0"/>
        <w:jc w:val="left"/>
        <w:rPr>
          <w:sz w:val="4"/>
          <w:szCs w:val="4"/>
        </w:rPr>
      </w:pPr>
      <w:r>
        <w:rPr>
          <w:sz w:val="4"/>
          <w:szCs w:val="4"/>
        </w:rPr>
      </w:r>
      <w:bookmarkStart w:id="17" w:name="RISKFACTORS"/>
      <w:bookmarkStart w:id="18" w:name="RISKFACTORS"/>
      <w:bookmarkEnd w:id="18"/>
    </w:p>
    <w:tbl>
      <w:tblPr>
        <w:tblW w:w="2950" w:type="dxa"/>
        <w:jc w:val="left"/>
        <w:tblInd w:w="0" w:type="dxa"/>
        <w:tblCellMar>
          <w:top w:w="0" w:type="dxa"/>
          <w:left w:w="0" w:type="dxa"/>
          <w:bottom w:w="0" w:type="dxa"/>
          <w:right w:w="0" w:type="dxa"/>
        </w:tblCellMar>
      </w:tblPr>
      <w:tblGrid>
        <w:gridCol w:w="1100"/>
        <w:gridCol w:w="1850"/>
      </w:tblGrid>
      <w:tr>
        <w:trPr/>
        <w:tc>
          <w:tcPr>
            <w:tcW w:w="1100" w:type="dxa"/>
            <w:tcBorders/>
            <w:shd w:fill="auto" w:val="clear"/>
            <w:vAlign w:val="center"/>
          </w:tcPr>
          <w:p>
            <w:pPr>
              <w:pStyle w:val="TableContents"/>
              <w:spacing w:before="0" w:after="283"/>
              <w:rPr>
                <w:b/>
              </w:rPr>
            </w:pPr>
            <w:r>
              <w:rPr>
                <w:b/>
              </w:rPr>
              <w:t>ITEM 1A.</w:t>
            </w:r>
          </w:p>
        </w:tc>
        <w:tc>
          <w:tcPr>
            <w:tcW w:w="1850" w:type="dxa"/>
            <w:tcBorders/>
            <w:shd w:fill="auto" w:val="clear"/>
            <w:vAlign w:val="center"/>
          </w:tcPr>
          <w:p>
            <w:pPr>
              <w:pStyle w:val="TableContents"/>
              <w:spacing w:before="0" w:after="0"/>
              <w:rPr>
                <w:b/>
                <w:u w:val="single"/>
              </w:rPr>
            </w:pPr>
            <w:r>
              <w:rPr>
                <w:b/>
                <w:u w:val="single"/>
              </w:rPr>
              <w:t>RISK FACTORS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There have been no material changes from the risk factors previously disclosed in our Annual Report on Form 10-K for the 2022 fiscal year.</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19" w:name="UNREGISTEREDSALESOFEQUITY"/>
      <w:bookmarkStart w:id="20" w:name="UNREGISTEREDSALESOFEQUITY"/>
      <w:bookmarkEnd w:id="20"/>
    </w:p>
    <w:tbl>
      <w:tblPr>
        <w:tblW w:w="9640" w:type="dxa"/>
        <w:jc w:val="left"/>
        <w:tblInd w:w="0" w:type="dxa"/>
        <w:tblCellMar>
          <w:top w:w="0" w:type="dxa"/>
          <w:left w:w="0" w:type="dxa"/>
          <w:bottom w:w="0" w:type="dxa"/>
          <w:right w:w="0" w:type="dxa"/>
        </w:tblCellMar>
      </w:tblPr>
      <w:tblGrid>
        <w:gridCol w:w="920"/>
        <w:gridCol w:w="8720"/>
      </w:tblGrid>
      <w:tr>
        <w:trPr/>
        <w:tc>
          <w:tcPr>
            <w:tcW w:w="920" w:type="dxa"/>
            <w:tcBorders/>
            <w:shd w:fill="auto" w:val="clear"/>
            <w:vAlign w:val="center"/>
          </w:tcPr>
          <w:p>
            <w:pPr>
              <w:pStyle w:val="TableContents"/>
              <w:spacing w:before="0" w:after="283"/>
              <w:rPr>
                <w:b/>
              </w:rPr>
            </w:pPr>
            <w:r>
              <w:rPr>
                <w:b/>
              </w:rPr>
              <w:t>ITEM 2.</w:t>
            </w:r>
          </w:p>
        </w:tc>
        <w:tc>
          <w:tcPr>
            <w:tcW w:w="8720" w:type="dxa"/>
            <w:tcBorders/>
            <w:shd w:fill="auto" w:val="clear"/>
            <w:vAlign w:val="center"/>
          </w:tcPr>
          <w:p>
            <w:pPr>
              <w:pStyle w:val="TableContents"/>
              <w:spacing w:before="0" w:after="0"/>
              <w:rPr>
                <w:b/>
                <w:u w:val="single"/>
              </w:rPr>
            </w:pPr>
            <w:r>
              <w:rPr>
                <w:b/>
                <w:u w:val="single"/>
              </w:rPr>
              <w:t>UNREGISTERED SALES OF EQUITY SECURITIES AND USE OF PROCEEDS</w:t>
            </w:r>
          </w:p>
        </w:tc>
      </w:tr>
    </w:tbl>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Purchases of Equity Securities by the Issuer</w:t>
      </w:r>
    </w:p>
    <w:p>
      <w:pPr>
        <w:pStyle w:val="TextBody"/>
        <w:spacing w:before="0" w:after="0"/>
        <w:jc w:val="left"/>
        <w:rPr/>
      </w:pPr>
      <w:r>
        <w:rPr/>
      </w:r>
    </w:p>
    <w:tbl>
      <w:tblPr>
        <w:tblW w:w="9263" w:type="dxa"/>
        <w:jc w:val="left"/>
        <w:tblInd w:w="0" w:type="dxa"/>
        <w:tblCellMar>
          <w:top w:w="0" w:type="dxa"/>
          <w:left w:w="0" w:type="dxa"/>
          <w:bottom w:w="0" w:type="dxa"/>
          <w:right w:w="0" w:type="dxa"/>
        </w:tblCellMar>
      </w:tblPr>
      <w:tblGrid>
        <w:gridCol w:w="2105"/>
        <w:gridCol w:w="60"/>
        <w:gridCol w:w="206"/>
        <w:gridCol w:w="894"/>
        <w:gridCol w:w="60"/>
        <w:gridCol w:w="60"/>
        <w:gridCol w:w="374"/>
        <w:gridCol w:w="695"/>
        <w:gridCol w:w="60"/>
        <w:gridCol w:w="60"/>
        <w:gridCol w:w="351"/>
        <w:gridCol w:w="1528"/>
        <w:gridCol w:w="60"/>
        <w:gridCol w:w="60"/>
        <w:gridCol w:w="523"/>
        <w:gridCol w:w="2092"/>
        <w:gridCol w:w="75"/>
      </w:tblGrid>
      <w:tr>
        <w:trPr/>
        <w:tc>
          <w:tcPr>
            <w:tcW w:w="21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(b)</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w:t>
            </w:r>
          </w:p>
        </w:tc>
        <w:tc>
          <w:tcPr>
            <w:tcW w:w="75" w:type="dxa"/>
            <w:tcBorders/>
            <w:shd w:fill="auto" w:val="clear"/>
            <w:vAlign w:val="bottom"/>
          </w:tcPr>
          <w:p>
            <w:pPr>
              <w:pStyle w:val="TableContents"/>
              <w:spacing w:before="0" w:after="283"/>
              <w:rPr/>
            </w:pPr>
            <w:r>
              <w:rPr/>
              <w:t> </w:t>
            </w:r>
          </w:p>
        </w:tc>
      </w:tr>
      <w:tr>
        <w:trPr/>
        <w:tc>
          <w:tcPr>
            <w:tcW w:w="2105" w:type="dxa"/>
            <w:tcBorders>
              <w:bottom w:val="single" w:sz="12" w:space="0" w:color="000000"/>
            </w:tcBorders>
            <w:shd w:fill="auto" w:val="clear"/>
            <w:tcMar>
              <w:bottom w:w="28" w:type="dxa"/>
            </w:tcMar>
            <w:vAlign w:val="bottom"/>
          </w:tcPr>
          <w:p>
            <w:pPr>
              <w:pStyle w:val="TableContents"/>
              <w:spacing w:before="0" w:after="0"/>
              <w:jc w:val="center"/>
              <w:rPr>
                <w:b/>
              </w:rPr>
            </w:pPr>
            <w:r>
              <w:rPr>
                <w:b/>
              </w:rPr>
              <w:t>Period</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Total</w:t>
            </w:r>
          </w:p>
          <w:p>
            <w:pPr>
              <w:pStyle w:val="TableContents"/>
              <w:spacing w:before="0" w:after="0"/>
              <w:jc w:val="center"/>
              <w:rPr>
                <w:b/>
              </w:rPr>
            </w:pPr>
            <w:r>
              <w:rPr>
                <w:b/>
              </w:rPr>
              <w:t>Number</w:t>
            </w:r>
          </w:p>
          <w:p>
            <w:pPr>
              <w:pStyle w:val="TableContents"/>
              <w:spacing w:before="0" w:after="0"/>
              <w:jc w:val="center"/>
              <w:rPr>
                <w:b/>
              </w:rPr>
            </w:pPr>
            <w:r>
              <w:rPr>
                <w:b/>
              </w:rPr>
              <w:t>of Shares</w:t>
            </w:r>
          </w:p>
          <w:p>
            <w:pPr>
              <w:pStyle w:val="TableContents"/>
              <w:spacing w:before="0" w:after="0"/>
              <w:jc w:val="center"/>
              <w:rPr>
                <w:b/>
              </w:rPr>
            </w:pPr>
            <w:r>
              <w:rPr>
                <w:b/>
              </w:rPr>
              <w:t>Purchased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Average</w:t>
            </w:r>
          </w:p>
          <w:p>
            <w:pPr>
              <w:pStyle w:val="TableContents"/>
              <w:spacing w:before="0" w:after="0"/>
              <w:jc w:val="center"/>
              <w:rPr>
                <w:b/>
              </w:rPr>
            </w:pPr>
            <w:r>
              <w:rPr>
                <w:b/>
              </w:rPr>
              <w:t>Price Paid</w:t>
            </w:r>
          </w:p>
          <w:p>
            <w:pPr>
              <w:pStyle w:val="TableContents"/>
              <w:spacing w:before="0" w:after="0"/>
              <w:jc w:val="center"/>
              <w:rPr>
                <w:b/>
              </w:rPr>
            </w:pPr>
            <w:r>
              <w:rPr>
                <w:b/>
              </w:rPr>
              <w:t>per Share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Total Number of</w:t>
            </w:r>
          </w:p>
          <w:p>
            <w:pPr>
              <w:pStyle w:val="TableContents"/>
              <w:spacing w:before="0" w:after="0"/>
              <w:jc w:val="center"/>
              <w:rPr>
                <w:b/>
              </w:rPr>
            </w:pPr>
            <w:r>
              <w:rPr>
                <w:b/>
              </w:rPr>
              <w:t>Shares Purchased</w:t>
            </w:r>
          </w:p>
          <w:p>
            <w:pPr>
              <w:pStyle w:val="TableContents"/>
              <w:spacing w:before="0" w:after="0"/>
              <w:jc w:val="center"/>
              <w:rPr>
                <w:b/>
              </w:rPr>
            </w:pPr>
            <w:r>
              <w:rPr>
                <w:b/>
              </w:rPr>
              <w:t>as Part of Publicly</w:t>
            </w:r>
          </w:p>
          <w:p>
            <w:pPr>
              <w:pStyle w:val="TableContents"/>
              <w:spacing w:before="0" w:after="0"/>
              <w:jc w:val="center"/>
              <w:rPr>
                <w:b/>
              </w:rPr>
            </w:pPr>
            <w:r>
              <w:rPr>
                <w:b/>
              </w:rPr>
              <w:t>Announced Plans</w:t>
            </w:r>
          </w:p>
          <w:p>
            <w:pPr>
              <w:pStyle w:val="TableContents"/>
              <w:spacing w:before="0" w:after="0"/>
              <w:jc w:val="center"/>
              <w:rPr>
                <w:b/>
              </w:rPr>
            </w:pPr>
            <w:r>
              <w:rPr>
                <w:b/>
              </w:rPr>
              <w:t>or Programs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Approximate Dollar</w:t>
            </w:r>
          </w:p>
          <w:p>
            <w:pPr>
              <w:pStyle w:val="TableContents"/>
              <w:spacing w:before="0" w:after="0"/>
              <w:jc w:val="center"/>
              <w:rPr>
                <w:b/>
              </w:rPr>
            </w:pPr>
            <w:r>
              <w:rPr>
                <w:b/>
              </w:rPr>
              <w:t>Value of Shares that May</w:t>
            </w:r>
          </w:p>
          <w:p>
            <w:pPr>
              <w:pStyle w:val="TableContents"/>
              <w:spacing w:before="0" w:after="0"/>
              <w:jc w:val="center"/>
              <w:rPr>
                <w:b/>
              </w:rPr>
            </w:pPr>
            <w:r>
              <w:rPr>
                <w:b/>
              </w:rPr>
              <w:t>Yet Be Purchased Under</w:t>
            </w:r>
          </w:p>
          <w:p>
            <w:pPr>
              <w:pStyle w:val="TableContents"/>
              <w:spacing w:before="0" w:after="0"/>
              <w:jc w:val="center"/>
              <w:rPr>
                <w:b/>
              </w:rPr>
            </w:pPr>
            <w:r>
              <w:rPr>
                <w:b/>
              </w:rPr>
              <w:t>the Plans or Programs</w:t>
            </w:r>
          </w:p>
          <w:p>
            <w:pPr>
              <w:pStyle w:val="TableContents"/>
              <w:spacing w:lineRule="auto" w:line="240" w:before="0" w:after="0"/>
              <w:jc w:val="center"/>
              <w:rPr/>
            </w:pPr>
            <w:r>
              <w:rPr/>
              <w:t>(in millions)(1)</w:t>
            </w:r>
          </w:p>
        </w:tc>
        <w:tc>
          <w:tcPr>
            <w:tcW w:w="75" w:type="dxa"/>
            <w:tcBorders/>
            <w:shd w:fill="auto" w:val="clear"/>
            <w:vAlign w:val="bottom"/>
          </w:tcPr>
          <w:p>
            <w:pPr>
              <w:pStyle w:val="TableContents"/>
              <w:spacing w:before="0" w:after="283"/>
              <w:rPr/>
            </w:pPr>
            <w:r>
              <w:rPr/>
              <w:t> </w:t>
            </w:r>
          </w:p>
        </w:tc>
      </w:tr>
      <w:tr>
        <w:trPr/>
        <w:tc>
          <w:tcPr>
            <w:tcW w:w="2105" w:type="dxa"/>
            <w:tcBorders/>
            <w:shd w:fill="CCEEFF" w:val="clear"/>
            <w:vAlign w:val="bottom"/>
          </w:tcPr>
          <w:p>
            <w:pPr>
              <w:pStyle w:val="TableContents"/>
              <w:spacing w:before="0" w:after="0"/>
              <w:ind w:left="144" w:right="0" w:hanging="144"/>
              <w:rPr/>
            </w:pPr>
            <w:r>
              <w:rPr/>
              <w:t>January 1 - 31, 2023</w:t>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0"/>
              <w:rPr/>
            </w:pPr>
            <w:r>
              <w:rPr/>
              <w:t>$</w:t>
            </w:r>
          </w:p>
        </w:tc>
        <w:tc>
          <w:tcPr>
            <w:tcW w:w="69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528"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0"/>
              <w:rPr/>
            </w:pPr>
            <w:r>
              <w:rPr/>
              <w:t>$</w:t>
            </w:r>
          </w:p>
        </w:tc>
        <w:tc>
          <w:tcPr>
            <w:tcW w:w="2092" w:type="dxa"/>
            <w:tcBorders/>
            <w:shd w:fill="CCEEFF" w:val="clear"/>
            <w:vAlign w:val="bottom"/>
          </w:tcPr>
          <w:p>
            <w:pPr>
              <w:pStyle w:val="TableContents"/>
              <w:spacing w:before="0" w:after="0"/>
              <w:jc w:val="right"/>
              <w:rPr/>
            </w:pPr>
            <w:r>
              <w:rPr/>
              <w:t>175.4</w:t>
            </w:r>
          </w:p>
        </w:tc>
        <w:tc>
          <w:tcPr>
            <w:tcW w:w="75" w:type="dxa"/>
            <w:tcBorders/>
            <w:shd w:fill="CCEEFF" w:val="clear"/>
            <w:vAlign w:val="bottom"/>
          </w:tcPr>
          <w:p>
            <w:pPr>
              <w:pStyle w:val="TableContents"/>
              <w:spacing w:before="0" w:after="283"/>
              <w:rPr/>
            </w:pPr>
            <w:r>
              <w:rPr/>
              <w:t> </w:t>
            </w:r>
          </w:p>
        </w:tc>
      </w:tr>
      <w:tr>
        <w:trPr/>
        <w:tc>
          <w:tcPr>
            <w:tcW w:w="2105" w:type="dxa"/>
            <w:tcBorders/>
            <w:shd w:fill="auto" w:val="clear"/>
            <w:vAlign w:val="bottom"/>
          </w:tcPr>
          <w:p>
            <w:pPr>
              <w:pStyle w:val="TableContents"/>
              <w:spacing w:before="0" w:after="0"/>
              <w:ind w:left="144" w:right="0" w:hanging="144"/>
              <w:rPr/>
            </w:pPr>
            <w:r>
              <w:rPr/>
              <w:t>February 1 - 28, 2023</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528"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0"/>
              <w:rPr/>
            </w:pPr>
            <w:r>
              <w:rPr/>
              <w:t>$</w:t>
            </w:r>
          </w:p>
        </w:tc>
        <w:tc>
          <w:tcPr>
            <w:tcW w:w="2092" w:type="dxa"/>
            <w:tcBorders/>
            <w:shd w:fill="auto" w:val="clear"/>
            <w:vAlign w:val="bottom"/>
          </w:tcPr>
          <w:p>
            <w:pPr>
              <w:pStyle w:val="TableContents"/>
              <w:spacing w:before="0" w:after="0"/>
              <w:jc w:val="right"/>
              <w:rPr/>
            </w:pPr>
            <w:r>
              <w:rPr/>
              <w:t>175.4</w:t>
            </w:r>
          </w:p>
        </w:tc>
        <w:tc>
          <w:tcPr>
            <w:tcW w:w="75" w:type="dxa"/>
            <w:tcBorders/>
            <w:shd w:fill="auto" w:val="clear"/>
            <w:vAlign w:val="bottom"/>
          </w:tcPr>
          <w:p>
            <w:pPr>
              <w:pStyle w:val="TableContents"/>
              <w:spacing w:before="0" w:after="283"/>
              <w:rPr/>
            </w:pPr>
            <w:r>
              <w:rPr/>
              <w:t> </w:t>
            </w:r>
          </w:p>
        </w:tc>
      </w:tr>
      <w:tr>
        <w:trPr/>
        <w:tc>
          <w:tcPr>
            <w:tcW w:w="2105" w:type="dxa"/>
            <w:tcBorders/>
            <w:shd w:fill="CCEEFF" w:val="clear"/>
            <w:vAlign w:val="bottom"/>
          </w:tcPr>
          <w:p>
            <w:pPr>
              <w:pStyle w:val="TableContents"/>
              <w:spacing w:before="0" w:after="0"/>
              <w:ind w:left="144" w:right="0" w:hanging="144"/>
              <w:rPr/>
            </w:pPr>
            <w:r>
              <w:rPr/>
              <w:t>March 1 - 31, 2023</w:t>
            </w:r>
          </w:p>
        </w:tc>
        <w:tc>
          <w:tcPr>
            <w:tcW w:w="60" w:type="dxa"/>
            <w:tcBorders/>
            <w:shd w:fill="CCEEFF" w:val="clear"/>
            <w:vAlign w:val="bottom"/>
          </w:tcPr>
          <w:p>
            <w:pPr>
              <w:pStyle w:val="TableContents"/>
              <w:spacing w:before="0" w:after="283"/>
              <w:rPr/>
            </w:pPr>
            <w:r>
              <w:rPr/>
              <w:t> </w:t>
            </w:r>
          </w:p>
        </w:tc>
        <w:tc>
          <w:tcPr>
            <w:tcW w:w="20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94"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52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0"/>
              <w:rPr/>
            </w:pPr>
            <w:r>
              <w:rPr/>
              <w:t>$</w:t>
            </w:r>
          </w:p>
        </w:tc>
        <w:tc>
          <w:tcPr>
            <w:tcW w:w="2092" w:type="dxa"/>
            <w:tcBorders/>
            <w:shd w:fill="CCEEFF" w:val="clear"/>
            <w:vAlign w:val="bottom"/>
          </w:tcPr>
          <w:p>
            <w:pPr>
              <w:pStyle w:val="TableContents"/>
              <w:spacing w:before="0" w:after="0"/>
              <w:jc w:val="right"/>
              <w:rPr/>
            </w:pPr>
            <w:r>
              <w:rPr/>
              <w:t>175.4</w:t>
            </w:r>
          </w:p>
        </w:tc>
        <w:tc>
          <w:tcPr>
            <w:tcW w:w="75" w:type="dxa"/>
            <w:tcBorders/>
            <w:shd w:fill="CCEEFF" w:val="clear"/>
            <w:vAlign w:val="bottom"/>
          </w:tcPr>
          <w:p>
            <w:pPr>
              <w:pStyle w:val="TableContents"/>
              <w:spacing w:before="0" w:after="283"/>
              <w:rPr/>
            </w:pPr>
            <w:r>
              <w:rPr/>
              <w:t> </w:t>
            </w:r>
          </w:p>
        </w:tc>
      </w:tr>
      <w:tr>
        <w:trPr/>
        <w:tc>
          <w:tcPr>
            <w:tcW w:w="2105" w:type="dxa"/>
            <w:tcBorders/>
            <w:shd w:fill="auto" w:val="clear"/>
            <w:vAlign w:val="bottom"/>
          </w:tcPr>
          <w:p>
            <w:pPr>
              <w:pStyle w:val="TableContents"/>
              <w:spacing w:before="0" w:after="0"/>
              <w:ind w:left="180" w:right="0" w:hanging="0"/>
              <w:rPr/>
            </w:pPr>
            <w:r>
              <w:rPr/>
              <w:t>Total</w:t>
            </w:r>
          </w:p>
        </w:tc>
        <w:tc>
          <w:tcPr>
            <w:tcW w:w="60" w:type="dxa"/>
            <w:tcBorders/>
            <w:shd w:fill="auto" w:val="clear"/>
            <w:vAlign w:val="bottom"/>
          </w:tcPr>
          <w:p>
            <w:pPr>
              <w:pStyle w:val="TableContents"/>
              <w:spacing w:before="0" w:after="283"/>
              <w:rPr/>
            </w:pPr>
            <w:r>
              <w:rPr/>
              <w:t> </w:t>
            </w:r>
          </w:p>
        </w:tc>
        <w:tc>
          <w:tcPr>
            <w:tcW w:w="206" w:type="dxa"/>
            <w:tcBorders>
              <w:bottom w:val="double" w:sz="8" w:space="0" w:color="000000"/>
            </w:tcBorders>
            <w:shd w:fill="auto" w:val="clear"/>
            <w:tcMar>
              <w:bottom w:w="28" w:type="dxa"/>
            </w:tcMar>
            <w:vAlign w:val="bottom"/>
          </w:tcPr>
          <w:p>
            <w:pPr>
              <w:pStyle w:val="TableContents"/>
              <w:spacing w:before="0" w:after="283"/>
              <w:rPr/>
            </w:pPr>
            <w:r>
              <w:rPr/>
              <w:t> </w:t>
            </w:r>
          </w:p>
        </w:tc>
        <w:tc>
          <w:tcPr>
            <w:tcW w:w="894" w:type="dxa"/>
            <w:tcBorders>
              <w:bottom w:val="double" w:sz="8" w:space="0" w:color="000000"/>
            </w:tcBorders>
            <w:shd w:fill="auto" w:val="clear"/>
            <w:tcMar>
              <w:bottom w:w="28" w:type="dxa"/>
            </w:tcM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0"/>
              <w:rPr/>
            </w:pPr>
            <w:r>
              <w:rPr/>
              <w:t>$</w:t>
            </w:r>
          </w:p>
        </w:tc>
        <w:tc>
          <w:tcPr>
            <w:tcW w:w="69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1" w:type="dxa"/>
            <w:tcBorders>
              <w:bottom w:val="double" w:sz="8" w:space="0" w:color="000000"/>
            </w:tcBorders>
            <w:shd w:fill="auto" w:val="clear"/>
            <w:tcMar>
              <w:bottom w:w="28" w:type="dxa"/>
            </w:tcMar>
            <w:vAlign w:val="bottom"/>
          </w:tcPr>
          <w:p>
            <w:pPr>
              <w:pStyle w:val="TableContents"/>
              <w:spacing w:before="0" w:after="283"/>
              <w:rPr/>
            </w:pPr>
            <w:r>
              <w:rPr/>
              <w:t> </w:t>
            </w:r>
          </w:p>
        </w:tc>
        <w:tc>
          <w:tcPr>
            <w:tcW w:w="1528" w:type="dxa"/>
            <w:tcBorders>
              <w:bottom w:val="double" w:sz="8" w:space="0" w:color="000000"/>
            </w:tcBorders>
            <w:shd w:fill="auto" w:val="clear"/>
            <w:tcMar>
              <w:bottom w:w="28" w:type="dxa"/>
            </w:tcM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2092"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rPr/>
            </w:pPr>
            <w:r>
              <w:rPr/>
              <w:t>(1)</w:t>
            </w:r>
          </w:p>
        </w:tc>
        <w:tc>
          <w:tcPr>
            <w:tcW w:w="9950" w:type="dxa"/>
            <w:tcBorders/>
            <w:shd w:fill="auto" w:val="clear"/>
            <w:vAlign w:val="center"/>
          </w:tcPr>
          <w:p>
            <w:pPr>
              <w:pStyle w:val="TableContents"/>
              <w:spacing w:before="0" w:after="0"/>
              <w:jc w:val="both"/>
              <w:rPr/>
            </w:pPr>
            <w:r>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tc>
      </w:tr>
    </w:tbl>
    <w:p>
      <w:pPr>
        <w:pStyle w:val="TextBody"/>
        <w:spacing w:before="0" w:after="0"/>
        <w:jc w:val="left"/>
        <w:rPr/>
      </w:pPr>
      <w:r>
        <w:rPr/>
      </w:r>
    </w:p>
    <w:p>
      <w:pPr>
        <w:pStyle w:val="Normal"/>
        <w:spacing w:before="0" w:after="0"/>
        <w:jc w:val="left"/>
        <w:rPr>
          <w:sz w:val="4"/>
          <w:szCs w:val="4"/>
        </w:rPr>
      </w:pPr>
      <w:r>
        <w:rPr>
          <w:sz w:val="4"/>
          <w:szCs w:val="4"/>
        </w:rPr>
      </w:r>
      <w:bookmarkStart w:id="21" w:name="DEFAULTSUPONSENIORSECURIT"/>
      <w:bookmarkStart w:id="22" w:name="DEFAULTSUPONSENIORSECURIT"/>
      <w:bookmarkEnd w:id="22"/>
    </w:p>
    <w:tbl>
      <w:tblPr>
        <w:tblW w:w="5560" w:type="dxa"/>
        <w:jc w:val="left"/>
        <w:tblInd w:w="0" w:type="dxa"/>
        <w:tblCellMar>
          <w:top w:w="0" w:type="dxa"/>
          <w:left w:w="0" w:type="dxa"/>
          <w:bottom w:w="0" w:type="dxa"/>
          <w:right w:w="0" w:type="dxa"/>
        </w:tblCellMar>
      </w:tblPr>
      <w:tblGrid>
        <w:gridCol w:w="920"/>
        <w:gridCol w:w="4640"/>
      </w:tblGrid>
      <w:tr>
        <w:trPr/>
        <w:tc>
          <w:tcPr>
            <w:tcW w:w="920" w:type="dxa"/>
            <w:tcBorders/>
            <w:shd w:fill="auto" w:val="clear"/>
            <w:vAlign w:val="center"/>
          </w:tcPr>
          <w:p>
            <w:pPr>
              <w:pStyle w:val="TableContents"/>
              <w:spacing w:before="0" w:after="283"/>
              <w:rPr>
                <w:b/>
              </w:rPr>
            </w:pPr>
            <w:r>
              <w:rPr>
                <w:b/>
              </w:rPr>
              <w:t>ITEM 3.</w:t>
            </w:r>
          </w:p>
        </w:tc>
        <w:tc>
          <w:tcPr>
            <w:tcW w:w="4640" w:type="dxa"/>
            <w:tcBorders/>
            <w:shd w:fill="auto" w:val="clear"/>
            <w:vAlign w:val="center"/>
          </w:tcPr>
          <w:p>
            <w:pPr>
              <w:pStyle w:val="TableContents"/>
              <w:spacing w:before="0" w:after="0"/>
              <w:rPr>
                <w:b/>
                <w:u w:val="single"/>
              </w:rPr>
            </w:pPr>
            <w:r>
              <w:rPr>
                <w:b/>
                <w:u w:val="single"/>
              </w:rPr>
              <w:t>DEFAULTS UPON SENIOR SECURITIES</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None.</w:t>
      </w:r>
    </w:p>
    <w:p>
      <w:pPr>
        <w:pStyle w:val="TextBody"/>
        <w:spacing w:before="0" w:after="0"/>
        <w:jc w:val="left"/>
        <w:rPr/>
      </w:pPr>
      <w:r>
        <w:rPr/>
      </w:r>
    </w:p>
    <w:p>
      <w:pPr>
        <w:pStyle w:val="Normal"/>
        <w:spacing w:before="0" w:after="0"/>
        <w:jc w:val="left"/>
        <w:rPr>
          <w:sz w:val="4"/>
          <w:szCs w:val="4"/>
        </w:rPr>
      </w:pPr>
      <w:r>
        <w:rPr>
          <w:sz w:val="4"/>
          <w:szCs w:val="4"/>
        </w:rPr>
      </w:r>
      <w:bookmarkStart w:id="23" w:name="MINESAFETYDISCLOSURES"/>
      <w:bookmarkStart w:id="24" w:name="MINESAFETYDISCLOSURES"/>
      <w:bookmarkEnd w:id="24"/>
    </w:p>
    <w:tbl>
      <w:tblPr>
        <w:tblW w:w="4435" w:type="dxa"/>
        <w:jc w:val="left"/>
        <w:tblInd w:w="0" w:type="dxa"/>
        <w:tblCellMar>
          <w:top w:w="0" w:type="dxa"/>
          <w:left w:w="0" w:type="dxa"/>
          <w:bottom w:w="0" w:type="dxa"/>
          <w:right w:w="0" w:type="dxa"/>
        </w:tblCellMar>
      </w:tblPr>
      <w:tblGrid>
        <w:gridCol w:w="920"/>
        <w:gridCol w:w="3515"/>
      </w:tblGrid>
      <w:tr>
        <w:trPr/>
        <w:tc>
          <w:tcPr>
            <w:tcW w:w="920" w:type="dxa"/>
            <w:tcBorders/>
            <w:shd w:fill="auto" w:val="clear"/>
            <w:vAlign w:val="center"/>
          </w:tcPr>
          <w:p>
            <w:pPr>
              <w:pStyle w:val="TableContents"/>
              <w:spacing w:before="0" w:after="283"/>
              <w:rPr>
                <w:b/>
              </w:rPr>
            </w:pPr>
            <w:r>
              <w:rPr>
                <w:b/>
              </w:rPr>
              <w:t>ITEM 4.</w:t>
            </w:r>
          </w:p>
        </w:tc>
        <w:tc>
          <w:tcPr>
            <w:tcW w:w="3515" w:type="dxa"/>
            <w:tcBorders/>
            <w:shd w:fill="auto" w:val="clear"/>
            <w:vAlign w:val="center"/>
          </w:tcPr>
          <w:p>
            <w:pPr>
              <w:pStyle w:val="TableContents"/>
              <w:spacing w:before="0" w:after="0"/>
              <w:rPr>
                <w:b/>
                <w:u w:val="single"/>
              </w:rPr>
            </w:pPr>
            <w:r>
              <w:rPr>
                <w:b/>
                <w:u w:val="single"/>
              </w:rPr>
              <w:t>MINE SAFETY DISCLOSURES</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Not Applicable.</w:t>
      </w:r>
    </w:p>
    <w:p>
      <w:pPr>
        <w:pStyle w:val="TextBody"/>
        <w:spacing w:before="0" w:after="0"/>
        <w:jc w:val="left"/>
        <w:rPr/>
      </w:pPr>
      <w:r>
        <w:rPr/>
      </w:r>
    </w:p>
    <w:p>
      <w:pPr>
        <w:pStyle w:val="Normal"/>
        <w:spacing w:before="0" w:after="0"/>
        <w:jc w:val="left"/>
        <w:rPr>
          <w:sz w:val="4"/>
          <w:szCs w:val="4"/>
        </w:rPr>
      </w:pPr>
      <w:r>
        <w:rPr>
          <w:sz w:val="4"/>
          <w:szCs w:val="4"/>
        </w:rPr>
      </w:r>
      <w:bookmarkStart w:id="25" w:name="OTHERINFORMATION"/>
      <w:bookmarkStart w:id="26" w:name="OTHERINFORMATION"/>
      <w:bookmarkEnd w:id="26"/>
    </w:p>
    <w:tbl>
      <w:tblPr>
        <w:tblW w:w="3685" w:type="dxa"/>
        <w:jc w:val="left"/>
        <w:tblInd w:w="0" w:type="dxa"/>
        <w:tblCellMar>
          <w:top w:w="0" w:type="dxa"/>
          <w:left w:w="0" w:type="dxa"/>
          <w:bottom w:w="0" w:type="dxa"/>
          <w:right w:w="0" w:type="dxa"/>
        </w:tblCellMar>
      </w:tblPr>
      <w:tblGrid>
        <w:gridCol w:w="920"/>
        <w:gridCol w:w="2765"/>
      </w:tblGrid>
      <w:tr>
        <w:trPr/>
        <w:tc>
          <w:tcPr>
            <w:tcW w:w="920" w:type="dxa"/>
            <w:tcBorders/>
            <w:shd w:fill="auto" w:val="clear"/>
            <w:vAlign w:val="center"/>
          </w:tcPr>
          <w:p>
            <w:pPr>
              <w:pStyle w:val="TableContents"/>
              <w:spacing w:before="0" w:after="283"/>
              <w:rPr>
                <w:b/>
              </w:rPr>
            </w:pPr>
            <w:r>
              <w:rPr>
                <w:b/>
              </w:rPr>
              <w:t>ITEM 5.</w:t>
            </w:r>
          </w:p>
        </w:tc>
        <w:tc>
          <w:tcPr>
            <w:tcW w:w="2765" w:type="dxa"/>
            <w:tcBorders/>
            <w:shd w:fill="auto" w:val="clear"/>
            <w:vAlign w:val="center"/>
          </w:tcPr>
          <w:p>
            <w:pPr>
              <w:pStyle w:val="TableContents"/>
              <w:spacing w:before="0" w:after="0"/>
              <w:rPr>
                <w:b/>
                <w:u w:val="single"/>
              </w:rPr>
            </w:pPr>
            <w:r>
              <w:rPr>
                <w:b/>
                <w:u w:val="single"/>
              </w:rPr>
              <w:t>OTHER INFORMATION</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None.</w:t>
      </w:r>
    </w:p>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Normal"/>
        <w:spacing w:before="0" w:after="0"/>
        <w:jc w:val="left"/>
        <w:rPr>
          <w:sz w:val="4"/>
          <w:szCs w:val="4"/>
        </w:rPr>
      </w:pPr>
      <w:r>
        <w:rPr>
          <w:sz w:val="4"/>
          <w:szCs w:val="4"/>
        </w:rPr>
      </w:r>
      <w:bookmarkStart w:id="27" w:name="EXHIBITS"/>
      <w:bookmarkStart w:id="28" w:name="EXHIBITS"/>
      <w:bookmarkEnd w:id="28"/>
    </w:p>
    <w:tbl>
      <w:tblPr>
        <w:tblW w:w="2125" w:type="dxa"/>
        <w:jc w:val="left"/>
        <w:tblInd w:w="0" w:type="dxa"/>
        <w:tblCellMar>
          <w:top w:w="0" w:type="dxa"/>
          <w:left w:w="0" w:type="dxa"/>
          <w:bottom w:w="0" w:type="dxa"/>
          <w:right w:w="0" w:type="dxa"/>
        </w:tblCellMar>
      </w:tblPr>
      <w:tblGrid>
        <w:gridCol w:w="920"/>
        <w:gridCol w:w="1205"/>
      </w:tblGrid>
      <w:tr>
        <w:trPr/>
        <w:tc>
          <w:tcPr>
            <w:tcW w:w="920" w:type="dxa"/>
            <w:tcBorders/>
            <w:shd w:fill="auto" w:val="clear"/>
            <w:vAlign w:val="center"/>
          </w:tcPr>
          <w:p>
            <w:pPr>
              <w:pStyle w:val="TableContents"/>
              <w:spacing w:before="0" w:after="283"/>
              <w:rPr>
                <w:b/>
              </w:rPr>
            </w:pPr>
            <w:r>
              <w:rPr>
                <w:b/>
              </w:rPr>
              <w:t>ITEM 6.</w:t>
            </w:r>
          </w:p>
        </w:tc>
        <w:tc>
          <w:tcPr>
            <w:tcW w:w="1205" w:type="dxa"/>
            <w:tcBorders/>
            <w:shd w:fill="auto" w:val="clear"/>
            <w:vAlign w:val="center"/>
          </w:tcPr>
          <w:p>
            <w:pPr>
              <w:pStyle w:val="TableContents"/>
              <w:spacing w:before="0" w:after="0"/>
              <w:rPr>
                <w:b/>
                <w:u w:val="single"/>
              </w:rPr>
            </w:pPr>
            <w:r>
              <w:rPr>
                <w:b/>
                <w:u w:val="single"/>
              </w:rPr>
              <w:t>EXHIBITS</w:t>
            </w:r>
          </w:p>
        </w:tc>
      </w:tr>
    </w:tbl>
    <w:p>
      <w:pPr>
        <w:pStyle w:val="TextBody"/>
        <w:spacing w:before="0" w:after="0"/>
        <w:rPr/>
      </w:pPr>
      <w:r>
        <w:rPr/>
      </w:r>
    </w:p>
    <w:tbl>
      <w:tblPr>
        <w:tblW w:w="10205" w:type="dxa"/>
        <w:jc w:val="left"/>
        <w:tblInd w:w="0" w:type="dxa"/>
        <w:tblCellMar>
          <w:top w:w="0" w:type="dxa"/>
          <w:left w:w="0" w:type="dxa"/>
          <w:bottom w:w="28" w:type="dxa"/>
          <w:right w:w="0" w:type="dxa"/>
        </w:tblCellMar>
      </w:tblPr>
      <w:tblGrid>
        <w:gridCol w:w="1316"/>
        <w:gridCol w:w="60"/>
        <w:gridCol w:w="8829"/>
      </w:tblGrid>
      <w:tr>
        <w:trPr/>
        <w:tc>
          <w:tcPr>
            <w:tcW w:w="1316" w:type="dxa"/>
            <w:tcBorders>
              <w:bottom w:val="single" w:sz="12" w:space="0" w:color="000000"/>
            </w:tcBorders>
            <w:shd w:fill="auto" w:val="clear"/>
            <w:vAlign w:val="center"/>
          </w:tcPr>
          <w:p>
            <w:pPr>
              <w:pStyle w:val="TableContents"/>
              <w:spacing w:before="0" w:after="0"/>
              <w:jc w:val="center"/>
              <w:rPr>
                <w:b/>
              </w:rPr>
            </w:pPr>
            <w:r>
              <w:rPr>
                <w:b/>
              </w:rPr>
              <w:t>Exhibits</w:t>
            </w:r>
          </w:p>
          <w:p>
            <w:pPr>
              <w:pStyle w:val="TableContents"/>
              <w:spacing w:before="0" w:after="0"/>
              <w:jc w:val="center"/>
              <w:rPr>
                <w:b/>
              </w:rPr>
            </w:pPr>
            <w:r>
              <w:rPr>
                <w:b/>
              </w:rPr>
              <w:t>Regulation S-K</w:t>
            </w:r>
          </w:p>
          <w:p>
            <w:pPr>
              <w:pStyle w:val="TableContents"/>
              <w:spacing w:before="0" w:after="0"/>
              <w:jc w:val="center"/>
              <w:rPr>
                <w:b/>
              </w:rPr>
            </w:pPr>
            <w:r>
              <w:rPr>
                <w:b/>
              </w:rPr>
              <w:t>Number</w:t>
            </w:r>
          </w:p>
        </w:tc>
        <w:tc>
          <w:tcPr>
            <w:tcW w:w="60" w:type="dxa"/>
            <w:tcBorders/>
            <w:shd w:fill="auto" w:val="clear"/>
            <w:tcMar>
              <w:bottom w:w="0" w:type="dxa"/>
            </w:tcMar>
            <w:vAlign w:val="center"/>
          </w:tcPr>
          <w:p>
            <w:pPr>
              <w:pStyle w:val="TableContents"/>
              <w:spacing w:before="0" w:after="283"/>
              <w:rPr/>
            </w:pPr>
            <w:r>
              <w:rPr/>
              <w:t> </w:t>
            </w:r>
          </w:p>
        </w:tc>
        <w:tc>
          <w:tcPr>
            <w:tcW w:w="8829" w:type="dxa"/>
            <w:tcBorders>
              <w:bottom w:val="single" w:sz="12" w:space="0" w:color="000000"/>
            </w:tcBorders>
            <w:shd w:fill="auto" w:val="clear"/>
            <w:vAlign w:val="center"/>
          </w:tcPr>
          <w:p>
            <w:pPr>
              <w:pStyle w:val="TableContents"/>
              <w:spacing w:before="0" w:after="0"/>
              <w:rPr>
                <w:b/>
              </w:rPr>
            </w:pPr>
            <w:r>
              <w:rPr>
                <w:b/>
              </w:rPr>
              <w:t>Description</w:t>
            </w:r>
          </w:p>
        </w:tc>
      </w:tr>
      <w:tr>
        <w:trPr/>
        <w:tc>
          <w:tcPr>
            <w:tcW w:w="1316" w:type="dxa"/>
            <w:tcBorders/>
            <w:shd w:fill="CCEEFF" w:val="clear"/>
            <w:tcMar>
              <w:bottom w:w="0" w:type="dxa"/>
            </w:tcMar>
            <w:vAlign w:val="center"/>
          </w:tcPr>
          <w:p>
            <w:pPr>
              <w:pStyle w:val="TableContents"/>
              <w:spacing w:before="0" w:after="0"/>
              <w:rPr/>
            </w:pPr>
            <w:hyperlink w:anchor="brhc20052070_ex31-1.htm">
              <w:r>
                <w:rPr>
                  <w:rStyle w:val="InternetLink"/>
                  <w:color w:val="000000"/>
                </w:rPr>
                <w:t>31.1</w:t>
              </w:r>
            </w:hyperlink>
          </w:p>
        </w:tc>
        <w:tc>
          <w:tcPr>
            <w:tcW w:w="60" w:type="dxa"/>
            <w:tcBorders/>
            <w:shd w:fill="CCEEFF" w:val="clear"/>
            <w:tcMar>
              <w:bottom w:w="0" w:type="dxa"/>
            </w:tcMar>
            <w:vAlign w:val="center"/>
          </w:tcPr>
          <w:p>
            <w:pPr>
              <w:pStyle w:val="TableContents"/>
              <w:spacing w:before="0" w:after="283"/>
              <w:rPr/>
            </w:pPr>
            <w:r>
              <w:rPr/>
              <w:t> </w:t>
            </w:r>
          </w:p>
        </w:tc>
        <w:tc>
          <w:tcPr>
            <w:tcW w:w="8829" w:type="dxa"/>
            <w:tcBorders/>
            <w:shd w:fill="CCEEFF" w:val="clear"/>
            <w:tcMar>
              <w:bottom w:w="0" w:type="dxa"/>
            </w:tcMar>
            <w:vAlign w:val="center"/>
          </w:tcPr>
          <w:p>
            <w:pPr>
              <w:pStyle w:val="TableContents"/>
              <w:spacing w:before="0" w:after="0"/>
              <w:jc w:val="both"/>
              <w:rPr/>
            </w:pPr>
            <w:r>
              <w:rPr/>
              <w:t>Certification by Ryan S. Napierski, Chief Executive Officer, pursuant to Rule 13a-14(a) of the Securities Exchange Act of 1934, as adopted pursuant to Section 302 of the Sarbanes-Oxley Act of 2002.</w:t>
            </w:r>
          </w:p>
        </w:tc>
      </w:tr>
      <w:tr>
        <w:trPr/>
        <w:tc>
          <w:tcPr>
            <w:tcW w:w="1316" w:type="dxa"/>
            <w:tcBorders/>
            <w:shd w:fill="auto" w:val="clear"/>
            <w:tcMar>
              <w:bottom w:w="0" w:type="dxa"/>
            </w:tcMar>
            <w:vAlign w:val="center"/>
          </w:tcPr>
          <w:p>
            <w:pPr>
              <w:pStyle w:val="TableContents"/>
              <w:spacing w:before="0" w:after="0"/>
              <w:rPr/>
            </w:pPr>
            <w:hyperlink w:anchor="brhc20052070_ex31-2.htm">
              <w:r>
                <w:rPr>
                  <w:rStyle w:val="InternetLink"/>
                  <w:color w:val="000000"/>
                </w:rPr>
                <w:t>31.2</w:t>
              </w:r>
            </w:hyperlink>
          </w:p>
        </w:tc>
        <w:tc>
          <w:tcPr>
            <w:tcW w:w="60" w:type="dxa"/>
            <w:tcBorders/>
            <w:shd w:fill="auto" w:val="clear"/>
            <w:tcMar>
              <w:bottom w:w="0" w:type="dxa"/>
            </w:tcMar>
            <w:vAlign w:val="center"/>
          </w:tcPr>
          <w:p>
            <w:pPr>
              <w:pStyle w:val="TableContents"/>
              <w:spacing w:before="0" w:after="283"/>
              <w:rPr/>
            </w:pPr>
            <w:r>
              <w:rPr/>
              <w:t> </w:t>
            </w:r>
          </w:p>
        </w:tc>
        <w:tc>
          <w:tcPr>
            <w:tcW w:w="8829" w:type="dxa"/>
            <w:tcBorders/>
            <w:shd w:fill="auto" w:val="clear"/>
            <w:tcMar>
              <w:bottom w:w="0" w:type="dxa"/>
            </w:tcMar>
            <w:vAlign w:val="center"/>
          </w:tcPr>
          <w:p>
            <w:pPr>
              <w:pStyle w:val="TableContents"/>
              <w:spacing w:before="0" w:after="0"/>
              <w:jc w:val="both"/>
              <w:rPr/>
            </w:pPr>
            <w:r>
              <w:rPr/>
              <w:t>Certification by James D. Thomas, Chief Financial Officer, pursuant to Rule 13a-14(a) of the Securities Exchange Act of 1934, as adopted pursuant to Section 302 of the Sarbanes-Oxley Act of 2002.</w:t>
            </w:r>
          </w:p>
        </w:tc>
      </w:tr>
      <w:tr>
        <w:trPr/>
        <w:tc>
          <w:tcPr>
            <w:tcW w:w="1316" w:type="dxa"/>
            <w:tcBorders/>
            <w:shd w:fill="CCEEFF" w:val="clear"/>
            <w:tcMar>
              <w:bottom w:w="0" w:type="dxa"/>
            </w:tcMar>
            <w:vAlign w:val="center"/>
          </w:tcPr>
          <w:p>
            <w:pPr>
              <w:pStyle w:val="TableContents"/>
              <w:spacing w:before="0" w:after="0"/>
              <w:rPr/>
            </w:pPr>
            <w:hyperlink w:anchor="brhc20052070_ex32-1.htm">
              <w:r>
                <w:rPr>
                  <w:rStyle w:val="InternetLink"/>
                  <w:color w:val="000000"/>
                </w:rPr>
                <w:t>32.1</w:t>
              </w:r>
            </w:hyperlink>
          </w:p>
        </w:tc>
        <w:tc>
          <w:tcPr>
            <w:tcW w:w="60" w:type="dxa"/>
            <w:tcBorders/>
            <w:shd w:fill="CCEEFF" w:val="clear"/>
            <w:tcMar>
              <w:bottom w:w="0" w:type="dxa"/>
            </w:tcMar>
            <w:vAlign w:val="center"/>
          </w:tcPr>
          <w:p>
            <w:pPr>
              <w:pStyle w:val="TableContents"/>
              <w:spacing w:before="0" w:after="283"/>
              <w:rPr/>
            </w:pPr>
            <w:r>
              <w:rPr/>
              <w:t> </w:t>
            </w:r>
          </w:p>
        </w:tc>
        <w:tc>
          <w:tcPr>
            <w:tcW w:w="8829" w:type="dxa"/>
            <w:tcBorders/>
            <w:shd w:fill="CCEEFF" w:val="clear"/>
            <w:tcMar>
              <w:bottom w:w="0" w:type="dxa"/>
            </w:tcMar>
            <w:vAlign w:val="center"/>
          </w:tcPr>
          <w:p>
            <w:pPr>
              <w:pStyle w:val="TableContents"/>
              <w:spacing w:before="0" w:after="0"/>
              <w:jc w:val="both"/>
              <w:rPr/>
            </w:pPr>
            <w:r>
              <w:rPr/>
              <w:t>Certification by Ryan S. Napierski, Chief Executive Officer, pursuant to Section 1350, Chapter 63 of Title 18, United States Code, as adopted pursuant to Section 906 of the Sarbanes-Oxley Act of 2002.</w:t>
            </w:r>
          </w:p>
        </w:tc>
      </w:tr>
      <w:tr>
        <w:trPr/>
        <w:tc>
          <w:tcPr>
            <w:tcW w:w="1316" w:type="dxa"/>
            <w:tcBorders/>
            <w:shd w:fill="auto" w:val="clear"/>
            <w:tcMar>
              <w:bottom w:w="0" w:type="dxa"/>
            </w:tcMar>
            <w:vAlign w:val="center"/>
          </w:tcPr>
          <w:p>
            <w:pPr>
              <w:pStyle w:val="TableContents"/>
              <w:spacing w:before="0" w:after="0"/>
              <w:rPr/>
            </w:pPr>
            <w:hyperlink w:anchor="brhc20052070_ex32-2.htm">
              <w:r>
                <w:rPr>
                  <w:rStyle w:val="InternetLink"/>
                  <w:color w:val="000000"/>
                </w:rPr>
                <w:t>32.2</w:t>
              </w:r>
            </w:hyperlink>
          </w:p>
        </w:tc>
        <w:tc>
          <w:tcPr>
            <w:tcW w:w="60" w:type="dxa"/>
            <w:tcBorders/>
            <w:shd w:fill="auto" w:val="clear"/>
            <w:tcMar>
              <w:bottom w:w="0" w:type="dxa"/>
            </w:tcMar>
            <w:vAlign w:val="center"/>
          </w:tcPr>
          <w:p>
            <w:pPr>
              <w:pStyle w:val="TableContents"/>
              <w:spacing w:before="0" w:after="283"/>
              <w:rPr/>
            </w:pPr>
            <w:r>
              <w:rPr/>
              <w:t> </w:t>
            </w:r>
          </w:p>
        </w:tc>
        <w:tc>
          <w:tcPr>
            <w:tcW w:w="8829" w:type="dxa"/>
            <w:tcBorders/>
            <w:shd w:fill="auto" w:val="clear"/>
            <w:tcMar>
              <w:bottom w:w="0" w:type="dxa"/>
            </w:tcMar>
            <w:vAlign w:val="center"/>
          </w:tcPr>
          <w:p>
            <w:pPr>
              <w:pStyle w:val="TableContents"/>
              <w:spacing w:before="0" w:after="0"/>
              <w:jc w:val="both"/>
              <w:rPr/>
            </w:pPr>
            <w:r>
              <w:rPr/>
              <w:t>Certification by James D. Thomas, Chief Financial Officer, pursuant to Section 1350, Chapter 63 of Title 18, United States Code, as adopted pursuant to Section 906 of the Sarbanes-Oxley Act of 2002.</w:t>
            </w:r>
          </w:p>
        </w:tc>
      </w:tr>
      <w:tr>
        <w:trPr/>
        <w:tc>
          <w:tcPr>
            <w:tcW w:w="1316" w:type="dxa"/>
            <w:tcBorders/>
            <w:shd w:fill="CCEEFF" w:val="clear"/>
            <w:tcMar>
              <w:bottom w:w="0" w:type="dxa"/>
            </w:tcMar>
            <w:vAlign w:val="center"/>
          </w:tcPr>
          <w:p>
            <w:pPr>
              <w:pStyle w:val="TableContents"/>
              <w:spacing w:before="0" w:after="0"/>
              <w:rPr/>
            </w:pPr>
            <w:r>
              <w:rPr/>
              <w:t>101.INS</w:t>
            </w:r>
          </w:p>
        </w:tc>
        <w:tc>
          <w:tcPr>
            <w:tcW w:w="60" w:type="dxa"/>
            <w:tcBorders/>
            <w:shd w:fill="CCEEFF" w:val="clear"/>
            <w:tcMar>
              <w:bottom w:w="0" w:type="dxa"/>
            </w:tcMar>
            <w:vAlign w:val="center"/>
          </w:tcPr>
          <w:p>
            <w:pPr>
              <w:pStyle w:val="TableContents"/>
              <w:spacing w:before="0" w:after="283"/>
              <w:rPr/>
            </w:pPr>
            <w:r>
              <w:rPr/>
              <w:t> </w:t>
            </w:r>
          </w:p>
        </w:tc>
        <w:tc>
          <w:tcPr>
            <w:tcW w:w="8829" w:type="dxa"/>
            <w:tcBorders/>
            <w:shd w:fill="CCEEFF" w:val="clear"/>
            <w:tcMar>
              <w:bottom w:w="0" w:type="dxa"/>
            </w:tcMar>
            <w:vAlign w:val="center"/>
          </w:tcPr>
          <w:p>
            <w:pPr>
              <w:pStyle w:val="TableContents"/>
              <w:spacing w:before="0" w:after="0"/>
              <w:jc w:val="both"/>
              <w:rPr/>
            </w:pPr>
            <w:r>
              <w:rPr/>
              <w:t>Inline XBRL Instance Document (the instance document does not appear in the Interactive Data File because its XBRL tags are embedded within the Inline XBRL document)</w:t>
            </w:r>
          </w:p>
        </w:tc>
      </w:tr>
      <w:tr>
        <w:trPr/>
        <w:tc>
          <w:tcPr>
            <w:tcW w:w="1316" w:type="dxa"/>
            <w:tcBorders/>
            <w:shd w:fill="auto" w:val="clear"/>
            <w:tcMar>
              <w:bottom w:w="0" w:type="dxa"/>
            </w:tcMar>
            <w:vAlign w:val="center"/>
          </w:tcPr>
          <w:p>
            <w:pPr>
              <w:pStyle w:val="TableContents"/>
              <w:spacing w:before="0" w:after="0"/>
              <w:rPr/>
            </w:pPr>
            <w:r>
              <w:rPr/>
              <w:t>101.SCH</w:t>
            </w:r>
          </w:p>
        </w:tc>
        <w:tc>
          <w:tcPr>
            <w:tcW w:w="60" w:type="dxa"/>
            <w:tcBorders/>
            <w:shd w:fill="auto" w:val="clear"/>
            <w:tcMar>
              <w:bottom w:w="0" w:type="dxa"/>
            </w:tcMar>
            <w:vAlign w:val="center"/>
          </w:tcPr>
          <w:p>
            <w:pPr>
              <w:pStyle w:val="TableContents"/>
              <w:spacing w:before="0" w:after="283"/>
              <w:rPr/>
            </w:pPr>
            <w:r>
              <w:rPr/>
              <w:t> </w:t>
            </w:r>
          </w:p>
        </w:tc>
        <w:tc>
          <w:tcPr>
            <w:tcW w:w="8829" w:type="dxa"/>
            <w:tcBorders/>
            <w:shd w:fill="auto" w:val="clear"/>
            <w:tcMar>
              <w:bottom w:w="0" w:type="dxa"/>
            </w:tcMar>
            <w:vAlign w:val="center"/>
          </w:tcPr>
          <w:p>
            <w:pPr>
              <w:pStyle w:val="TableContents"/>
              <w:spacing w:before="0" w:after="0"/>
              <w:rPr/>
            </w:pPr>
            <w:r>
              <w:rPr/>
              <w:t>Inline XBRL Taxonomy Extension Schema Document</w:t>
            </w:r>
          </w:p>
        </w:tc>
      </w:tr>
      <w:tr>
        <w:trPr/>
        <w:tc>
          <w:tcPr>
            <w:tcW w:w="1316" w:type="dxa"/>
            <w:tcBorders/>
            <w:shd w:fill="CCEEFF" w:val="clear"/>
            <w:tcMar>
              <w:bottom w:w="0" w:type="dxa"/>
            </w:tcMar>
            <w:vAlign w:val="center"/>
          </w:tcPr>
          <w:p>
            <w:pPr>
              <w:pStyle w:val="TableContents"/>
              <w:spacing w:before="0" w:after="0"/>
              <w:rPr/>
            </w:pPr>
            <w:r>
              <w:rPr/>
              <w:t>101.CAL</w:t>
            </w:r>
          </w:p>
        </w:tc>
        <w:tc>
          <w:tcPr>
            <w:tcW w:w="60" w:type="dxa"/>
            <w:tcBorders/>
            <w:shd w:fill="CCEEFF" w:val="clear"/>
            <w:tcMar>
              <w:bottom w:w="0" w:type="dxa"/>
            </w:tcMar>
            <w:vAlign w:val="center"/>
          </w:tcPr>
          <w:p>
            <w:pPr>
              <w:pStyle w:val="TableContents"/>
              <w:spacing w:before="0" w:after="283"/>
              <w:rPr/>
            </w:pPr>
            <w:r>
              <w:rPr/>
              <w:t> </w:t>
            </w:r>
          </w:p>
        </w:tc>
        <w:tc>
          <w:tcPr>
            <w:tcW w:w="8829" w:type="dxa"/>
            <w:tcBorders/>
            <w:shd w:fill="CCEEFF" w:val="clear"/>
            <w:tcMar>
              <w:bottom w:w="0" w:type="dxa"/>
            </w:tcMar>
            <w:vAlign w:val="center"/>
          </w:tcPr>
          <w:p>
            <w:pPr>
              <w:pStyle w:val="TableContents"/>
              <w:spacing w:before="0" w:after="0"/>
              <w:rPr/>
            </w:pPr>
            <w:r>
              <w:rPr/>
              <w:t>Inline XBRL Taxonomy Extension Calculation Linkbase Document</w:t>
            </w:r>
          </w:p>
        </w:tc>
      </w:tr>
      <w:tr>
        <w:trPr/>
        <w:tc>
          <w:tcPr>
            <w:tcW w:w="1316" w:type="dxa"/>
            <w:tcBorders/>
            <w:shd w:fill="auto" w:val="clear"/>
            <w:tcMar>
              <w:bottom w:w="0" w:type="dxa"/>
            </w:tcMar>
            <w:vAlign w:val="center"/>
          </w:tcPr>
          <w:p>
            <w:pPr>
              <w:pStyle w:val="TableContents"/>
              <w:spacing w:before="0" w:after="0"/>
              <w:rPr/>
            </w:pPr>
            <w:r>
              <w:rPr/>
              <w:t>101.DEF</w:t>
            </w:r>
          </w:p>
        </w:tc>
        <w:tc>
          <w:tcPr>
            <w:tcW w:w="60" w:type="dxa"/>
            <w:tcBorders/>
            <w:shd w:fill="auto" w:val="clear"/>
            <w:tcMar>
              <w:bottom w:w="0" w:type="dxa"/>
            </w:tcMar>
            <w:vAlign w:val="center"/>
          </w:tcPr>
          <w:p>
            <w:pPr>
              <w:pStyle w:val="TableContents"/>
              <w:spacing w:before="0" w:after="283"/>
              <w:rPr/>
            </w:pPr>
            <w:r>
              <w:rPr/>
              <w:t> </w:t>
            </w:r>
          </w:p>
        </w:tc>
        <w:tc>
          <w:tcPr>
            <w:tcW w:w="8829" w:type="dxa"/>
            <w:tcBorders/>
            <w:shd w:fill="auto" w:val="clear"/>
            <w:tcMar>
              <w:bottom w:w="0" w:type="dxa"/>
            </w:tcMar>
            <w:vAlign w:val="center"/>
          </w:tcPr>
          <w:p>
            <w:pPr>
              <w:pStyle w:val="TableContents"/>
              <w:spacing w:before="0" w:after="0"/>
              <w:rPr/>
            </w:pPr>
            <w:r>
              <w:rPr/>
              <w:t>Inline XBRL Taxonomy Extension Definition Linkbase Document</w:t>
            </w:r>
          </w:p>
        </w:tc>
      </w:tr>
      <w:tr>
        <w:trPr/>
        <w:tc>
          <w:tcPr>
            <w:tcW w:w="1316" w:type="dxa"/>
            <w:tcBorders/>
            <w:shd w:fill="CCEEFF" w:val="clear"/>
            <w:tcMar>
              <w:bottom w:w="0" w:type="dxa"/>
            </w:tcMar>
            <w:vAlign w:val="center"/>
          </w:tcPr>
          <w:p>
            <w:pPr>
              <w:pStyle w:val="TableContents"/>
              <w:spacing w:before="0" w:after="0"/>
              <w:rPr/>
            </w:pPr>
            <w:r>
              <w:rPr/>
              <w:t>101.LAB</w:t>
            </w:r>
          </w:p>
        </w:tc>
        <w:tc>
          <w:tcPr>
            <w:tcW w:w="60" w:type="dxa"/>
            <w:tcBorders/>
            <w:shd w:fill="CCEEFF" w:val="clear"/>
            <w:tcMar>
              <w:bottom w:w="0" w:type="dxa"/>
            </w:tcMar>
            <w:vAlign w:val="center"/>
          </w:tcPr>
          <w:p>
            <w:pPr>
              <w:pStyle w:val="TableContents"/>
              <w:spacing w:before="0" w:after="283"/>
              <w:rPr/>
            </w:pPr>
            <w:r>
              <w:rPr/>
              <w:t> </w:t>
            </w:r>
          </w:p>
        </w:tc>
        <w:tc>
          <w:tcPr>
            <w:tcW w:w="8829" w:type="dxa"/>
            <w:tcBorders/>
            <w:shd w:fill="CCEEFF" w:val="clear"/>
            <w:tcMar>
              <w:bottom w:w="0" w:type="dxa"/>
            </w:tcMar>
            <w:vAlign w:val="center"/>
          </w:tcPr>
          <w:p>
            <w:pPr>
              <w:pStyle w:val="TableContents"/>
              <w:spacing w:before="0" w:after="0"/>
              <w:rPr/>
            </w:pPr>
            <w:r>
              <w:rPr/>
              <w:t>Inline XBRL Taxonomy Extension Label Linkbase Document</w:t>
            </w:r>
          </w:p>
        </w:tc>
      </w:tr>
      <w:tr>
        <w:trPr/>
        <w:tc>
          <w:tcPr>
            <w:tcW w:w="1316" w:type="dxa"/>
            <w:tcBorders/>
            <w:shd w:fill="auto" w:val="clear"/>
            <w:tcMar>
              <w:bottom w:w="0" w:type="dxa"/>
            </w:tcMar>
            <w:vAlign w:val="center"/>
          </w:tcPr>
          <w:p>
            <w:pPr>
              <w:pStyle w:val="TableContents"/>
              <w:spacing w:before="0" w:after="0"/>
              <w:rPr/>
            </w:pPr>
            <w:r>
              <w:rPr/>
              <w:t>101.PRE</w:t>
            </w:r>
          </w:p>
        </w:tc>
        <w:tc>
          <w:tcPr>
            <w:tcW w:w="60" w:type="dxa"/>
            <w:tcBorders/>
            <w:shd w:fill="auto" w:val="clear"/>
            <w:tcMar>
              <w:bottom w:w="0" w:type="dxa"/>
            </w:tcMar>
            <w:vAlign w:val="center"/>
          </w:tcPr>
          <w:p>
            <w:pPr>
              <w:pStyle w:val="TableContents"/>
              <w:spacing w:before="0" w:after="283"/>
              <w:rPr/>
            </w:pPr>
            <w:r>
              <w:rPr/>
              <w:t> </w:t>
            </w:r>
          </w:p>
        </w:tc>
        <w:tc>
          <w:tcPr>
            <w:tcW w:w="8829" w:type="dxa"/>
            <w:tcBorders/>
            <w:shd w:fill="auto" w:val="clear"/>
            <w:tcMar>
              <w:bottom w:w="0" w:type="dxa"/>
            </w:tcMar>
            <w:vAlign w:val="center"/>
          </w:tcPr>
          <w:p>
            <w:pPr>
              <w:pStyle w:val="TableContents"/>
              <w:spacing w:before="0" w:after="0"/>
              <w:rPr/>
            </w:pPr>
            <w:r>
              <w:rPr/>
              <w:t>Inline XBRL Taxonomy Extension Presentation Linkbase Document</w:t>
            </w:r>
          </w:p>
        </w:tc>
      </w:tr>
      <w:tr>
        <w:trPr/>
        <w:tc>
          <w:tcPr>
            <w:tcW w:w="1316" w:type="dxa"/>
            <w:tcBorders/>
            <w:shd w:fill="CCEEFF" w:val="clear"/>
            <w:tcMar>
              <w:bottom w:w="0" w:type="dxa"/>
            </w:tcMar>
            <w:vAlign w:val="center"/>
          </w:tcPr>
          <w:p>
            <w:pPr>
              <w:pStyle w:val="TableContents"/>
              <w:spacing w:before="0" w:after="0"/>
              <w:rPr/>
            </w:pPr>
            <w:r>
              <w:rPr/>
              <w:t>104</w:t>
            </w:r>
          </w:p>
        </w:tc>
        <w:tc>
          <w:tcPr>
            <w:tcW w:w="60" w:type="dxa"/>
            <w:tcBorders/>
            <w:shd w:fill="CCEEFF" w:val="clear"/>
            <w:tcMar>
              <w:bottom w:w="0" w:type="dxa"/>
            </w:tcMar>
            <w:vAlign w:val="center"/>
          </w:tcPr>
          <w:p>
            <w:pPr>
              <w:pStyle w:val="TableContents"/>
              <w:spacing w:before="0" w:after="283"/>
              <w:rPr/>
            </w:pPr>
            <w:r>
              <w:rPr/>
              <w:t> </w:t>
            </w:r>
          </w:p>
        </w:tc>
        <w:tc>
          <w:tcPr>
            <w:tcW w:w="8829" w:type="dxa"/>
            <w:tcBorders/>
            <w:shd w:fill="CCEEFF" w:val="clear"/>
            <w:tcMar>
              <w:bottom w:w="0" w:type="dxa"/>
            </w:tcMar>
            <w:vAlign w:val="center"/>
          </w:tcPr>
          <w:p>
            <w:pPr>
              <w:pStyle w:val="TableContents"/>
              <w:spacing w:before="0" w:after="0"/>
              <w:rPr/>
            </w:pPr>
            <w:r>
              <w:rPr/>
              <w:t>Cover Page Interactive Data File (formatted as inline XBRL and contained in Exhibit 101)</w:t>
            </w:r>
          </w:p>
        </w:tc>
      </w:tr>
    </w:tbl>
    <w:p>
      <w:pPr>
        <w:pStyle w:val="TextBody"/>
        <w:spacing w:before="0" w:after="0"/>
        <w:jc w:val="left"/>
        <w:rPr/>
      </w:pPr>
      <w:r>
        <w:rPr/>
      </w:r>
    </w:p>
    <w:p>
      <w:pPr>
        <w:pStyle w:val="TextBody"/>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SIGNATURE</w:t>
      </w:r>
      <w:bookmarkStart w:id="29" w:name="SIGNATURE"/>
      <w:bookmarkEnd w:id="29"/>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r>
    </w:p>
    <w:tbl>
      <w:tblPr>
        <w:tblW w:w="5905" w:type="dxa"/>
        <w:jc w:val="left"/>
        <w:tblInd w:w="0" w:type="dxa"/>
        <w:tblCellMar>
          <w:top w:w="0" w:type="dxa"/>
          <w:left w:w="0" w:type="dxa"/>
          <w:bottom w:w="0" w:type="dxa"/>
          <w:right w:w="0" w:type="dxa"/>
        </w:tblCellMar>
      </w:tblPr>
      <w:tblGrid>
        <w:gridCol w:w="365"/>
        <w:gridCol w:w="5480"/>
        <w:gridCol w:w="60"/>
      </w:tblGrid>
      <w:tr>
        <w:trPr/>
        <w:tc>
          <w:tcPr>
            <w:tcW w:w="5905" w:type="dxa"/>
            <w:gridSpan w:val="3"/>
            <w:tcBorders/>
            <w:shd w:fill="auto" w:val="clear"/>
            <w:vAlign w:val="center"/>
          </w:tcPr>
          <w:p>
            <w:pPr>
              <w:pStyle w:val="TableContents"/>
              <w:spacing w:before="0" w:after="283"/>
              <w:rPr/>
            </w:pPr>
            <w:r>
              <w:rPr/>
              <w:t>May 3, 2023</w:t>
            </w:r>
          </w:p>
        </w:tc>
      </w:tr>
      <w:tr>
        <w:trPr/>
        <w:tc>
          <w:tcPr>
            <w:tcW w:w="5905" w:type="dxa"/>
            <w:gridSpan w:val="3"/>
            <w:tcBorders/>
            <w:shd w:fill="auto" w:val="clear"/>
            <w:vAlign w:val="center"/>
          </w:tcPr>
          <w:p>
            <w:pPr>
              <w:pStyle w:val="TableContents"/>
              <w:spacing w:before="0" w:after="283"/>
              <w:rPr/>
            </w:pPr>
            <w:r>
              <w:rPr/>
              <w:t> </w:t>
            </w:r>
          </w:p>
        </w:tc>
      </w:tr>
      <w:tr>
        <w:trPr/>
        <w:tc>
          <w:tcPr>
            <w:tcW w:w="5905" w:type="dxa"/>
            <w:gridSpan w:val="3"/>
            <w:tcBorders/>
            <w:shd w:fill="auto" w:val="clear"/>
            <w:vAlign w:val="center"/>
          </w:tcPr>
          <w:p>
            <w:pPr>
              <w:pStyle w:val="TableContents"/>
              <w:spacing w:before="0" w:after="0"/>
              <w:rPr>
                <w:b/>
              </w:rPr>
            </w:pPr>
            <w:r>
              <w:rPr>
                <w:b/>
              </w:rPr>
              <w:t>NU SKIN ENTERPRISES, INC.</w:t>
            </w:r>
          </w:p>
        </w:tc>
      </w:tr>
      <w:tr>
        <w:trPr/>
        <w:tc>
          <w:tcPr>
            <w:tcW w:w="365" w:type="dxa"/>
            <w:tcBorders/>
            <w:shd w:fill="auto" w:val="clear"/>
            <w:vAlign w:val="center"/>
          </w:tcPr>
          <w:p>
            <w:pPr>
              <w:pStyle w:val="TableContents"/>
              <w:spacing w:before="0" w:after="283"/>
              <w:rPr/>
            </w:pPr>
            <w:r>
              <w:rPr/>
              <w:t> </w:t>
            </w:r>
          </w:p>
        </w:tc>
        <w:tc>
          <w:tcPr>
            <w:tcW w:w="5540" w:type="dxa"/>
            <w:gridSpan w:val="2"/>
            <w:tcBorders/>
            <w:shd w:fill="auto" w:val="clear"/>
            <w:vAlign w:val="center"/>
          </w:tcPr>
          <w:p>
            <w:pPr>
              <w:pStyle w:val="TableContents"/>
              <w:spacing w:before="0" w:after="283"/>
              <w:rPr/>
            </w:pPr>
            <w:r>
              <w:rPr/>
              <w:t> </w:t>
            </w:r>
          </w:p>
        </w:tc>
      </w:tr>
      <w:tr>
        <w:trPr/>
        <w:tc>
          <w:tcPr>
            <w:tcW w:w="365" w:type="dxa"/>
            <w:tcBorders/>
            <w:shd w:fill="auto" w:val="clear"/>
            <w:vAlign w:val="center"/>
          </w:tcPr>
          <w:p>
            <w:pPr>
              <w:pStyle w:val="TableContents"/>
              <w:spacing w:before="0" w:after="0"/>
              <w:rPr/>
            </w:pPr>
            <w:r>
              <w:rPr/>
              <w:t>By:</w:t>
            </w:r>
          </w:p>
        </w:tc>
        <w:tc>
          <w:tcPr>
            <w:tcW w:w="5480" w:type="dxa"/>
            <w:tcBorders>
              <w:bottom w:val="single" w:sz="12" w:space="0" w:color="000000"/>
            </w:tcBorders>
            <w:shd w:fill="auto" w:val="clear"/>
            <w:tcMar>
              <w:bottom w:w="28" w:type="dxa"/>
            </w:tcMar>
            <w:vAlign w:val="center"/>
          </w:tcPr>
          <w:p>
            <w:pPr>
              <w:pStyle w:val="TableContents"/>
              <w:spacing w:before="0" w:after="0"/>
              <w:rPr/>
            </w:pPr>
            <w:r>
              <w:rPr/>
              <w:t>/s/ James D. Thomas</w:t>
            </w:r>
          </w:p>
        </w:tc>
        <w:tc>
          <w:tcPr>
            <w:tcW w:w="60" w:type="dxa"/>
            <w:tcBorders/>
            <w:shd w:fill="auto" w:val="clear"/>
            <w:vAlign w:val="center"/>
          </w:tcPr>
          <w:p>
            <w:pPr>
              <w:pStyle w:val="TableContents"/>
              <w:spacing w:before="0" w:after="283"/>
              <w:rPr/>
            </w:pPr>
            <w:r>
              <w:rPr/>
              <w:t> </w:t>
            </w:r>
          </w:p>
        </w:tc>
      </w:tr>
      <w:tr>
        <w:trPr/>
        <w:tc>
          <w:tcPr>
            <w:tcW w:w="365" w:type="dxa"/>
            <w:tcBorders/>
            <w:shd w:fill="auto" w:val="clear"/>
            <w:vAlign w:val="center"/>
          </w:tcPr>
          <w:p>
            <w:pPr>
              <w:pStyle w:val="TableContents"/>
              <w:spacing w:before="0" w:after="283"/>
              <w:rPr/>
            </w:pPr>
            <w:r>
              <w:rPr/>
              <w:t> </w:t>
            </w:r>
          </w:p>
        </w:tc>
        <w:tc>
          <w:tcPr>
            <w:tcW w:w="5480" w:type="dxa"/>
            <w:tcBorders/>
            <w:shd w:fill="auto" w:val="clear"/>
            <w:vAlign w:val="center"/>
          </w:tcPr>
          <w:p>
            <w:pPr>
              <w:pStyle w:val="TableContents"/>
              <w:spacing w:before="0" w:after="0"/>
              <w:rPr/>
            </w:pPr>
            <w:r>
              <w:rPr/>
              <w:t>James D. Thomas</w:t>
            </w:r>
          </w:p>
        </w:tc>
        <w:tc>
          <w:tcPr>
            <w:tcW w:w="60" w:type="dxa"/>
            <w:tcBorders/>
            <w:shd w:fill="auto" w:val="clear"/>
            <w:vAlign w:val="center"/>
          </w:tcPr>
          <w:p>
            <w:pPr>
              <w:pStyle w:val="TableContents"/>
              <w:spacing w:before="0" w:after="283"/>
              <w:rPr/>
            </w:pPr>
            <w:r>
              <w:rPr/>
              <w:t> </w:t>
            </w:r>
          </w:p>
        </w:tc>
      </w:tr>
      <w:tr>
        <w:trPr/>
        <w:tc>
          <w:tcPr>
            <w:tcW w:w="365" w:type="dxa"/>
            <w:tcBorders/>
            <w:shd w:fill="auto" w:val="clear"/>
            <w:vAlign w:val="center"/>
          </w:tcPr>
          <w:p>
            <w:pPr>
              <w:pStyle w:val="TableContents"/>
              <w:spacing w:before="0" w:after="283"/>
              <w:rPr/>
            </w:pPr>
            <w:r>
              <w:rPr/>
              <w:t> </w:t>
            </w:r>
          </w:p>
        </w:tc>
        <w:tc>
          <w:tcPr>
            <w:tcW w:w="5480" w:type="dxa"/>
            <w:tcBorders/>
            <w:shd w:fill="auto" w:val="clear"/>
            <w:vAlign w:val="center"/>
          </w:tcPr>
          <w:p>
            <w:pPr>
              <w:pStyle w:val="TableContents"/>
              <w:spacing w:before="0" w:after="0"/>
              <w:rPr/>
            </w:pPr>
            <w:r>
              <w:rPr/>
              <w:t>Chief Financial Officer</w:t>
            </w:r>
          </w:p>
        </w:tc>
        <w:tc>
          <w:tcPr>
            <w:tcW w:w="60" w:type="dxa"/>
            <w:tcBorders/>
            <w:shd w:fill="auto" w:val="clear"/>
            <w:vAlign w:val="center"/>
          </w:tcPr>
          <w:p>
            <w:pPr>
              <w:pStyle w:val="TableContents"/>
              <w:spacing w:before="0" w:after="283"/>
              <w:rPr/>
            </w:pPr>
            <w:r>
              <w:rPr/>
              <w:t> </w:t>
            </w:r>
          </w:p>
        </w:tc>
      </w:tr>
      <w:tr>
        <w:trPr/>
        <w:tc>
          <w:tcPr>
            <w:tcW w:w="365" w:type="dxa"/>
            <w:tcBorders/>
            <w:shd w:fill="auto" w:val="clear"/>
            <w:vAlign w:val="center"/>
          </w:tcPr>
          <w:p>
            <w:pPr>
              <w:pStyle w:val="TableContents"/>
              <w:spacing w:before="0" w:after="283"/>
              <w:rPr/>
            </w:pPr>
            <w:r>
              <w:rPr/>
              <w:t> </w:t>
            </w:r>
          </w:p>
        </w:tc>
        <w:tc>
          <w:tcPr>
            <w:tcW w:w="5480" w:type="dxa"/>
            <w:tcBorders/>
            <w:shd w:fill="auto" w:val="clear"/>
            <w:vAlign w:val="center"/>
          </w:tcPr>
          <w:p>
            <w:pPr>
              <w:pStyle w:val="TableContents"/>
              <w:spacing w:before="0" w:after="0"/>
              <w:rPr/>
            </w:pPr>
            <w:r>
              <w:rPr/>
              <w:t>(Duly Authorized Officer and Principal Financial Officer)</w:t>
            </w:r>
          </w:p>
        </w:tc>
        <w:tc>
          <w:tcPr>
            <w:tcW w:w="60" w:type="dxa"/>
            <w:tcBorders/>
            <w:shd w:fill="auto" w:val="clear"/>
            <w:vAlign w:val="center"/>
          </w:tcPr>
          <w:p>
            <w:pPr>
              <w:pStyle w:val="TableContents"/>
              <w:spacing w:before="0" w:after="283"/>
              <w:rPr/>
            </w:pPr>
            <w:r>
              <w:rPr/>
              <w:t> </w:t>
            </w:r>
          </w:p>
        </w:tc>
      </w:tr>
    </w:tbl>
    <w:p>
      <w:pPr>
        <w:pStyle w:val="TextBody"/>
        <w:spacing w:before="0" w:after="0"/>
        <w:jc w:val="left"/>
        <w:rPr/>
      </w:pPr>
      <w:r>
        <w:rPr/>
      </w:r>
    </w:p>
    <w:p>
      <w:pPr>
        <w:pStyle w:val="TextBody"/>
        <w:spacing w:before="0" w:after="0"/>
        <w:jc w:val="left"/>
        <w:rPr/>
      </w:pPr>
      <w:r>
        <w:rPr/>
      </w:r>
    </w:p>
    <w:p>
      <w:pPr>
        <w:pStyle w:val="TextBody"/>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28</w:t>
      </w:r>
      <w:r>
        <w:rPr>
          <w:rFonts w:ascii="Times New Roman" w:hAnsi="Times New Roman"/>
          <w:color w:val="000000"/>
          <w:sz w:val="20"/>
        </w:rPr>
        <w:t xml:space="preserve"> </w:t>
      </w:r>
    </w:p>
    <w:p>
      <w:pPr>
        <w:pStyle w:val="HorizontalLine"/>
        <w:jc w:val="left"/>
        <w:rPr/>
      </w:pPr>
      <w:r>
        <w:rPr/>
      </w:r>
      <w:r>
        <w:br w:type="page"/>
      </w:r>
    </w:p>
    <w:p>
      <w:pPr>
        <w:pStyle w:val="HorizontalLine"/>
        <w:pBdr>
          <w:bottom w:val="single" w:sz="20" w:space="0" w:color="808080"/>
        </w:pBdr>
        <w:rPr/>
      </w:pPr>
      <w:r>
        <w:rPr/>
      </w:r>
      <w:bookmarkStart w:id="30" w:name="brhc20052070_ex31-1.htm"/>
      <w:bookmarkStart w:id="31" w:name="ksbrhc20052070_ex311"/>
      <w:bookmarkStart w:id="32" w:name="brhc20052070_ex31-1.htm"/>
      <w:bookmarkStart w:id="33" w:name="ksbrhc20052070_ex311"/>
      <w:bookmarkEnd w:id="32"/>
      <w:bookmarkEnd w:id="33"/>
    </w:p>
    <w:p>
      <w:pPr>
        <w:pStyle w:val="TextBody"/>
        <w:spacing w:before="0" w:after="0"/>
        <w:jc w:val="right"/>
        <w:rPr>
          <w:b/>
        </w:rPr>
      </w:pPr>
      <w:r>
        <w:rPr>
          <w:b/>
        </w:rPr>
        <w:t>EXHIBIT 31.1</w:t>
      </w:r>
    </w:p>
    <w:p>
      <w:pPr>
        <w:pStyle w:val="TextBody"/>
        <w:spacing w:before="0" w:after="0"/>
        <w:rPr/>
      </w:pPr>
      <w:r>
        <w:rPr/>
      </w:r>
    </w:p>
    <w:p>
      <w:pPr>
        <w:pStyle w:val="TextBody"/>
        <w:spacing w:before="0" w:after="0"/>
        <w:jc w:val="center"/>
        <w:rPr>
          <w:b/>
        </w:rPr>
      </w:pPr>
      <w:r>
        <w:rPr>
          <w:b/>
        </w:rPr>
        <w:t>SECTION 302 CERTIFICATION OF CHIEF EXECUTIVE OFFICER</w:t>
      </w:r>
    </w:p>
    <w:p>
      <w:pPr>
        <w:pStyle w:val="TextBody"/>
        <w:spacing w:before="0" w:after="0"/>
        <w:rPr/>
      </w:pPr>
      <w:r>
        <w:rPr/>
      </w:r>
    </w:p>
    <w:p>
      <w:pPr>
        <w:pStyle w:val="TextBody"/>
        <w:spacing w:before="0" w:after="0"/>
        <w:jc w:val="both"/>
        <w:rPr/>
      </w:pPr>
      <w:r>
        <w:rPr/>
        <w:t>I, Ryan S. Napierski, certify that:</w:t>
      </w:r>
    </w:p>
    <w:p>
      <w:pPr>
        <w:pStyle w:val="TextBody"/>
        <w:spacing w:before="0" w:after="0"/>
        <w:rPr/>
      </w:pPr>
      <w:r>
        <w:rPr/>
      </w:r>
    </w:p>
    <w:p>
      <w:pPr>
        <w:pStyle w:val="Normal"/>
        <w:spacing w:before="0" w:after="0"/>
        <w:rPr>
          <w:sz w:val="4"/>
          <w:szCs w:val="4"/>
        </w:rPr>
      </w:pPr>
      <w:r>
        <w:rPr>
          <w:sz w:val="4"/>
          <w:szCs w:val="4"/>
        </w:rPr>
      </w:r>
      <w:bookmarkStart w:id="34" w:name="zdfab27d2a546483db9b763258aecfc65"/>
      <w:bookmarkStart w:id="35" w:name="zdfab27d2a546483db9b763258aecfc65"/>
      <w:bookmarkEnd w:id="35"/>
    </w:p>
    <w:tbl>
      <w:tblPr>
        <w:tblW w:w="7855" w:type="dxa"/>
        <w:jc w:val="left"/>
        <w:tblInd w:w="0" w:type="dxa"/>
        <w:tblCellMar>
          <w:top w:w="0" w:type="dxa"/>
          <w:left w:w="0" w:type="dxa"/>
          <w:bottom w:w="0" w:type="dxa"/>
          <w:right w:w="0" w:type="dxa"/>
        </w:tblCellMar>
      </w:tblPr>
      <w:tblGrid>
        <w:gridCol w:w="215"/>
        <w:gridCol w:w="7640"/>
      </w:tblGrid>
      <w:tr>
        <w:trPr/>
        <w:tc>
          <w:tcPr>
            <w:tcW w:w="215" w:type="dxa"/>
            <w:tcBorders/>
            <w:shd w:fill="auto" w:val="clear"/>
            <w:vAlign w:val="center"/>
          </w:tcPr>
          <w:p>
            <w:pPr>
              <w:pStyle w:val="TableContents"/>
              <w:spacing w:before="0" w:after="283"/>
              <w:rPr/>
            </w:pPr>
            <w:r>
              <w:rPr/>
              <w:t>1.</w:t>
            </w:r>
          </w:p>
        </w:tc>
        <w:tc>
          <w:tcPr>
            <w:tcW w:w="7640" w:type="dxa"/>
            <w:tcBorders/>
            <w:shd w:fill="auto" w:val="clear"/>
            <w:vAlign w:val="center"/>
          </w:tcPr>
          <w:p>
            <w:pPr>
              <w:pStyle w:val="TableContents"/>
              <w:spacing w:before="0" w:after="0"/>
              <w:jc w:val="both"/>
              <w:rPr/>
            </w:pPr>
            <w:r>
              <w:rPr/>
              <w:t>I have reviewed this quarterly report on Form 10-Q of Nu Skin Enterprises, Inc.;</w:t>
            </w:r>
          </w:p>
        </w:tc>
      </w:tr>
    </w:tbl>
    <w:p>
      <w:pPr>
        <w:pStyle w:val="TextBody"/>
        <w:spacing w:before="0" w:after="0"/>
        <w:rPr/>
      </w:pPr>
      <w:r>
        <w:rPr/>
      </w:r>
    </w:p>
    <w:p>
      <w:pPr>
        <w:pStyle w:val="Normal"/>
        <w:spacing w:before="0" w:after="0"/>
        <w:rPr>
          <w:sz w:val="4"/>
          <w:szCs w:val="4"/>
        </w:rPr>
      </w:pPr>
      <w:r>
        <w:rPr>
          <w:sz w:val="4"/>
          <w:szCs w:val="4"/>
        </w:rPr>
      </w:r>
      <w:bookmarkStart w:id="36" w:name="z9404decb4285474eb8feaa57c5cf8c91"/>
      <w:bookmarkStart w:id="37" w:name="z9404decb4285474eb8feaa57c5cf8c91"/>
      <w:bookmarkEnd w:id="37"/>
    </w:p>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vAlign w:val="center"/>
          </w:tcPr>
          <w:p>
            <w:pPr>
              <w:pStyle w:val="TableContents"/>
              <w:spacing w:before="0" w:after="283"/>
              <w:rPr/>
            </w:pPr>
            <w:r>
              <w:rPr/>
              <w:t>2.</w:t>
            </w:r>
          </w:p>
        </w:tc>
        <w:tc>
          <w:tcPr>
            <w:tcW w:w="10031" w:type="dxa"/>
            <w:tcBorders/>
            <w:shd w:fill="auto" w:val="clear"/>
            <w:vAlign w:val="center"/>
          </w:tcPr>
          <w:p>
            <w:pPr>
              <w:pStyle w:val="TableContents"/>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rPr/>
      </w:pPr>
      <w:r>
        <w:rPr/>
      </w:r>
    </w:p>
    <w:p>
      <w:pPr>
        <w:pStyle w:val="Normal"/>
        <w:spacing w:before="0" w:after="0"/>
        <w:rPr>
          <w:sz w:val="4"/>
          <w:szCs w:val="4"/>
        </w:rPr>
      </w:pPr>
      <w:r>
        <w:rPr>
          <w:sz w:val="4"/>
          <w:szCs w:val="4"/>
        </w:rPr>
      </w:r>
      <w:bookmarkStart w:id="38" w:name="z0e05cff8003743ba9f58500e99d2f782"/>
      <w:bookmarkStart w:id="39" w:name="z0e05cff8003743ba9f58500e99d2f782"/>
      <w:bookmarkEnd w:id="39"/>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283"/>
              <w:rPr/>
            </w:pPr>
            <w:r>
              <w:rPr/>
              <w:t>3.</w:t>
            </w:r>
          </w:p>
        </w:tc>
        <w:tc>
          <w:tcPr>
            <w:tcW w:w="10028" w:type="dxa"/>
            <w:tcBorders/>
            <w:shd w:fill="auto" w:val="clear"/>
            <w:vAlign w:val="center"/>
          </w:tcPr>
          <w:p>
            <w:pPr>
              <w:pStyle w:val="TableContents"/>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rPr/>
      </w:pPr>
      <w:r>
        <w:rPr/>
      </w:r>
    </w:p>
    <w:p>
      <w:pPr>
        <w:pStyle w:val="Normal"/>
        <w:spacing w:before="0" w:after="0"/>
        <w:rPr>
          <w:sz w:val="4"/>
          <w:szCs w:val="4"/>
        </w:rPr>
      </w:pPr>
      <w:r>
        <w:rPr>
          <w:sz w:val="4"/>
          <w:szCs w:val="4"/>
        </w:rPr>
      </w:r>
      <w:bookmarkStart w:id="40" w:name="zad972b204bdc4986bb63677e9de5541f"/>
      <w:bookmarkStart w:id="41" w:name="zad972b204bdc4986bb63677e9de5541f"/>
      <w:bookmarkEnd w:id="41"/>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rPr/>
            </w:pPr>
            <w:r>
              <w:rPr/>
              <w:t>4.</w:t>
            </w:r>
          </w:p>
        </w:tc>
        <w:tc>
          <w:tcPr>
            <w:tcW w:w="10032" w:type="dxa"/>
            <w:tcBorders/>
            <w:shd w:fill="auto" w:val="clear"/>
            <w:vAlign w:val="center"/>
          </w:tcPr>
          <w:p>
            <w:pPr>
              <w:pStyle w:val="TableContents"/>
              <w:spacing w:before="0" w:after="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rPr/>
      </w:pPr>
      <w:r>
        <w:rPr/>
      </w:r>
    </w:p>
    <w:p>
      <w:pPr>
        <w:pStyle w:val="Normal"/>
        <w:spacing w:before="0" w:after="0"/>
        <w:rPr>
          <w:sz w:val="4"/>
          <w:szCs w:val="4"/>
        </w:rPr>
      </w:pPr>
      <w:r>
        <w:rPr>
          <w:sz w:val="4"/>
          <w:szCs w:val="4"/>
        </w:rPr>
      </w:r>
      <w:bookmarkStart w:id="42" w:name="zc058973b4e6a4e0ba763e1ca76a27319"/>
      <w:bookmarkStart w:id="43" w:name="zc058973b4e6a4e0ba763e1ca76a27319"/>
      <w:bookmarkEnd w:id="43"/>
    </w:p>
    <w:tbl>
      <w:tblPr>
        <w:tblW w:w="10205" w:type="dxa"/>
        <w:jc w:val="left"/>
        <w:tblInd w:w="0" w:type="dxa"/>
        <w:tblCellMar>
          <w:top w:w="0" w:type="dxa"/>
          <w:left w:w="0" w:type="dxa"/>
          <w:bottom w:w="0" w:type="dxa"/>
          <w:right w:w="0" w:type="dxa"/>
        </w:tblCellMar>
      </w:tblPr>
      <w:tblGrid>
        <w:gridCol w:w="38"/>
        <w:gridCol w:w="220"/>
        <w:gridCol w:w="9947"/>
      </w:tblGrid>
      <w:tr>
        <w:trPr/>
        <w:tc>
          <w:tcPr>
            <w:tcW w:w="38" w:type="dxa"/>
            <w:tcBorders/>
            <w:shd w:fill="auto" w:val="clear"/>
            <w:vAlign w:val="center"/>
          </w:tcPr>
          <w:p>
            <w:pPr>
              <w:pStyle w:val="TableContents"/>
              <w:spacing w:before="0" w:after="283"/>
              <w:rPr/>
            </w:pPr>
            <w:r>
              <w:rPr/>
            </w:r>
          </w:p>
        </w:tc>
        <w:tc>
          <w:tcPr>
            <w:tcW w:w="220" w:type="dxa"/>
            <w:tcBorders/>
            <w:shd w:fill="auto" w:val="clear"/>
            <w:vAlign w:val="center"/>
          </w:tcPr>
          <w:p>
            <w:pPr>
              <w:pStyle w:val="TableContents"/>
              <w:spacing w:before="0" w:after="283"/>
              <w:rPr/>
            </w:pPr>
            <w:r>
              <w:rPr/>
              <w:t>(a)</w:t>
            </w:r>
          </w:p>
        </w:tc>
        <w:tc>
          <w:tcPr>
            <w:tcW w:w="9947" w:type="dxa"/>
            <w:tcBorders/>
            <w:shd w:fill="auto" w:val="clear"/>
            <w:vAlign w:val="cente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rPr/>
      </w:pPr>
      <w:r>
        <w:rPr/>
      </w:r>
    </w:p>
    <w:p>
      <w:pPr>
        <w:pStyle w:val="Normal"/>
        <w:spacing w:before="0" w:after="0"/>
        <w:rPr>
          <w:sz w:val="4"/>
          <w:szCs w:val="4"/>
        </w:rPr>
      </w:pPr>
      <w:r>
        <w:rPr>
          <w:sz w:val="4"/>
          <w:szCs w:val="4"/>
        </w:rPr>
      </w:r>
      <w:bookmarkStart w:id="44" w:name="ze8b99a50c8544daeb83fa323f7147cbf"/>
      <w:bookmarkStart w:id="45" w:name="ze8b99a50c8544daeb83fa323f7147cbf"/>
      <w:bookmarkEnd w:id="45"/>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pPr>
            <w:r>
              <w:rPr/>
            </w:r>
          </w:p>
        </w:tc>
        <w:tc>
          <w:tcPr>
            <w:tcW w:w="235" w:type="dxa"/>
            <w:tcBorders/>
            <w:shd w:fill="auto" w:val="clear"/>
            <w:vAlign w:val="center"/>
          </w:tcPr>
          <w:p>
            <w:pPr>
              <w:pStyle w:val="TableContents"/>
              <w:spacing w:before="0" w:after="283"/>
              <w:rPr/>
            </w:pPr>
            <w:r>
              <w:rPr/>
              <w:t>(b)</w:t>
            </w:r>
          </w:p>
        </w:tc>
        <w:tc>
          <w:tcPr>
            <w:tcW w:w="9932" w:type="dxa"/>
            <w:tcBorders/>
            <w:shd w:fill="auto" w:val="clear"/>
            <w:vAlign w:val="cente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rPr/>
      </w:pPr>
      <w:r>
        <w:rPr/>
      </w:r>
    </w:p>
    <w:p>
      <w:pPr>
        <w:pStyle w:val="Normal"/>
        <w:spacing w:before="0" w:after="0"/>
        <w:rPr>
          <w:sz w:val="4"/>
          <w:szCs w:val="4"/>
        </w:rPr>
      </w:pPr>
      <w:r>
        <w:rPr>
          <w:sz w:val="4"/>
          <w:szCs w:val="4"/>
        </w:rPr>
      </w:r>
      <w:bookmarkStart w:id="46" w:name="z7c979327feae439587acbd362b574307"/>
      <w:bookmarkStart w:id="47" w:name="z7c979327feae439587acbd362b574307"/>
      <w:bookmarkEnd w:id="47"/>
    </w:p>
    <w:tbl>
      <w:tblPr>
        <w:tblW w:w="10205" w:type="dxa"/>
        <w:jc w:val="left"/>
        <w:tblInd w:w="0" w:type="dxa"/>
        <w:tblCellMar>
          <w:top w:w="0" w:type="dxa"/>
          <w:left w:w="0" w:type="dxa"/>
          <w:bottom w:w="0" w:type="dxa"/>
          <w:right w:w="0" w:type="dxa"/>
        </w:tblCellMar>
      </w:tblPr>
      <w:tblGrid>
        <w:gridCol w:w="38"/>
        <w:gridCol w:w="226"/>
        <w:gridCol w:w="9941"/>
      </w:tblGrid>
      <w:tr>
        <w:trPr/>
        <w:tc>
          <w:tcPr>
            <w:tcW w:w="38" w:type="dxa"/>
            <w:tcBorders/>
            <w:shd w:fill="auto" w:val="clear"/>
            <w:vAlign w:val="center"/>
          </w:tcPr>
          <w:p>
            <w:pPr>
              <w:pStyle w:val="TableContents"/>
              <w:spacing w:before="0" w:after="283"/>
              <w:rPr/>
            </w:pPr>
            <w:r>
              <w:rPr/>
            </w:r>
          </w:p>
        </w:tc>
        <w:tc>
          <w:tcPr>
            <w:tcW w:w="226" w:type="dxa"/>
            <w:tcBorders/>
            <w:shd w:fill="auto" w:val="clear"/>
            <w:vAlign w:val="center"/>
          </w:tcPr>
          <w:p>
            <w:pPr>
              <w:pStyle w:val="TableContents"/>
              <w:spacing w:before="0" w:after="283"/>
              <w:rPr/>
            </w:pPr>
            <w:r>
              <w:rPr/>
              <w:t>(c)</w:t>
            </w:r>
          </w:p>
        </w:tc>
        <w:tc>
          <w:tcPr>
            <w:tcW w:w="9941" w:type="dxa"/>
            <w:tcBorders/>
            <w:shd w:fill="auto" w:val="clear"/>
            <w:vAlign w:val="cente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rPr/>
      </w:pPr>
      <w:r>
        <w:rPr/>
      </w:r>
    </w:p>
    <w:p>
      <w:pPr>
        <w:pStyle w:val="Normal"/>
        <w:spacing w:before="0" w:after="0"/>
        <w:rPr>
          <w:sz w:val="4"/>
          <w:szCs w:val="4"/>
        </w:rPr>
      </w:pPr>
      <w:r>
        <w:rPr>
          <w:sz w:val="4"/>
          <w:szCs w:val="4"/>
        </w:rPr>
      </w:r>
      <w:bookmarkStart w:id="48" w:name="zce1410f5baea4e5a9eb8221f6716a524"/>
      <w:bookmarkStart w:id="49" w:name="zce1410f5baea4e5a9eb8221f6716a524"/>
      <w:bookmarkEnd w:id="49"/>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pPr>
            <w:r>
              <w:rPr/>
            </w:r>
          </w:p>
        </w:tc>
        <w:tc>
          <w:tcPr>
            <w:tcW w:w="235" w:type="dxa"/>
            <w:tcBorders/>
            <w:shd w:fill="auto" w:val="clear"/>
            <w:vAlign w:val="center"/>
          </w:tcPr>
          <w:p>
            <w:pPr>
              <w:pStyle w:val="TableContents"/>
              <w:spacing w:before="0" w:after="283"/>
              <w:rPr/>
            </w:pPr>
            <w:r>
              <w:rPr/>
              <w:t>(d)</w:t>
            </w:r>
          </w:p>
        </w:tc>
        <w:tc>
          <w:tcPr>
            <w:tcW w:w="9932" w:type="dxa"/>
            <w:tcBorders/>
            <w:shd w:fill="auto" w:val="clear"/>
            <w:vAlign w:val="center"/>
          </w:tcPr>
          <w:p>
            <w:pPr>
              <w:pStyle w:val="TableContents"/>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rPr/>
      </w:pPr>
      <w:r>
        <w:rPr/>
      </w:r>
    </w:p>
    <w:p>
      <w:pPr>
        <w:pStyle w:val="Normal"/>
        <w:spacing w:before="0" w:after="0"/>
        <w:rPr>
          <w:sz w:val="4"/>
          <w:szCs w:val="4"/>
        </w:rPr>
      </w:pPr>
      <w:r>
        <w:rPr>
          <w:sz w:val="4"/>
          <w:szCs w:val="4"/>
        </w:rPr>
      </w:r>
      <w:bookmarkStart w:id="50" w:name="z7d061bb2a60c414dba691720369dff8e"/>
      <w:bookmarkStart w:id="51" w:name="z7d061bb2a60c414dba691720369dff8e"/>
      <w:bookmarkEnd w:id="51"/>
    </w:p>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283"/>
              <w:rPr/>
            </w:pPr>
            <w:r>
              <w:rPr/>
              <w:t>5.</w:t>
            </w:r>
          </w:p>
        </w:tc>
        <w:tc>
          <w:tcPr>
            <w:tcW w:w="10029" w:type="dxa"/>
            <w:tcBorders/>
            <w:shd w:fill="auto" w:val="clear"/>
            <w:vAlign w:val="center"/>
          </w:tcPr>
          <w:p>
            <w:pPr>
              <w:pStyle w:val="TableContents"/>
              <w:spacing w:before="0" w:after="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rPr/>
      </w:pPr>
      <w:r>
        <w:rPr/>
      </w:r>
    </w:p>
    <w:p>
      <w:pPr>
        <w:pStyle w:val="Normal"/>
        <w:spacing w:before="0" w:after="0"/>
        <w:rPr>
          <w:sz w:val="4"/>
          <w:szCs w:val="4"/>
        </w:rPr>
      </w:pPr>
      <w:r>
        <w:rPr>
          <w:sz w:val="4"/>
          <w:szCs w:val="4"/>
        </w:rPr>
      </w:r>
      <w:bookmarkStart w:id="52" w:name="zb15f589f66c9467c99f9f111edd60872"/>
      <w:bookmarkStart w:id="53" w:name="zb15f589f66c9467c99f9f111edd60872"/>
      <w:bookmarkEnd w:id="53"/>
    </w:p>
    <w:tbl>
      <w:tblPr>
        <w:tblW w:w="10205" w:type="dxa"/>
        <w:jc w:val="left"/>
        <w:tblInd w:w="0" w:type="dxa"/>
        <w:tblCellMar>
          <w:top w:w="0" w:type="dxa"/>
          <w:left w:w="0" w:type="dxa"/>
          <w:bottom w:w="0" w:type="dxa"/>
          <w:right w:w="0" w:type="dxa"/>
        </w:tblCellMar>
      </w:tblPr>
      <w:tblGrid>
        <w:gridCol w:w="38"/>
        <w:gridCol w:w="228"/>
        <w:gridCol w:w="9939"/>
      </w:tblGrid>
      <w:tr>
        <w:trPr/>
        <w:tc>
          <w:tcPr>
            <w:tcW w:w="38" w:type="dxa"/>
            <w:tcBorders/>
            <w:shd w:fill="auto" w:val="clear"/>
            <w:vAlign w:val="center"/>
          </w:tcPr>
          <w:p>
            <w:pPr>
              <w:pStyle w:val="TableContents"/>
              <w:spacing w:before="0" w:after="283"/>
              <w:rPr/>
            </w:pPr>
            <w:r>
              <w:rPr/>
            </w:r>
          </w:p>
        </w:tc>
        <w:tc>
          <w:tcPr>
            <w:tcW w:w="228" w:type="dxa"/>
            <w:tcBorders/>
            <w:shd w:fill="auto" w:val="clear"/>
            <w:vAlign w:val="center"/>
          </w:tcPr>
          <w:p>
            <w:pPr>
              <w:pStyle w:val="TableContents"/>
              <w:spacing w:before="0" w:after="283"/>
              <w:rPr/>
            </w:pPr>
            <w:r>
              <w:rPr/>
              <w:t>(a)</w:t>
            </w:r>
          </w:p>
        </w:tc>
        <w:tc>
          <w:tcPr>
            <w:tcW w:w="9939" w:type="dxa"/>
            <w:tcBorders/>
            <w:shd w:fill="auto" w:val="clear"/>
            <w:vAlign w:val="center"/>
          </w:tcPr>
          <w:p>
            <w:pPr>
              <w:pStyle w:val="TableContents"/>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rPr/>
      </w:pPr>
      <w:r>
        <w:rPr/>
      </w:r>
    </w:p>
    <w:p>
      <w:pPr>
        <w:pStyle w:val="Normal"/>
        <w:spacing w:before="0" w:after="0"/>
        <w:rPr>
          <w:sz w:val="4"/>
          <w:szCs w:val="4"/>
        </w:rPr>
      </w:pPr>
      <w:r>
        <w:rPr>
          <w:sz w:val="4"/>
          <w:szCs w:val="4"/>
        </w:rPr>
      </w:r>
      <w:bookmarkStart w:id="54" w:name="zfda4b663b5ad4122976fb44ec97b0b89"/>
      <w:bookmarkStart w:id="55" w:name="zfda4b663b5ad4122976fb44ec97b0b89"/>
      <w:bookmarkEnd w:id="55"/>
    </w:p>
    <w:tbl>
      <w:tblPr>
        <w:tblW w:w="10205" w:type="dxa"/>
        <w:jc w:val="left"/>
        <w:tblInd w:w="0" w:type="dxa"/>
        <w:tblCellMar>
          <w:top w:w="0" w:type="dxa"/>
          <w:left w:w="0" w:type="dxa"/>
          <w:bottom w:w="0" w:type="dxa"/>
          <w:right w:w="0" w:type="dxa"/>
        </w:tblCellMar>
      </w:tblPr>
      <w:tblGrid>
        <w:gridCol w:w="38"/>
        <w:gridCol w:w="259"/>
        <w:gridCol w:w="9908"/>
      </w:tblGrid>
      <w:tr>
        <w:trPr/>
        <w:tc>
          <w:tcPr>
            <w:tcW w:w="38" w:type="dxa"/>
            <w:tcBorders/>
            <w:shd w:fill="auto" w:val="clear"/>
            <w:vAlign w:val="center"/>
          </w:tcPr>
          <w:p>
            <w:pPr>
              <w:pStyle w:val="TableContents"/>
              <w:spacing w:before="0" w:after="283"/>
              <w:rPr/>
            </w:pPr>
            <w:r>
              <w:rPr/>
            </w:r>
          </w:p>
        </w:tc>
        <w:tc>
          <w:tcPr>
            <w:tcW w:w="259" w:type="dxa"/>
            <w:tcBorders/>
            <w:shd w:fill="auto" w:val="clear"/>
            <w:vAlign w:val="center"/>
          </w:tcPr>
          <w:p>
            <w:pPr>
              <w:pStyle w:val="TableContents"/>
              <w:spacing w:before="0" w:after="283"/>
              <w:rPr/>
            </w:pPr>
            <w:r>
              <w:rPr/>
              <w:t>(b)</w:t>
            </w:r>
          </w:p>
        </w:tc>
        <w:tc>
          <w:tcPr>
            <w:tcW w:w="9908" w:type="dxa"/>
            <w:tcBorders/>
            <w:shd w:fill="auto" w:val="clear"/>
            <w:vAlign w:val="center"/>
          </w:tcPr>
          <w:p>
            <w:pPr>
              <w:pStyle w:val="TableContents"/>
              <w:spacing w:before="0" w:after="0"/>
              <w:jc w:val="both"/>
              <w:rPr/>
            </w:pPr>
            <w:r>
              <w:rPr/>
              <w:t>Any fraud, whether or not material, that involves management or other employees who have a significant role in the registrant’s internal control over financial reporting.</w:t>
            </w:r>
          </w:p>
        </w:tc>
      </w:tr>
    </w:tbl>
    <w:p>
      <w:pPr>
        <w:pStyle w:val="TextBody"/>
        <w:spacing w:before="0" w:after="0"/>
        <w:rPr/>
      </w:pPr>
      <w:r>
        <w:rPr/>
      </w:r>
    </w:p>
    <w:p>
      <w:pPr>
        <w:pStyle w:val="Normal"/>
        <w:spacing w:before="0" w:after="0"/>
        <w:rPr>
          <w:sz w:val="4"/>
          <w:szCs w:val="4"/>
        </w:rPr>
      </w:pPr>
      <w:r>
        <w:rPr>
          <w:sz w:val="4"/>
          <w:szCs w:val="4"/>
        </w:rPr>
      </w:r>
      <w:bookmarkStart w:id="56" w:name="zf95518fddd7e46f6909805dc9b7d8f40"/>
      <w:bookmarkStart w:id="57" w:name="zf95518fddd7e46f6909805dc9b7d8f40"/>
      <w:bookmarkEnd w:id="57"/>
    </w:p>
    <w:tbl>
      <w:tblPr>
        <w:tblW w:w="4150" w:type="dxa"/>
        <w:jc w:val="left"/>
        <w:tblInd w:w="0" w:type="dxa"/>
        <w:tblCellMar>
          <w:top w:w="0" w:type="dxa"/>
          <w:left w:w="0" w:type="dxa"/>
          <w:bottom w:w="0" w:type="dxa"/>
          <w:right w:w="0" w:type="dxa"/>
        </w:tblCellMar>
      </w:tblPr>
      <w:tblGrid>
        <w:gridCol w:w="1805"/>
        <w:gridCol w:w="2285"/>
        <w:gridCol w:w="60"/>
      </w:tblGrid>
      <w:tr>
        <w:trPr/>
        <w:tc>
          <w:tcPr>
            <w:tcW w:w="1805" w:type="dxa"/>
            <w:tcBorders/>
            <w:shd w:fill="auto" w:val="clear"/>
            <w:vAlign w:val="center"/>
          </w:tcPr>
          <w:p>
            <w:pPr>
              <w:pStyle w:val="TableContents"/>
              <w:spacing w:before="0" w:after="0"/>
              <w:rPr/>
            </w:pPr>
            <w:r>
              <w:rPr/>
              <w:t>Date: May 3, 2023</w:t>
            </w:r>
          </w:p>
        </w:tc>
        <w:tc>
          <w:tcPr>
            <w:tcW w:w="2285" w:type="dxa"/>
            <w:tcBorders>
              <w:bottom w:val="single" w:sz="12" w:space="0" w:color="000000"/>
            </w:tcBorders>
            <w:shd w:fill="auto" w:val="clear"/>
            <w:tcMar>
              <w:bottom w:w="28" w:type="dxa"/>
            </w:tcMar>
            <w:vAlign w:val="center"/>
          </w:tcPr>
          <w:p>
            <w:pPr>
              <w:pStyle w:val="TableContents"/>
              <w:spacing w:before="0" w:after="0"/>
              <w:rPr/>
            </w:pPr>
            <w:r>
              <w:rPr/>
              <w:t>/s/ Ryan S. Napierski</w:t>
            </w:r>
          </w:p>
        </w:tc>
        <w:tc>
          <w:tcPr>
            <w:tcW w:w="6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rPr/>
            </w:pPr>
            <w:r>
              <w:rPr/>
              <w:t>Ryan S. Napierski</w:t>
            </w:r>
          </w:p>
        </w:tc>
        <w:tc>
          <w:tcPr>
            <w:tcW w:w="6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rPr/>
            </w:pPr>
            <w:r>
              <w:rPr/>
              <w:t>Chief Executive Officer</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58" w:name="brhc20052070_ex31-2.htm"/>
      <w:bookmarkStart w:id="59" w:name="ksbrhc20052070_ex312"/>
      <w:bookmarkStart w:id="60" w:name="brhc20052070_ex31-2.htm"/>
      <w:bookmarkStart w:id="61" w:name="ksbrhc20052070_ex312"/>
      <w:bookmarkEnd w:id="60"/>
      <w:bookmarkEnd w:id="61"/>
    </w:p>
    <w:p>
      <w:pPr>
        <w:pStyle w:val="TextBody"/>
        <w:spacing w:before="0" w:after="0"/>
        <w:jc w:val="right"/>
        <w:rPr>
          <w:b/>
        </w:rPr>
      </w:pPr>
      <w:r>
        <w:rPr>
          <w:b/>
        </w:rPr>
        <w:t>EXHIBIT 31.2</w:t>
      </w:r>
    </w:p>
    <w:p>
      <w:pPr>
        <w:pStyle w:val="TextBody"/>
        <w:spacing w:before="0" w:after="0"/>
        <w:rPr/>
      </w:pPr>
      <w:r>
        <w:rPr/>
      </w:r>
    </w:p>
    <w:p>
      <w:pPr>
        <w:pStyle w:val="TextBody"/>
        <w:spacing w:before="0" w:after="0"/>
        <w:jc w:val="center"/>
        <w:rPr>
          <w:b/>
        </w:rPr>
      </w:pPr>
      <w:r>
        <w:rPr>
          <w:b/>
        </w:rPr>
        <w:t>SECTION 302 CERTIFICATION OF CHIEF FINANCIAL OFFICER</w:t>
      </w:r>
    </w:p>
    <w:p>
      <w:pPr>
        <w:pStyle w:val="TextBody"/>
        <w:spacing w:before="0" w:after="0"/>
        <w:rPr/>
      </w:pPr>
      <w:r>
        <w:rPr/>
      </w:r>
    </w:p>
    <w:p>
      <w:pPr>
        <w:pStyle w:val="TextBody"/>
        <w:spacing w:before="0" w:after="0"/>
        <w:jc w:val="both"/>
        <w:rPr/>
      </w:pPr>
      <w:r>
        <w:rPr/>
        <w:t>I, James D. Thomas, certify that:</w:t>
      </w:r>
    </w:p>
    <w:p>
      <w:pPr>
        <w:pStyle w:val="TextBody"/>
        <w:spacing w:before="0" w:after="0"/>
        <w:rPr/>
      </w:pPr>
      <w:r>
        <w:rPr/>
      </w:r>
    </w:p>
    <w:p>
      <w:pPr>
        <w:pStyle w:val="Normal"/>
        <w:spacing w:before="0" w:after="0"/>
        <w:rPr>
          <w:sz w:val="4"/>
          <w:szCs w:val="4"/>
        </w:rPr>
      </w:pPr>
      <w:r>
        <w:rPr>
          <w:sz w:val="4"/>
          <w:szCs w:val="4"/>
        </w:rPr>
      </w:r>
      <w:bookmarkStart w:id="62" w:name="z6cfc3ea6556445438a603748fc1238c8"/>
      <w:bookmarkStart w:id="63" w:name="z6cfc3ea6556445438a603748fc1238c8"/>
      <w:bookmarkEnd w:id="63"/>
    </w:p>
    <w:tbl>
      <w:tblPr>
        <w:tblW w:w="7855" w:type="dxa"/>
        <w:jc w:val="left"/>
        <w:tblInd w:w="0" w:type="dxa"/>
        <w:tblCellMar>
          <w:top w:w="0" w:type="dxa"/>
          <w:left w:w="0" w:type="dxa"/>
          <w:bottom w:w="0" w:type="dxa"/>
          <w:right w:w="0" w:type="dxa"/>
        </w:tblCellMar>
      </w:tblPr>
      <w:tblGrid>
        <w:gridCol w:w="215"/>
        <w:gridCol w:w="7640"/>
      </w:tblGrid>
      <w:tr>
        <w:trPr/>
        <w:tc>
          <w:tcPr>
            <w:tcW w:w="215" w:type="dxa"/>
            <w:tcBorders/>
            <w:shd w:fill="auto" w:val="clear"/>
            <w:vAlign w:val="center"/>
          </w:tcPr>
          <w:p>
            <w:pPr>
              <w:pStyle w:val="TableContents"/>
              <w:spacing w:before="0" w:after="283"/>
              <w:rPr/>
            </w:pPr>
            <w:r>
              <w:rPr/>
              <w:t>1.</w:t>
            </w:r>
          </w:p>
        </w:tc>
        <w:tc>
          <w:tcPr>
            <w:tcW w:w="7640" w:type="dxa"/>
            <w:tcBorders/>
            <w:shd w:fill="auto" w:val="clear"/>
            <w:vAlign w:val="center"/>
          </w:tcPr>
          <w:p>
            <w:pPr>
              <w:pStyle w:val="TableContents"/>
              <w:spacing w:before="0" w:after="0"/>
              <w:jc w:val="both"/>
              <w:rPr/>
            </w:pPr>
            <w:r>
              <w:rPr/>
              <w:t>I have reviewed this quarterly report on Form 10-Q of Nu Skin Enterprises, Inc.;</w:t>
            </w:r>
          </w:p>
        </w:tc>
      </w:tr>
    </w:tbl>
    <w:p>
      <w:pPr>
        <w:pStyle w:val="TextBody"/>
        <w:spacing w:before="0" w:after="0"/>
        <w:rPr/>
      </w:pPr>
      <w:r>
        <w:rPr/>
      </w:r>
    </w:p>
    <w:p>
      <w:pPr>
        <w:pStyle w:val="Normal"/>
        <w:spacing w:before="0" w:after="0"/>
        <w:rPr>
          <w:sz w:val="4"/>
          <w:szCs w:val="4"/>
        </w:rPr>
      </w:pPr>
      <w:r>
        <w:rPr>
          <w:sz w:val="4"/>
          <w:szCs w:val="4"/>
        </w:rPr>
      </w:r>
      <w:bookmarkStart w:id="64" w:name="ze291b2acc5234b25afeda93a2d9865f9"/>
      <w:bookmarkStart w:id="65" w:name="ze291b2acc5234b25afeda93a2d9865f9"/>
      <w:bookmarkEnd w:id="65"/>
    </w:p>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vAlign w:val="center"/>
          </w:tcPr>
          <w:p>
            <w:pPr>
              <w:pStyle w:val="TableContents"/>
              <w:spacing w:before="0" w:after="283"/>
              <w:rPr/>
            </w:pPr>
            <w:r>
              <w:rPr/>
              <w:t>2.</w:t>
            </w:r>
          </w:p>
        </w:tc>
        <w:tc>
          <w:tcPr>
            <w:tcW w:w="10031" w:type="dxa"/>
            <w:tcBorders/>
            <w:shd w:fill="auto" w:val="clear"/>
            <w:vAlign w:val="center"/>
          </w:tcPr>
          <w:p>
            <w:pPr>
              <w:pStyle w:val="TableContents"/>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rPr/>
      </w:pPr>
      <w:r>
        <w:rPr/>
      </w:r>
    </w:p>
    <w:p>
      <w:pPr>
        <w:pStyle w:val="Normal"/>
        <w:spacing w:before="0" w:after="0"/>
        <w:rPr>
          <w:sz w:val="4"/>
          <w:szCs w:val="4"/>
        </w:rPr>
      </w:pPr>
      <w:r>
        <w:rPr>
          <w:sz w:val="4"/>
          <w:szCs w:val="4"/>
        </w:rPr>
      </w:r>
      <w:bookmarkStart w:id="66" w:name="z57c11c920dab42db831748db02f643e8"/>
      <w:bookmarkStart w:id="67" w:name="z57c11c920dab42db831748db02f643e8"/>
      <w:bookmarkEnd w:id="67"/>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283"/>
              <w:rPr/>
            </w:pPr>
            <w:r>
              <w:rPr/>
              <w:t>3.</w:t>
            </w:r>
          </w:p>
        </w:tc>
        <w:tc>
          <w:tcPr>
            <w:tcW w:w="10028" w:type="dxa"/>
            <w:tcBorders/>
            <w:shd w:fill="auto" w:val="clear"/>
            <w:vAlign w:val="center"/>
          </w:tcPr>
          <w:p>
            <w:pPr>
              <w:pStyle w:val="TableContents"/>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rPr/>
      </w:pPr>
      <w:r>
        <w:rPr/>
      </w:r>
    </w:p>
    <w:p>
      <w:pPr>
        <w:pStyle w:val="Normal"/>
        <w:spacing w:before="0" w:after="0"/>
        <w:rPr>
          <w:sz w:val="4"/>
          <w:szCs w:val="4"/>
        </w:rPr>
      </w:pPr>
      <w:r>
        <w:rPr>
          <w:sz w:val="4"/>
          <w:szCs w:val="4"/>
        </w:rPr>
      </w:r>
      <w:bookmarkStart w:id="68" w:name="z33406c1c86894dcd8c56e6d95c0b1f71"/>
      <w:bookmarkStart w:id="69" w:name="z33406c1c86894dcd8c56e6d95c0b1f71"/>
      <w:bookmarkEnd w:id="69"/>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rPr/>
            </w:pPr>
            <w:r>
              <w:rPr/>
              <w:t>4.</w:t>
            </w:r>
          </w:p>
        </w:tc>
        <w:tc>
          <w:tcPr>
            <w:tcW w:w="10032" w:type="dxa"/>
            <w:tcBorders/>
            <w:shd w:fill="auto" w:val="clear"/>
            <w:vAlign w:val="center"/>
          </w:tcPr>
          <w:p>
            <w:pPr>
              <w:pStyle w:val="TableContents"/>
              <w:spacing w:before="0" w:after="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rPr/>
      </w:pPr>
      <w:r>
        <w:rPr/>
      </w:r>
    </w:p>
    <w:p>
      <w:pPr>
        <w:pStyle w:val="Normal"/>
        <w:spacing w:before="0" w:after="0"/>
        <w:rPr>
          <w:sz w:val="4"/>
          <w:szCs w:val="4"/>
        </w:rPr>
      </w:pPr>
      <w:r>
        <w:rPr>
          <w:sz w:val="4"/>
          <w:szCs w:val="4"/>
        </w:rPr>
      </w:r>
      <w:bookmarkStart w:id="70" w:name="zb0735dfc61674f81aa39de5ab5b932c5"/>
      <w:bookmarkStart w:id="71" w:name="zb0735dfc61674f81aa39de5ab5b932c5"/>
      <w:bookmarkEnd w:id="71"/>
    </w:p>
    <w:tbl>
      <w:tblPr>
        <w:tblW w:w="10205" w:type="dxa"/>
        <w:jc w:val="left"/>
        <w:tblInd w:w="0" w:type="dxa"/>
        <w:tblCellMar>
          <w:top w:w="0" w:type="dxa"/>
          <w:left w:w="0" w:type="dxa"/>
          <w:bottom w:w="0" w:type="dxa"/>
          <w:right w:w="0" w:type="dxa"/>
        </w:tblCellMar>
      </w:tblPr>
      <w:tblGrid>
        <w:gridCol w:w="75"/>
        <w:gridCol w:w="219"/>
        <w:gridCol w:w="9911"/>
      </w:tblGrid>
      <w:tr>
        <w:trPr/>
        <w:tc>
          <w:tcPr>
            <w:tcW w:w="75"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(a)</w:t>
            </w:r>
          </w:p>
        </w:tc>
        <w:tc>
          <w:tcPr>
            <w:tcW w:w="9911" w:type="dxa"/>
            <w:tcBorders/>
            <w:shd w:fill="auto" w:val="clear"/>
            <w:vAlign w:val="cente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rPr/>
      </w:pPr>
      <w:r>
        <w:rPr/>
      </w:r>
    </w:p>
    <w:p>
      <w:pPr>
        <w:pStyle w:val="Normal"/>
        <w:spacing w:before="0" w:after="0"/>
        <w:rPr>
          <w:sz w:val="4"/>
          <w:szCs w:val="4"/>
        </w:rPr>
      </w:pPr>
      <w:r>
        <w:rPr>
          <w:sz w:val="4"/>
          <w:szCs w:val="4"/>
        </w:rPr>
      </w:r>
      <w:bookmarkStart w:id="72" w:name="z110f58e7dcd54736b2e209cb519dc9fe"/>
      <w:bookmarkStart w:id="73" w:name="z110f58e7dcd54736b2e209cb519dc9fe"/>
      <w:bookmarkEnd w:id="73"/>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pPr>
            <w:r>
              <w:rPr/>
            </w:r>
          </w:p>
        </w:tc>
        <w:tc>
          <w:tcPr>
            <w:tcW w:w="235" w:type="dxa"/>
            <w:tcBorders/>
            <w:shd w:fill="auto" w:val="clear"/>
            <w:vAlign w:val="center"/>
          </w:tcPr>
          <w:p>
            <w:pPr>
              <w:pStyle w:val="TableContents"/>
              <w:spacing w:before="0" w:after="283"/>
              <w:rPr/>
            </w:pPr>
            <w:r>
              <w:rPr/>
              <w:t>(b)</w:t>
            </w:r>
          </w:p>
        </w:tc>
        <w:tc>
          <w:tcPr>
            <w:tcW w:w="9932" w:type="dxa"/>
            <w:tcBorders/>
            <w:shd w:fill="auto" w:val="clear"/>
            <w:vAlign w:val="cente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rPr/>
      </w:pPr>
      <w:r>
        <w:rPr/>
      </w:r>
    </w:p>
    <w:p>
      <w:pPr>
        <w:pStyle w:val="Normal"/>
        <w:spacing w:before="0" w:after="0"/>
        <w:rPr>
          <w:sz w:val="4"/>
          <w:szCs w:val="4"/>
        </w:rPr>
      </w:pPr>
      <w:r>
        <w:rPr>
          <w:sz w:val="4"/>
          <w:szCs w:val="4"/>
        </w:rPr>
      </w:r>
      <w:bookmarkStart w:id="74" w:name="z29f3cca4d60b4fc7925a549cd4ab38da"/>
      <w:bookmarkStart w:id="75" w:name="z29f3cca4d60b4fc7925a549cd4ab38da"/>
      <w:bookmarkEnd w:id="75"/>
    </w:p>
    <w:tbl>
      <w:tblPr>
        <w:tblW w:w="10205" w:type="dxa"/>
        <w:jc w:val="left"/>
        <w:tblInd w:w="0" w:type="dxa"/>
        <w:tblCellMar>
          <w:top w:w="0" w:type="dxa"/>
          <w:left w:w="0" w:type="dxa"/>
          <w:bottom w:w="0" w:type="dxa"/>
          <w:right w:w="0" w:type="dxa"/>
        </w:tblCellMar>
      </w:tblPr>
      <w:tblGrid>
        <w:gridCol w:w="38"/>
        <w:gridCol w:w="226"/>
        <w:gridCol w:w="9941"/>
      </w:tblGrid>
      <w:tr>
        <w:trPr/>
        <w:tc>
          <w:tcPr>
            <w:tcW w:w="38" w:type="dxa"/>
            <w:tcBorders/>
            <w:shd w:fill="auto" w:val="clear"/>
            <w:vAlign w:val="center"/>
          </w:tcPr>
          <w:p>
            <w:pPr>
              <w:pStyle w:val="TableContents"/>
              <w:spacing w:before="0" w:after="283"/>
              <w:rPr/>
            </w:pPr>
            <w:r>
              <w:rPr/>
            </w:r>
          </w:p>
        </w:tc>
        <w:tc>
          <w:tcPr>
            <w:tcW w:w="226" w:type="dxa"/>
            <w:tcBorders/>
            <w:shd w:fill="auto" w:val="clear"/>
            <w:vAlign w:val="center"/>
          </w:tcPr>
          <w:p>
            <w:pPr>
              <w:pStyle w:val="TableContents"/>
              <w:spacing w:before="0" w:after="283"/>
              <w:rPr/>
            </w:pPr>
            <w:r>
              <w:rPr/>
              <w:t>(c)</w:t>
            </w:r>
          </w:p>
        </w:tc>
        <w:tc>
          <w:tcPr>
            <w:tcW w:w="9941" w:type="dxa"/>
            <w:tcBorders/>
            <w:shd w:fill="auto" w:val="clear"/>
            <w:vAlign w:val="cente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rPr/>
      </w:pPr>
      <w:r>
        <w:rPr/>
      </w:r>
    </w:p>
    <w:p>
      <w:pPr>
        <w:pStyle w:val="Normal"/>
        <w:spacing w:before="0" w:after="0"/>
        <w:rPr>
          <w:sz w:val="4"/>
          <w:szCs w:val="4"/>
        </w:rPr>
      </w:pPr>
      <w:r>
        <w:rPr>
          <w:sz w:val="4"/>
          <w:szCs w:val="4"/>
        </w:rPr>
      </w:r>
      <w:bookmarkStart w:id="76" w:name="z946bc5a635ff49be8b9fe6e095e5beab"/>
      <w:bookmarkStart w:id="77" w:name="z946bc5a635ff49be8b9fe6e095e5beab"/>
      <w:bookmarkEnd w:id="77"/>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pPr>
            <w:r>
              <w:rPr/>
            </w:r>
          </w:p>
        </w:tc>
        <w:tc>
          <w:tcPr>
            <w:tcW w:w="235" w:type="dxa"/>
            <w:tcBorders/>
            <w:shd w:fill="auto" w:val="clear"/>
            <w:vAlign w:val="center"/>
          </w:tcPr>
          <w:p>
            <w:pPr>
              <w:pStyle w:val="TableContents"/>
              <w:spacing w:before="0" w:after="283"/>
              <w:rPr/>
            </w:pPr>
            <w:r>
              <w:rPr/>
              <w:t>(d)</w:t>
            </w:r>
          </w:p>
        </w:tc>
        <w:tc>
          <w:tcPr>
            <w:tcW w:w="9932" w:type="dxa"/>
            <w:tcBorders/>
            <w:shd w:fill="auto" w:val="clear"/>
            <w:vAlign w:val="center"/>
          </w:tcPr>
          <w:p>
            <w:pPr>
              <w:pStyle w:val="TableContents"/>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rPr/>
      </w:pPr>
      <w:r>
        <w:rPr/>
      </w:r>
    </w:p>
    <w:p>
      <w:pPr>
        <w:pStyle w:val="Normal"/>
        <w:spacing w:before="0" w:after="0"/>
        <w:rPr>
          <w:sz w:val="4"/>
          <w:szCs w:val="4"/>
        </w:rPr>
      </w:pPr>
      <w:r>
        <w:rPr>
          <w:sz w:val="4"/>
          <w:szCs w:val="4"/>
        </w:rPr>
      </w:r>
      <w:bookmarkStart w:id="78" w:name="za78f1081a40b4d2b8c782e176eb413b3"/>
      <w:bookmarkStart w:id="79" w:name="za78f1081a40b4d2b8c782e176eb413b3"/>
      <w:bookmarkEnd w:id="79"/>
    </w:p>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283"/>
              <w:rPr/>
            </w:pPr>
            <w:r>
              <w:rPr/>
              <w:t>5.</w:t>
            </w:r>
          </w:p>
        </w:tc>
        <w:tc>
          <w:tcPr>
            <w:tcW w:w="10029" w:type="dxa"/>
            <w:tcBorders/>
            <w:shd w:fill="auto" w:val="clear"/>
            <w:vAlign w:val="center"/>
          </w:tcPr>
          <w:p>
            <w:pPr>
              <w:pStyle w:val="TableContents"/>
              <w:spacing w:before="0" w:after="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rPr/>
      </w:pPr>
      <w:r>
        <w:rPr/>
      </w:r>
    </w:p>
    <w:p>
      <w:pPr>
        <w:pStyle w:val="Normal"/>
        <w:spacing w:before="0" w:after="0"/>
        <w:rPr>
          <w:sz w:val="4"/>
          <w:szCs w:val="4"/>
        </w:rPr>
      </w:pPr>
      <w:r>
        <w:rPr>
          <w:sz w:val="4"/>
          <w:szCs w:val="4"/>
        </w:rPr>
      </w:r>
      <w:bookmarkStart w:id="80" w:name="z3b542625347d41c0b66aa275a2b08eb6"/>
      <w:bookmarkStart w:id="81" w:name="z3b542625347d41c0b66aa275a2b08eb6"/>
      <w:bookmarkEnd w:id="81"/>
    </w:p>
    <w:tbl>
      <w:tblPr>
        <w:tblW w:w="10205" w:type="dxa"/>
        <w:jc w:val="left"/>
        <w:tblInd w:w="0" w:type="dxa"/>
        <w:tblCellMar>
          <w:top w:w="0" w:type="dxa"/>
          <w:left w:w="0" w:type="dxa"/>
          <w:bottom w:w="0" w:type="dxa"/>
          <w:right w:w="0" w:type="dxa"/>
        </w:tblCellMar>
      </w:tblPr>
      <w:tblGrid>
        <w:gridCol w:w="38"/>
        <w:gridCol w:w="228"/>
        <w:gridCol w:w="9939"/>
      </w:tblGrid>
      <w:tr>
        <w:trPr/>
        <w:tc>
          <w:tcPr>
            <w:tcW w:w="38" w:type="dxa"/>
            <w:tcBorders/>
            <w:shd w:fill="auto" w:val="clear"/>
            <w:vAlign w:val="center"/>
          </w:tcPr>
          <w:p>
            <w:pPr>
              <w:pStyle w:val="TableContents"/>
              <w:spacing w:before="0" w:after="283"/>
              <w:rPr/>
            </w:pPr>
            <w:r>
              <w:rPr/>
            </w:r>
          </w:p>
        </w:tc>
        <w:tc>
          <w:tcPr>
            <w:tcW w:w="228" w:type="dxa"/>
            <w:tcBorders/>
            <w:shd w:fill="auto" w:val="clear"/>
            <w:vAlign w:val="center"/>
          </w:tcPr>
          <w:p>
            <w:pPr>
              <w:pStyle w:val="TableContents"/>
              <w:spacing w:before="0" w:after="283"/>
              <w:rPr/>
            </w:pPr>
            <w:r>
              <w:rPr/>
              <w:t>(a)</w:t>
            </w:r>
          </w:p>
        </w:tc>
        <w:tc>
          <w:tcPr>
            <w:tcW w:w="9939" w:type="dxa"/>
            <w:tcBorders/>
            <w:shd w:fill="auto" w:val="clear"/>
            <w:vAlign w:val="center"/>
          </w:tcPr>
          <w:p>
            <w:pPr>
              <w:pStyle w:val="TableContents"/>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rPr/>
      </w:pPr>
      <w:r>
        <w:rPr/>
      </w:r>
    </w:p>
    <w:p>
      <w:pPr>
        <w:pStyle w:val="Normal"/>
        <w:spacing w:before="0" w:after="0"/>
        <w:rPr>
          <w:sz w:val="4"/>
          <w:szCs w:val="4"/>
        </w:rPr>
      </w:pPr>
      <w:r>
        <w:rPr>
          <w:sz w:val="4"/>
          <w:szCs w:val="4"/>
        </w:rPr>
      </w:r>
      <w:bookmarkStart w:id="82" w:name="za408d6ca7c0b44de87a464208095ce4a"/>
      <w:bookmarkStart w:id="83" w:name="za408d6ca7c0b44de87a464208095ce4a"/>
      <w:bookmarkEnd w:id="83"/>
    </w:p>
    <w:tbl>
      <w:tblPr>
        <w:tblW w:w="10205" w:type="dxa"/>
        <w:jc w:val="left"/>
        <w:tblInd w:w="0" w:type="dxa"/>
        <w:tblCellMar>
          <w:top w:w="0" w:type="dxa"/>
          <w:left w:w="0" w:type="dxa"/>
          <w:bottom w:w="0" w:type="dxa"/>
          <w:right w:w="0" w:type="dxa"/>
        </w:tblCellMar>
      </w:tblPr>
      <w:tblGrid>
        <w:gridCol w:w="38"/>
        <w:gridCol w:w="259"/>
        <w:gridCol w:w="9908"/>
      </w:tblGrid>
      <w:tr>
        <w:trPr/>
        <w:tc>
          <w:tcPr>
            <w:tcW w:w="38" w:type="dxa"/>
            <w:tcBorders/>
            <w:shd w:fill="auto" w:val="clear"/>
            <w:vAlign w:val="center"/>
          </w:tcPr>
          <w:p>
            <w:pPr>
              <w:pStyle w:val="TableContents"/>
              <w:spacing w:before="0" w:after="283"/>
              <w:rPr/>
            </w:pPr>
            <w:r>
              <w:rPr/>
            </w:r>
          </w:p>
        </w:tc>
        <w:tc>
          <w:tcPr>
            <w:tcW w:w="259" w:type="dxa"/>
            <w:tcBorders/>
            <w:shd w:fill="auto" w:val="clear"/>
            <w:vAlign w:val="center"/>
          </w:tcPr>
          <w:p>
            <w:pPr>
              <w:pStyle w:val="TableContents"/>
              <w:spacing w:before="0" w:after="283"/>
              <w:rPr/>
            </w:pPr>
            <w:r>
              <w:rPr/>
              <w:t>(b)</w:t>
            </w:r>
          </w:p>
        </w:tc>
        <w:tc>
          <w:tcPr>
            <w:tcW w:w="9908" w:type="dxa"/>
            <w:tcBorders/>
            <w:shd w:fill="auto" w:val="clear"/>
            <w:vAlign w:val="center"/>
          </w:tcPr>
          <w:p>
            <w:pPr>
              <w:pStyle w:val="TableContents"/>
              <w:spacing w:before="0" w:after="0"/>
              <w:jc w:val="both"/>
              <w:rPr/>
            </w:pPr>
            <w:r>
              <w:rPr/>
              <w:t>Any fraud, whether or not material, that involves management or other employees who have a significant role in the registrant’s internal control over financial reporting.</w:t>
            </w:r>
          </w:p>
        </w:tc>
      </w:tr>
    </w:tbl>
    <w:p>
      <w:pPr>
        <w:pStyle w:val="TextBody"/>
        <w:spacing w:before="0" w:after="0"/>
        <w:rPr/>
      </w:pPr>
      <w:r>
        <w:rPr/>
      </w:r>
    </w:p>
    <w:p>
      <w:pPr>
        <w:pStyle w:val="Normal"/>
        <w:spacing w:before="0" w:after="0"/>
        <w:rPr>
          <w:sz w:val="4"/>
          <w:szCs w:val="4"/>
        </w:rPr>
      </w:pPr>
      <w:r>
        <w:rPr>
          <w:sz w:val="4"/>
          <w:szCs w:val="4"/>
        </w:rPr>
      </w:r>
      <w:bookmarkStart w:id="84" w:name="z27c33911882d4ccf9b78c5fb7d032c5d"/>
      <w:bookmarkStart w:id="85" w:name="z27c33911882d4ccf9b78c5fb7d032c5d"/>
      <w:bookmarkEnd w:id="85"/>
    </w:p>
    <w:tbl>
      <w:tblPr>
        <w:tblW w:w="4075" w:type="dxa"/>
        <w:jc w:val="left"/>
        <w:tblInd w:w="0" w:type="dxa"/>
        <w:tblCellMar>
          <w:top w:w="0" w:type="dxa"/>
          <w:left w:w="0" w:type="dxa"/>
          <w:bottom w:w="0" w:type="dxa"/>
          <w:right w:w="0" w:type="dxa"/>
        </w:tblCellMar>
      </w:tblPr>
      <w:tblGrid>
        <w:gridCol w:w="1805"/>
        <w:gridCol w:w="2210"/>
        <w:gridCol w:w="60"/>
      </w:tblGrid>
      <w:tr>
        <w:trPr/>
        <w:tc>
          <w:tcPr>
            <w:tcW w:w="1805" w:type="dxa"/>
            <w:tcBorders/>
            <w:shd w:fill="auto" w:val="clear"/>
            <w:vAlign w:val="center"/>
          </w:tcPr>
          <w:p>
            <w:pPr>
              <w:pStyle w:val="TableContents"/>
              <w:spacing w:before="0" w:after="0"/>
              <w:rPr/>
            </w:pPr>
            <w:r>
              <w:rPr/>
              <w:t>Date: May 3, 2023</w:t>
            </w:r>
          </w:p>
        </w:tc>
        <w:tc>
          <w:tcPr>
            <w:tcW w:w="2210" w:type="dxa"/>
            <w:tcBorders>
              <w:bottom w:val="single" w:sz="12" w:space="0" w:color="000000"/>
            </w:tcBorders>
            <w:shd w:fill="auto" w:val="clear"/>
            <w:tcMar>
              <w:bottom w:w="28" w:type="dxa"/>
            </w:tcMar>
            <w:vAlign w:val="center"/>
          </w:tcPr>
          <w:p>
            <w:pPr>
              <w:pStyle w:val="TableContents"/>
              <w:spacing w:before="0" w:after="0"/>
              <w:rPr/>
            </w:pPr>
            <w:r>
              <w:rPr/>
              <w:t>/s/ James D. Thomas</w:t>
            </w:r>
          </w:p>
        </w:tc>
        <w:tc>
          <w:tcPr>
            <w:tcW w:w="6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0"/>
              <w:rPr/>
            </w:pPr>
            <w:r>
              <w:rPr/>
              <w:t>James D. Thomas</w:t>
            </w:r>
          </w:p>
        </w:tc>
        <w:tc>
          <w:tcPr>
            <w:tcW w:w="6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0"/>
              <w:rPr/>
            </w:pPr>
            <w:r>
              <w:rPr/>
              <w:t>Chief Financial Officer</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86" w:name="brhc20052070_ex32-1.htm"/>
      <w:bookmarkStart w:id="87" w:name="ksbrhc20052070_ex321"/>
      <w:bookmarkStart w:id="88" w:name="brhc20052070_ex32-1.htm"/>
      <w:bookmarkStart w:id="89" w:name="ksbrhc20052070_ex321"/>
      <w:bookmarkEnd w:id="88"/>
      <w:bookmarkEnd w:id="89"/>
    </w:p>
    <w:p>
      <w:pPr>
        <w:pStyle w:val="TextBody"/>
        <w:spacing w:before="0" w:after="0"/>
        <w:jc w:val="right"/>
        <w:rPr>
          <w:b/>
        </w:rPr>
      </w:pPr>
      <w:r>
        <w:rPr>
          <w:b/>
        </w:rPr>
        <w:t>EXHIBIT 32.1</w:t>
      </w:r>
    </w:p>
    <w:p>
      <w:pPr>
        <w:pStyle w:val="TextBody"/>
        <w:spacing w:before="0" w:after="0"/>
        <w:rPr/>
      </w:pPr>
      <w:r>
        <w:rPr/>
      </w:r>
    </w:p>
    <w:p>
      <w:pPr>
        <w:pStyle w:val="TextBody"/>
        <w:spacing w:before="0" w:after="0"/>
        <w:jc w:val="center"/>
        <w:rPr>
          <w:b/>
        </w:rPr>
      </w:pPr>
      <w:r>
        <w:rPr>
          <w:b/>
        </w:rPr>
        <w:t>SECTION 906 CERTIFICATION OF CHIEF EXECUTIVE OFFICER</w:t>
      </w:r>
    </w:p>
    <w:p>
      <w:pPr>
        <w:pStyle w:val="TextBody"/>
        <w:spacing w:before="0" w:after="0"/>
        <w:rPr/>
      </w:pPr>
      <w:r>
        <w:rPr/>
      </w:r>
    </w:p>
    <w:p>
      <w:pPr>
        <w:pStyle w:val="TextBody"/>
        <w:spacing w:before="0" w:after="0"/>
        <w:jc w:val="center"/>
        <w:rPr/>
      </w:pPr>
      <w:r>
        <w:rPr/>
        <w:t>CERTIFICATION PURSUANT TO</w:t>
      </w:r>
    </w:p>
    <w:p>
      <w:pPr>
        <w:pStyle w:val="TextBody"/>
        <w:spacing w:before="0" w:after="0"/>
        <w:jc w:val="center"/>
        <w:rPr/>
      </w:pPr>
      <w:r>
        <w:rPr/>
        <w:t>18 U.S.C. SECTION 1350, AS ADOPTED PURSUANT TO</w:t>
      </w:r>
    </w:p>
    <w:p>
      <w:pPr>
        <w:pStyle w:val="TextBody"/>
        <w:spacing w:before="0" w:after="0"/>
        <w:jc w:val="center"/>
        <w:rPr/>
      </w:pPr>
      <w:r>
        <w:rPr/>
        <w:t>SECTION 906 OF THE SARBANES-OXLEY ACT OF 2002</w:t>
      </w:r>
    </w:p>
    <w:p>
      <w:pPr>
        <w:pStyle w:val="TextBody"/>
        <w:spacing w:before="0" w:after="0"/>
        <w:rPr/>
      </w:pPr>
      <w:r>
        <w:rPr/>
      </w:r>
    </w:p>
    <w:p>
      <w:pPr>
        <w:pStyle w:val="TextBody"/>
        <w:spacing w:before="0" w:after="0"/>
        <w:jc w:val="both"/>
        <w:rPr/>
      </w:pPr>
      <w:r>
        <w:rPr/>
        <w:t>In connection with the quarterly report of Nu Skin Enterprises, Inc. (the “Company”) on Form 10-Q for the period ended March 31, 2023 (the “Report”), I, Ryan S. Napierski, Chief Executive Officer of the Company, certify, pursuant to 18 U.S.C. §1350, as adopted pursuant to Section 906 of the Sarbanes-Oxley Act of 2002, that to the best of my knowledge:</w:t>
      </w:r>
    </w:p>
    <w:p>
      <w:pPr>
        <w:pStyle w:val="TextBody"/>
        <w:spacing w:before="0" w:after="0"/>
        <w:rPr/>
      </w:pPr>
      <w:r>
        <w:rPr/>
      </w:r>
    </w:p>
    <w:p>
      <w:pPr>
        <w:pStyle w:val="Normal"/>
        <w:spacing w:before="0" w:after="0"/>
        <w:rPr>
          <w:sz w:val="4"/>
          <w:szCs w:val="4"/>
        </w:rPr>
      </w:pPr>
      <w:r>
        <w:rPr>
          <w:sz w:val="4"/>
          <w:szCs w:val="4"/>
        </w:rPr>
      </w:r>
      <w:bookmarkStart w:id="90" w:name="z401578fedc6f4875a504df99d8184212"/>
      <w:bookmarkStart w:id="91" w:name="z401578fedc6f4875a504df99d8184212"/>
      <w:bookmarkEnd w:id="91"/>
    </w:p>
    <w:tbl>
      <w:tblPr>
        <w:tblW w:w="10205" w:type="dxa"/>
        <w:jc w:val="left"/>
        <w:tblInd w:w="0" w:type="dxa"/>
        <w:tblCellMar>
          <w:top w:w="0" w:type="dxa"/>
          <w:left w:w="0" w:type="dxa"/>
          <w:bottom w:w="0" w:type="dxa"/>
          <w:right w:w="0" w:type="dxa"/>
        </w:tblCellMar>
      </w:tblPr>
      <w:tblGrid>
        <w:gridCol w:w="38"/>
        <w:gridCol w:w="192"/>
        <w:gridCol w:w="9975"/>
      </w:tblGrid>
      <w:tr>
        <w:trPr/>
        <w:tc>
          <w:tcPr>
            <w:tcW w:w="38" w:type="dxa"/>
            <w:tcBorders/>
            <w:shd w:fill="auto" w:val="clear"/>
            <w:vAlign w:val="center"/>
          </w:tcPr>
          <w:p>
            <w:pPr>
              <w:pStyle w:val="TableContents"/>
              <w:spacing w:before="0" w:after="283"/>
              <w:rPr/>
            </w:pPr>
            <w:r>
              <w:rPr/>
            </w:r>
          </w:p>
        </w:tc>
        <w:tc>
          <w:tcPr>
            <w:tcW w:w="192" w:type="dxa"/>
            <w:tcBorders/>
            <w:shd w:fill="auto" w:val="clear"/>
            <w:vAlign w:val="center"/>
          </w:tcPr>
          <w:p>
            <w:pPr>
              <w:pStyle w:val="TableContents"/>
              <w:spacing w:before="0" w:after="283"/>
              <w:rPr/>
            </w:pPr>
            <w:r>
              <w:rPr/>
              <w:t>1.</w:t>
            </w:r>
          </w:p>
        </w:tc>
        <w:tc>
          <w:tcPr>
            <w:tcW w:w="9975" w:type="dxa"/>
            <w:tcBorders/>
            <w:shd w:fill="auto" w:val="clear"/>
            <w:vAlign w:val="center"/>
          </w:tcPr>
          <w:p>
            <w:pPr>
              <w:pStyle w:val="TableContents"/>
              <w:spacing w:before="0" w:after="0"/>
              <w:jc w:val="both"/>
              <w:rPr/>
            </w:pPr>
            <w:r>
              <w:rPr/>
              <w:t>The Report fully complies with the requirements of Section 13(a) or 15(d) of the Securities Exchange Act of 1934; and</w:t>
            </w:r>
          </w:p>
        </w:tc>
      </w:tr>
    </w:tbl>
    <w:p>
      <w:pPr>
        <w:pStyle w:val="TextBody"/>
        <w:spacing w:before="0" w:after="0"/>
        <w:rPr/>
      </w:pPr>
      <w:r>
        <w:rPr/>
      </w:r>
    </w:p>
    <w:p>
      <w:pPr>
        <w:pStyle w:val="Normal"/>
        <w:spacing w:before="0" w:after="0"/>
        <w:rPr>
          <w:sz w:val="4"/>
          <w:szCs w:val="4"/>
        </w:rPr>
      </w:pPr>
      <w:r>
        <w:rPr>
          <w:sz w:val="4"/>
          <w:szCs w:val="4"/>
        </w:rPr>
      </w:r>
      <w:bookmarkStart w:id="92" w:name="z519832cea28f417d800242e512652304"/>
      <w:bookmarkStart w:id="93" w:name="z519832cea28f417d800242e512652304"/>
      <w:bookmarkEnd w:id="93"/>
    </w:p>
    <w:tbl>
      <w:tblPr>
        <w:tblW w:w="10205" w:type="dxa"/>
        <w:jc w:val="left"/>
        <w:tblInd w:w="0" w:type="dxa"/>
        <w:tblCellMar>
          <w:top w:w="0" w:type="dxa"/>
          <w:left w:w="0" w:type="dxa"/>
          <w:bottom w:w="0" w:type="dxa"/>
          <w:right w:w="0" w:type="dxa"/>
        </w:tblCellMar>
      </w:tblPr>
      <w:tblGrid>
        <w:gridCol w:w="38"/>
        <w:gridCol w:w="182"/>
        <w:gridCol w:w="9985"/>
      </w:tblGrid>
      <w:tr>
        <w:trPr/>
        <w:tc>
          <w:tcPr>
            <w:tcW w:w="38" w:type="dxa"/>
            <w:tcBorders/>
            <w:shd w:fill="auto" w:val="clear"/>
            <w:vAlign w:val="center"/>
          </w:tcPr>
          <w:p>
            <w:pPr>
              <w:pStyle w:val="TableContents"/>
              <w:spacing w:before="0" w:after="283"/>
              <w:rPr/>
            </w:pPr>
            <w:r>
              <w:rPr/>
            </w:r>
          </w:p>
        </w:tc>
        <w:tc>
          <w:tcPr>
            <w:tcW w:w="182" w:type="dxa"/>
            <w:tcBorders/>
            <w:shd w:fill="auto" w:val="clear"/>
            <w:vAlign w:val="center"/>
          </w:tcPr>
          <w:p>
            <w:pPr>
              <w:pStyle w:val="TableContents"/>
              <w:spacing w:before="0" w:after="283"/>
              <w:rPr/>
            </w:pPr>
            <w:r>
              <w:rPr/>
              <w:t>2.</w:t>
            </w:r>
          </w:p>
        </w:tc>
        <w:tc>
          <w:tcPr>
            <w:tcW w:w="9985" w:type="dxa"/>
            <w:tcBorders/>
            <w:shd w:fill="auto" w:val="clear"/>
            <w:vAlign w:val="center"/>
          </w:tcPr>
          <w:p>
            <w:pPr>
              <w:pStyle w:val="TableContents"/>
              <w:spacing w:before="0" w:after="0"/>
              <w:jc w:val="both"/>
              <w:rPr/>
            </w:pPr>
            <w:r>
              <w:rPr/>
              <w:t>The information contained in the Report fairly presents, in all material respects, the financial condition and results of operations of the Company.</w:t>
            </w:r>
          </w:p>
        </w:tc>
      </w:tr>
    </w:tbl>
    <w:p>
      <w:pPr>
        <w:pStyle w:val="TextBody"/>
        <w:spacing w:before="0" w:after="0"/>
        <w:rPr/>
      </w:pPr>
      <w:r>
        <w:rPr/>
      </w:r>
    </w:p>
    <w:p>
      <w:pPr>
        <w:pStyle w:val="Normal"/>
        <w:spacing w:before="0" w:after="0"/>
        <w:rPr>
          <w:sz w:val="4"/>
          <w:szCs w:val="4"/>
        </w:rPr>
      </w:pPr>
      <w:r>
        <w:rPr>
          <w:sz w:val="4"/>
          <w:szCs w:val="4"/>
        </w:rPr>
      </w:r>
      <w:bookmarkStart w:id="94" w:name="zeb18a5318f6747d18df2ab44440fa5d2"/>
      <w:bookmarkStart w:id="95" w:name="zeb18a5318f6747d18df2ab44440fa5d2"/>
      <w:bookmarkEnd w:id="95"/>
    </w:p>
    <w:tbl>
      <w:tblPr>
        <w:tblW w:w="4150" w:type="dxa"/>
        <w:jc w:val="left"/>
        <w:tblInd w:w="0" w:type="dxa"/>
        <w:tblCellMar>
          <w:top w:w="0" w:type="dxa"/>
          <w:left w:w="0" w:type="dxa"/>
          <w:bottom w:w="0" w:type="dxa"/>
          <w:right w:w="0" w:type="dxa"/>
        </w:tblCellMar>
      </w:tblPr>
      <w:tblGrid>
        <w:gridCol w:w="1805"/>
        <w:gridCol w:w="2285"/>
        <w:gridCol w:w="60"/>
      </w:tblGrid>
      <w:tr>
        <w:trPr/>
        <w:tc>
          <w:tcPr>
            <w:tcW w:w="1805" w:type="dxa"/>
            <w:tcBorders/>
            <w:shd w:fill="auto" w:val="clear"/>
            <w:vAlign w:val="center"/>
          </w:tcPr>
          <w:p>
            <w:pPr>
              <w:pStyle w:val="TableContents"/>
              <w:spacing w:before="0" w:after="0"/>
              <w:rPr/>
            </w:pPr>
            <w:r>
              <w:rPr/>
              <w:t>Date: May 3, 2023</w:t>
            </w:r>
          </w:p>
        </w:tc>
        <w:tc>
          <w:tcPr>
            <w:tcW w:w="2285" w:type="dxa"/>
            <w:tcBorders>
              <w:bottom w:val="single" w:sz="12" w:space="0" w:color="000000"/>
            </w:tcBorders>
            <w:shd w:fill="auto" w:val="clear"/>
            <w:tcMar>
              <w:bottom w:w="28" w:type="dxa"/>
            </w:tcMar>
            <w:vAlign w:val="center"/>
          </w:tcPr>
          <w:p>
            <w:pPr>
              <w:pStyle w:val="TableContents"/>
              <w:spacing w:before="0" w:after="0"/>
              <w:rPr/>
            </w:pPr>
            <w:r>
              <w:rPr/>
              <w:t>/s/ Ryan S. Napierski</w:t>
            </w:r>
          </w:p>
        </w:tc>
        <w:tc>
          <w:tcPr>
            <w:tcW w:w="6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rPr/>
            </w:pPr>
            <w:r>
              <w:rPr/>
              <w:t>Ryan S. Napierski</w:t>
            </w:r>
          </w:p>
        </w:tc>
        <w:tc>
          <w:tcPr>
            <w:tcW w:w="6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rPr/>
            </w:pPr>
            <w:r>
              <w:rPr/>
              <w:t>Chief Executive Officer</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96" w:name="brhc20052070_ex32-2.htm"/>
      <w:bookmarkStart w:id="97" w:name="ksbrhc20052070_ex322"/>
      <w:bookmarkStart w:id="98" w:name="brhc20052070_ex32-2.htm"/>
      <w:bookmarkStart w:id="99" w:name="ksbrhc20052070_ex322"/>
      <w:bookmarkEnd w:id="98"/>
      <w:bookmarkEnd w:id="99"/>
    </w:p>
    <w:p>
      <w:pPr>
        <w:pStyle w:val="TextBody"/>
        <w:spacing w:before="0" w:after="0"/>
        <w:jc w:val="right"/>
        <w:rPr>
          <w:b/>
        </w:rPr>
      </w:pPr>
      <w:r>
        <w:rPr>
          <w:b/>
        </w:rPr>
        <w:t>EXHIBIT 32.2</w:t>
      </w:r>
    </w:p>
    <w:p>
      <w:pPr>
        <w:pStyle w:val="TextBody"/>
        <w:spacing w:before="0" w:after="0"/>
        <w:rPr/>
      </w:pPr>
      <w:r>
        <w:rPr/>
      </w:r>
    </w:p>
    <w:p>
      <w:pPr>
        <w:pStyle w:val="TextBody"/>
        <w:spacing w:before="0" w:after="0"/>
        <w:jc w:val="center"/>
        <w:rPr>
          <w:b/>
        </w:rPr>
      </w:pPr>
      <w:r>
        <w:rPr>
          <w:b/>
        </w:rPr>
        <w:t>SECTION 906 CERTIFICATION OF CHIEF FINANCIAL OFFICER</w:t>
      </w:r>
    </w:p>
    <w:p>
      <w:pPr>
        <w:pStyle w:val="TextBody"/>
        <w:spacing w:before="0" w:after="0"/>
        <w:rPr/>
      </w:pPr>
      <w:r>
        <w:rPr/>
      </w:r>
    </w:p>
    <w:p>
      <w:pPr>
        <w:pStyle w:val="TextBody"/>
        <w:spacing w:before="0" w:after="0"/>
        <w:jc w:val="center"/>
        <w:rPr/>
      </w:pPr>
      <w:r>
        <w:rPr/>
        <w:t>CERTIFICATION PURSUANT TO</w:t>
      </w:r>
    </w:p>
    <w:p>
      <w:pPr>
        <w:pStyle w:val="TextBody"/>
        <w:spacing w:before="0" w:after="0"/>
        <w:jc w:val="center"/>
        <w:rPr/>
      </w:pPr>
      <w:r>
        <w:rPr/>
        <w:t>18 U.S.C. SECTION 1350, AS ADOPTED PURSUANT TO</w:t>
      </w:r>
    </w:p>
    <w:p>
      <w:pPr>
        <w:pStyle w:val="TextBody"/>
        <w:spacing w:before="0" w:after="0"/>
        <w:jc w:val="center"/>
        <w:rPr/>
      </w:pPr>
      <w:r>
        <w:rPr/>
        <w:t>SECTION 906 OF THE SARBANES-OXLEY ACT OF 2002</w:t>
      </w:r>
    </w:p>
    <w:p>
      <w:pPr>
        <w:pStyle w:val="TextBody"/>
        <w:spacing w:before="0" w:after="0"/>
        <w:rPr/>
      </w:pPr>
      <w:r>
        <w:rPr/>
      </w:r>
    </w:p>
    <w:p>
      <w:pPr>
        <w:pStyle w:val="TextBody"/>
        <w:spacing w:before="0" w:after="0"/>
        <w:jc w:val="both"/>
        <w:rPr/>
      </w:pPr>
      <w:r>
        <w:rPr/>
        <w:t>In connection with the quarterly report of Nu Skin Enterprises, Inc. (the “Company”) on Form 10-Q for the period ended March 31, 2023 (the “Report”), I, James D. Thomas, Chief Financial Officer of the Company, certify, pursuant to 18 U.S.C. § 1350, as adopted pursuant to Section 906 of the Sarbanes-Oxley Act of 2002, that to the best of my knowledge:</w:t>
      </w:r>
    </w:p>
    <w:p>
      <w:pPr>
        <w:pStyle w:val="TextBody"/>
        <w:spacing w:before="0" w:after="0"/>
        <w:rPr/>
      </w:pPr>
      <w:r>
        <w:rPr/>
      </w:r>
    </w:p>
    <w:p>
      <w:pPr>
        <w:pStyle w:val="Normal"/>
        <w:spacing w:before="0" w:after="0"/>
        <w:rPr>
          <w:sz w:val="4"/>
          <w:szCs w:val="4"/>
        </w:rPr>
      </w:pPr>
      <w:r>
        <w:rPr>
          <w:sz w:val="4"/>
          <w:szCs w:val="4"/>
        </w:rPr>
      </w:r>
      <w:bookmarkStart w:id="100" w:name="z53e33dcca23d4b99bfd41cc301be3150"/>
      <w:bookmarkStart w:id="101" w:name="z53e33dcca23d4b99bfd41cc301be3150"/>
      <w:bookmarkEnd w:id="101"/>
    </w:p>
    <w:tbl>
      <w:tblPr>
        <w:tblW w:w="10205" w:type="dxa"/>
        <w:jc w:val="left"/>
        <w:tblInd w:w="0" w:type="dxa"/>
        <w:tblCellMar>
          <w:top w:w="0" w:type="dxa"/>
          <w:left w:w="0" w:type="dxa"/>
          <w:bottom w:w="0" w:type="dxa"/>
          <w:right w:w="0" w:type="dxa"/>
        </w:tblCellMar>
      </w:tblPr>
      <w:tblGrid>
        <w:gridCol w:w="38"/>
        <w:gridCol w:w="192"/>
        <w:gridCol w:w="9975"/>
      </w:tblGrid>
      <w:tr>
        <w:trPr/>
        <w:tc>
          <w:tcPr>
            <w:tcW w:w="38" w:type="dxa"/>
            <w:tcBorders/>
            <w:shd w:fill="auto" w:val="clear"/>
            <w:vAlign w:val="center"/>
          </w:tcPr>
          <w:p>
            <w:pPr>
              <w:pStyle w:val="TableContents"/>
              <w:spacing w:before="0" w:after="283"/>
              <w:rPr/>
            </w:pPr>
            <w:r>
              <w:rPr/>
            </w:r>
          </w:p>
        </w:tc>
        <w:tc>
          <w:tcPr>
            <w:tcW w:w="192" w:type="dxa"/>
            <w:tcBorders/>
            <w:shd w:fill="auto" w:val="clear"/>
            <w:vAlign w:val="center"/>
          </w:tcPr>
          <w:p>
            <w:pPr>
              <w:pStyle w:val="TableContents"/>
              <w:spacing w:before="0" w:after="283"/>
              <w:rPr/>
            </w:pPr>
            <w:r>
              <w:rPr/>
              <w:t>1.</w:t>
            </w:r>
          </w:p>
        </w:tc>
        <w:tc>
          <w:tcPr>
            <w:tcW w:w="9975" w:type="dxa"/>
            <w:tcBorders/>
            <w:shd w:fill="auto" w:val="clear"/>
            <w:vAlign w:val="center"/>
          </w:tcPr>
          <w:p>
            <w:pPr>
              <w:pStyle w:val="TableContents"/>
              <w:spacing w:before="0" w:after="0"/>
              <w:jc w:val="both"/>
              <w:rPr/>
            </w:pPr>
            <w:r>
              <w:rPr/>
              <w:t>The Report fully complies with the requirements of Section 13(a) or 15(d) of the Securities Exchange Act of 1934; and</w:t>
            </w:r>
          </w:p>
        </w:tc>
      </w:tr>
    </w:tbl>
    <w:p>
      <w:pPr>
        <w:pStyle w:val="TextBody"/>
        <w:spacing w:before="0" w:after="0"/>
        <w:rPr/>
      </w:pPr>
      <w:r>
        <w:rPr/>
      </w:r>
    </w:p>
    <w:p>
      <w:pPr>
        <w:pStyle w:val="Normal"/>
        <w:spacing w:before="0" w:after="0"/>
        <w:rPr>
          <w:sz w:val="4"/>
          <w:szCs w:val="4"/>
        </w:rPr>
      </w:pPr>
      <w:r>
        <w:rPr>
          <w:sz w:val="4"/>
          <w:szCs w:val="4"/>
        </w:rPr>
      </w:r>
      <w:bookmarkStart w:id="102" w:name="z0f85debe407e45b9a8c39fa8b5b84317"/>
      <w:bookmarkStart w:id="103" w:name="z0f85debe407e45b9a8c39fa8b5b84317"/>
      <w:bookmarkEnd w:id="103"/>
    </w:p>
    <w:tbl>
      <w:tblPr>
        <w:tblW w:w="10205" w:type="dxa"/>
        <w:jc w:val="left"/>
        <w:tblInd w:w="0" w:type="dxa"/>
        <w:tblCellMar>
          <w:top w:w="0" w:type="dxa"/>
          <w:left w:w="0" w:type="dxa"/>
          <w:bottom w:w="0" w:type="dxa"/>
          <w:right w:w="0" w:type="dxa"/>
        </w:tblCellMar>
      </w:tblPr>
      <w:tblGrid>
        <w:gridCol w:w="38"/>
        <w:gridCol w:w="182"/>
        <w:gridCol w:w="9985"/>
      </w:tblGrid>
      <w:tr>
        <w:trPr/>
        <w:tc>
          <w:tcPr>
            <w:tcW w:w="38" w:type="dxa"/>
            <w:tcBorders/>
            <w:shd w:fill="auto" w:val="clear"/>
            <w:vAlign w:val="center"/>
          </w:tcPr>
          <w:p>
            <w:pPr>
              <w:pStyle w:val="TableContents"/>
              <w:spacing w:before="0" w:after="283"/>
              <w:rPr/>
            </w:pPr>
            <w:r>
              <w:rPr/>
            </w:r>
          </w:p>
        </w:tc>
        <w:tc>
          <w:tcPr>
            <w:tcW w:w="182" w:type="dxa"/>
            <w:tcBorders/>
            <w:shd w:fill="auto" w:val="clear"/>
            <w:vAlign w:val="center"/>
          </w:tcPr>
          <w:p>
            <w:pPr>
              <w:pStyle w:val="TableContents"/>
              <w:spacing w:before="0" w:after="283"/>
              <w:rPr/>
            </w:pPr>
            <w:r>
              <w:rPr/>
              <w:t>2.</w:t>
            </w:r>
          </w:p>
        </w:tc>
        <w:tc>
          <w:tcPr>
            <w:tcW w:w="9985" w:type="dxa"/>
            <w:tcBorders/>
            <w:shd w:fill="auto" w:val="clear"/>
            <w:vAlign w:val="center"/>
          </w:tcPr>
          <w:p>
            <w:pPr>
              <w:pStyle w:val="TableContents"/>
              <w:spacing w:before="0" w:after="0"/>
              <w:jc w:val="both"/>
              <w:rPr/>
            </w:pPr>
            <w:r>
              <w:rPr/>
              <w:t>The information contained in the Report fairly presents, in all material respects, the financial condition and results of operations of the Company.</w:t>
            </w:r>
          </w:p>
        </w:tc>
      </w:tr>
    </w:tbl>
    <w:p>
      <w:pPr>
        <w:pStyle w:val="TextBody"/>
        <w:spacing w:before="0" w:after="0"/>
        <w:rPr/>
      </w:pPr>
      <w:r>
        <w:rPr/>
      </w:r>
    </w:p>
    <w:p>
      <w:pPr>
        <w:pStyle w:val="Normal"/>
        <w:spacing w:before="0" w:after="0"/>
        <w:rPr>
          <w:sz w:val="4"/>
          <w:szCs w:val="4"/>
        </w:rPr>
      </w:pPr>
      <w:r>
        <w:rPr>
          <w:sz w:val="4"/>
          <w:szCs w:val="4"/>
        </w:rPr>
      </w:r>
      <w:bookmarkStart w:id="104" w:name="z087fb153156845b28154062be29e3325"/>
      <w:bookmarkStart w:id="105" w:name="z087fb153156845b28154062be29e3325"/>
      <w:bookmarkEnd w:id="105"/>
    </w:p>
    <w:tbl>
      <w:tblPr>
        <w:tblW w:w="4075" w:type="dxa"/>
        <w:jc w:val="left"/>
        <w:tblInd w:w="0" w:type="dxa"/>
        <w:tblCellMar>
          <w:top w:w="0" w:type="dxa"/>
          <w:left w:w="0" w:type="dxa"/>
          <w:bottom w:w="0" w:type="dxa"/>
          <w:right w:w="0" w:type="dxa"/>
        </w:tblCellMar>
      </w:tblPr>
      <w:tblGrid>
        <w:gridCol w:w="1805"/>
        <w:gridCol w:w="2210"/>
        <w:gridCol w:w="60"/>
      </w:tblGrid>
      <w:tr>
        <w:trPr/>
        <w:tc>
          <w:tcPr>
            <w:tcW w:w="1805" w:type="dxa"/>
            <w:tcBorders/>
            <w:shd w:fill="auto" w:val="clear"/>
            <w:vAlign w:val="center"/>
          </w:tcPr>
          <w:p>
            <w:pPr>
              <w:pStyle w:val="TableContents"/>
              <w:spacing w:before="0" w:after="0"/>
              <w:rPr/>
            </w:pPr>
            <w:r>
              <w:rPr/>
              <w:t>Date: May 3, 2023</w:t>
            </w:r>
          </w:p>
        </w:tc>
        <w:tc>
          <w:tcPr>
            <w:tcW w:w="2210" w:type="dxa"/>
            <w:tcBorders>
              <w:bottom w:val="single" w:sz="12" w:space="0" w:color="000000"/>
            </w:tcBorders>
            <w:shd w:fill="auto" w:val="clear"/>
            <w:tcMar>
              <w:bottom w:w="28" w:type="dxa"/>
            </w:tcMar>
            <w:vAlign w:val="center"/>
          </w:tcPr>
          <w:p>
            <w:pPr>
              <w:pStyle w:val="TableContents"/>
              <w:spacing w:before="0" w:after="0"/>
              <w:rPr/>
            </w:pPr>
            <w:r>
              <w:rPr/>
              <w:t>/s/ James D. Thomas</w:t>
            </w:r>
          </w:p>
        </w:tc>
        <w:tc>
          <w:tcPr>
            <w:tcW w:w="6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0"/>
              <w:rPr/>
            </w:pPr>
            <w:r>
              <w:rPr/>
              <w:t>James D. Thomas</w:t>
            </w:r>
          </w:p>
        </w:tc>
        <w:tc>
          <w:tcPr>
            <w:tcW w:w="6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0"/>
              <w:rPr/>
            </w:pPr>
            <w:r>
              <w:rPr/>
              <w:t>Chief Financial Officer</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r>
    </w:p>
    <w:p>
      <w:pPr>
        <w:pStyle w:val="TextBody"/>
        <w:spacing w:before="0" w:after="0"/>
        <w:rPr/>
      </w:pPr>
      <w:r>
        <w:rPr/>
      </w:r>
    </w:p>
    <w:p>
      <w:pPr>
        <w:pStyle w:val="HorizontalLine"/>
        <w:pBdr>
          <w:bottom w:val="single" w:sz="20"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14612</Words>
  <CharactersWithSpaces>96361</CharactersWithSpaces>
  <Paragraphs>4632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