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40" w:right="1020" w:hanging="332"/>
        <w:spacing w:after="0" w:line="271" w:lineRule="auto"/>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7" w:lineRule="exact"/>
        <w:rPr>
          <w:sz w:val="24"/>
          <w:szCs w:val="24"/>
          <w:color w:val="auto"/>
        </w:rPr>
      </w:pPr>
    </w:p>
    <w:p>
      <w:pPr>
        <w:ind w:left="340" w:right="1020" w:hanging="332"/>
        <w:spacing w:after="0" w:line="271" w:lineRule="auto"/>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001-12421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140335</wp:posOffset>
            </wp:positionV>
            <wp:extent cx="2992755"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27940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6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75 WEST CENTER STREET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87-0565309</w:t>
            </w:r>
          </w:p>
        </w:tc>
        <w:tc>
          <w:tcPr>
            <w:tcW w:w="0" w:type="dxa"/>
            <w:vAlign w:val="bottom"/>
          </w:tcPr>
          <w:p>
            <w:pPr>
              <w:spacing w:after="0"/>
              <w:rPr>
                <w:sz w:val="1"/>
                <w:szCs w:val="1"/>
                <w:color w:val="auto"/>
              </w:rPr>
            </w:pPr>
          </w:p>
        </w:tc>
      </w:tr>
      <w:tr>
        <w:trPr>
          <w:trHeight w:val="166"/>
        </w:trPr>
        <w:tc>
          <w:tcPr>
            <w:tcW w:w="2300" w:type="dxa"/>
            <w:vAlign w:val="bottom"/>
          </w:tcPr>
          <w:p>
            <w:pPr>
              <w:jc w:val="center"/>
              <w:spacing w:after="0" w:line="166" w:lineRule="exact"/>
              <w:rPr>
                <w:sz w:val="20"/>
                <w:szCs w:val="20"/>
                <w:color w:val="auto"/>
              </w:rPr>
            </w:pPr>
            <w:r>
              <w:rPr>
                <w:rFonts w:ascii="Arial" w:cs="Arial" w:eastAsia="Arial" w:hAnsi="Arial"/>
                <w:sz w:val="16"/>
                <w:szCs w:val="16"/>
                <w:color w:val="auto"/>
              </w:rPr>
              <w:t>(State or other jurisdiction of</w:t>
            </w:r>
          </w:p>
        </w:tc>
        <w:tc>
          <w:tcPr>
            <w:tcW w:w="6840" w:type="dxa"/>
            <w:vAlign w:val="bottom"/>
            <w:vMerge w:val="continue"/>
          </w:tcPr>
          <w:p>
            <w:pPr>
              <w:spacing w:after="0"/>
              <w:rPr>
                <w:sz w:val="14"/>
                <w:szCs w:val="14"/>
                <w:color w:val="auto"/>
              </w:rPr>
            </w:pPr>
          </w:p>
        </w:tc>
        <w:tc>
          <w:tcPr>
            <w:tcW w:w="2280" w:type="dxa"/>
            <w:vAlign w:val="bottom"/>
          </w:tcPr>
          <w:p>
            <w:pPr>
              <w:jc w:val="center"/>
              <w:spacing w:after="0" w:line="166" w:lineRule="exact"/>
              <w:rPr>
                <w:sz w:val="20"/>
                <w:szCs w:val="20"/>
                <w:color w:val="auto"/>
              </w:rPr>
            </w:pPr>
            <w:r>
              <w:rPr>
                <w:rFonts w:ascii="Arial" w:cs="Arial" w:eastAsia="Arial" w:hAnsi="Arial"/>
                <w:sz w:val="16"/>
                <w:szCs w:val="16"/>
                <w:color w:val="auto"/>
              </w:rPr>
              <w:t>(IRS Employer Identification</w:t>
            </w:r>
          </w:p>
        </w:tc>
        <w:tc>
          <w:tcPr>
            <w:tcW w:w="0" w:type="dxa"/>
            <w:vAlign w:val="bottom"/>
          </w:tcPr>
          <w:p>
            <w:pPr>
              <w:spacing w:after="0"/>
              <w:rPr>
                <w:sz w:val="1"/>
                <w:szCs w:val="1"/>
                <w:color w:val="auto"/>
              </w:rPr>
            </w:pPr>
          </w:p>
        </w:tc>
      </w:tr>
      <w:tr>
        <w:trPr>
          <w:trHeight w:val="232"/>
        </w:trPr>
        <w:tc>
          <w:tcPr>
            <w:tcW w:w="2300" w:type="dxa"/>
            <w:vAlign w:val="bottom"/>
          </w:tcPr>
          <w:p>
            <w:pPr>
              <w:jc w:val="center"/>
              <w:spacing w:after="0"/>
              <w:rPr>
                <w:sz w:val="20"/>
                <w:szCs w:val="20"/>
                <w:color w:val="auto"/>
              </w:rPr>
            </w:pPr>
            <w:r>
              <w:rPr>
                <w:rFonts w:ascii="Arial" w:cs="Arial" w:eastAsia="Arial" w:hAnsi="Arial"/>
                <w:sz w:val="16"/>
                <w:szCs w:val="16"/>
                <w:color w:val="auto"/>
              </w:rPr>
              <w:t>incorporation or organization)</w:t>
            </w: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PROVO, UTAH 84601</w:t>
            </w:r>
          </w:p>
        </w:tc>
        <w:tc>
          <w:tcPr>
            <w:tcW w:w="2280" w:type="dxa"/>
            <w:vAlign w:val="bottom"/>
          </w:tcPr>
          <w:p>
            <w:pPr>
              <w:jc w:val="center"/>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68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 including zip code)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4"/>
                <w:szCs w:val="24"/>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(801) 345-1000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6840" w:type="dxa"/>
            <w:vAlign w:val="bottom"/>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ind w:right="4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right="1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780" w:space="160"/>
            <w:col w:w="3060" w:space="720"/>
            <w:col w:w="1300" w:space="140"/>
            <w:col w:w="4260"/>
          </w:cols>
          <w:pgMar w:left="240" w:top="528" w:right="23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660" w:space="160"/>
            <w:col w:w="3180" w:space="720"/>
            <w:col w:w="2160" w:space="100"/>
            <w:col w:w="3440"/>
          </w:cols>
          <w:pgMar w:left="240" w:top="528" w:right="239" w:bottom="1440" w:gutter="0" w:footer="0" w:header="0"/>
          <w:type w:val="continuous"/>
        </w:sectPr>
      </w:pPr>
    </w:p>
    <w:p>
      <w:pPr>
        <w:spacing w:after="0" w:line="46" w:lineRule="exact"/>
        <w:rPr>
          <w:sz w:val="24"/>
          <w:szCs w:val="24"/>
          <w:color w:val="auto"/>
        </w:rPr>
      </w:pPr>
    </w:p>
    <w:p>
      <w:pPr>
        <w:ind w:left="572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1" w:lineRule="exact"/>
        <w:rPr>
          <w:sz w:val="24"/>
          <w:szCs w:val="24"/>
          <w:color w:val="auto"/>
        </w:rPr>
      </w:pPr>
    </w:p>
    <w:p>
      <w:pPr>
        <w:sectPr>
          <w:pgSz w:w="11900" w:h="16838" w:orient="portrait"/>
          <w:cols w:equalWidth="0" w:num="2">
            <w:col w:w="7860" w:space="100"/>
            <w:col w:w="3460"/>
          </w:cols>
          <w:pgMar w:left="240" w:top="528" w:right="239" w:bottom="1440" w:gutter="0" w:footer="0" w:header="0"/>
          <w:type w:val="continuous"/>
        </w:sectPr>
      </w:pPr>
    </w:p>
    <w:p>
      <w:pPr>
        <w:spacing w:after="0" w:line="50"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line="207" w:lineRule="exact"/>
        <w:tabs>
          <w:tab w:leader="none" w:pos="97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2018, 55,549,288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13"/>
          </w:tcPr>
          <w:p>
            <w:pPr>
              <w:jc w:val="center"/>
              <w:ind w:right="3780"/>
              <w:spacing w:after="0"/>
              <w:rPr>
                <w:sz w:val="20"/>
                <w:szCs w:val="20"/>
                <w:color w:val="auto"/>
              </w:rPr>
            </w:pPr>
            <w:r>
              <w:rPr>
                <w:rFonts w:ascii="Arial" w:cs="Arial" w:eastAsia="Arial" w:hAnsi="Arial"/>
                <w:sz w:val="18"/>
                <w:szCs w:val="18"/>
                <w:b w:val="1"/>
                <w:bCs w:val="1"/>
                <w:color w:val="auto"/>
                <w:w w:val="99"/>
              </w:rPr>
              <w:t>NU SKIN ENTERPRISES, INC.</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80" w:type="dxa"/>
            <w:vAlign w:val="bottom"/>
            <w:gridSpan w:val="17"/>
          </w:tcPr>
          <w:p>
            <w:pPr>
              <w:jc w:val="center"/>
              <w:ind w:right="2300"/>
              <w:spacing w:after="0"/>
              <w:rPr>
                <w:sz w:val="20"/>
                <w:szCs w:val="20"/>
                <w:color w:val="auto"/>
              </w:rPr>
            </w:pPr>
            <w:r>
              <w:rPr>
                <w:rFonts w:ascii="Arial" w:cs="Arial" w:eastAsia="Arial" w:hAnsi="Arial"/>
                <w:sz w:val="18"/>
                <w:szCs w:val="18"/>
                <w:b w:val="1"/>
                <w:bCs w:val="1"/>
                <w:color w:val="auto"/>
                <w:w w:val="99"/>
              </w:rPr>
              <w:t>QUARTERLY REPORT ON FORM 10-Q – THIRD QUARTER 2018</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3"/>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9700" w:type="dxa"/>
            <w:vAlign w:val="bottom"/>
            <w:gridSpan w:val="19"/>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272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 (Unaudited):</w:t>
              </w:r>
            </w:hyperlink>
          </w:p>
        </w:tc>
        <w:tc>
          <w:tcPr>
            <w:tcW w:w="526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5620" w:type="dxa"/>
            <w:vAlign w:val="bottom"/>
            <w:gridSpan w:val="10"/>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980" w:type="dxa"/>
            <w:vAlign w:val="bottom"/>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1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3820" w:type="dxa"/>
            <w:vAlign w:val="bottom"/>
            <w:gridSpan w:val="4"/>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4780" w:type="dxa"/>
            <w:vAlign w:val="bottom"/>
            <w:gridSpan w:val="6"/>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5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4480" w:type="dxa"/>
            <w:vAlign w:val="bottom"/>
            <w:gridSpan w:val="5"/>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900" w:type="dxa"/>
            <w:vAlign w:val="bottom"/>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980" w:type="dxa"/>
            <w:vAlign w:val="bottom"/>
            <w:gridSpan w:val="17"/>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300" w:type="dxa"/>
            <w:vAlign w:val="bottom"/>
            <w:gridSpan w:val="3"/>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87"/>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Other Information</w:t>
            </w: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7"/>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5"/>
                <w:szCs w:val="15"/>
                <w:color w:val="auto"/>
              </w:rPr>
            </w:pPr>
          </w:p>
        </w:tc>
        <w:tc>
          <w:tcPr>
            <w:tcW w:w="6500" w:type="dxa"/>
            <w:vAlign w:val="bottom"/>
            <w:gridSpan w:val="13"/>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980" w:type="dxa"/>
            <w:vAlign w:val="bottom"/>
            <w:gridSpan w:val="1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3140" w:type="dxa"/>
            <w:vAlign w:val="bottom"/>
            <w:gridSpan w:val="2"/>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440" w:type="dxa"/>
            <w:vAlign w:val="bottom"/>
            <w:gridSpan w:val="9"/>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5"/>
                <w:szCs w:val="15"/>
                <w:color w:val="auto"/>
              </w:rPr>
            </w:pPr>
          </w:p>
        </w:tc>
        <w:tc>
          <w:tcPr>
            <w:tcW w:w="6060" w:type="dxa"/>
            <w:vAlign w:val="bottom"/>
            <w:gridSpan w:val="12"/>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72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7980" w:type="dxa"/>
            <w:vAlign w:val="bottom"/>
            <w:gridSpan w:val="1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172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6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references to “dollars” and “$” are to United States (“U.S.”) dollars.</w:t>
      </w:r>
    </w:p>
    <w:p>
      <w:pPr>
        <w:spacing w:after="0" w:line="23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Nu Skin, Pharmanex, and ageLOC are our trademarks. The italicized product names used in this Quarterly Report on Form 10-Q are product names and also, in certain cases, our trademarks.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FINANCIAL STATEMENTS</w:t>
            </w: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NU SKIN ENTERPRISES,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(Unaudited)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00" w:type="dxa"/>
            <w:vAlign w:val="bottom"/>
            <w:gridSpan w:val="3"/>
          </w:tcPr>
          <w:p>
            <w:pPr>
              <w:spacing w:after="0"/>
              <w:rPr>
                <w:sz w:val="20"/>
                <w:szCs w:val="20"/>
                <w:color w:val="auto"/>
              </w:rPr>
            </w:pPr>
            <w:r>
              <w:rPr>
                <w:rFonts w:ascii="Arial" w:cs="Arial" w:eastAsia="Arial" w:hAnsi="Arial"/>
                <w:sz w:val="18"/>
                <w:szCs w:val="18"/>
                <w:color w:val="auto"/>
              </w:rPr>
              <w:t>(U.S. dollars 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8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1"/>
        </w:trPr>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390,066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426,399</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Current investments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57,175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33,196</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289,291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253,454</w:t>
            </w:r>
          </w:p>
        </w:tc>
        <w:tc>
          <w:tcPr>
            <w:tcW w:w="0" w:type="dxa"/>
            <w:vAlign w:val="bottom"/>
          </w:tcPr>
          <w:p>
            <w:pPr>
              <w:spacing w:after="0"/>
              <w:rPr>
                <w:sz w:val="1"/>
                <w:szCs w:val="1"/>
                <w:color w:val="auto"/>
              </w:rPr>
            </w:pPr>
          </w:p>
        </w:tc>
      </w:tr>
      <w:tr>
        <w:trPr>
          <w:trHeight w:val="210"/>
        </w:trPr>
        <w:tc>
          <w:tcPr>
            <w:tcW w:w="870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52,893</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826,315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7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496,704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464,587</w:t>
            </w:r>
          </w:p>
        </w:tc>
        <w:tc>
          <w:tcPr>
            <w:tcW w:w="0" w:type="dxa"/>
            <w:vAlign w:val="bottom"/>
          </w:tcPr>
          <w:p>
            <w:pPr>
              <w:spacing w:after="0"/>
              <w:rPr>
                <w:sz w:val="1"/>
                <w:szCs w:val="1"/>
                <w:color w:val="auto"/>
              </w:rPr>
            </w:pP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187,423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114,954</w:t>
            </w: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91,957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67,647</w:t>
            </w:r>
          </w:p>
        </w:tc>
        <w:tc>
          <w:tcPr>
            <w:tcW w:w="0" w:type="dxa"/>
            <w:vAlign w:val="bottom"/>
          </w:tcPr>
          <w:p>
            <w:pPr>
              <w:spacing w:after="0"/>
              <w:rPr>
                <w:sz w:val="1"/>
                <w:szCs w:val="1"/>
                <w:color w:val="auto"/>
              </w:rPr>
            </w:pPr>
          </w:p>
        </w:tc>
      </w:tr>
      <w:tr>
        <w:trPr>
          <w:trHeight w:val="210"/>
        </w:trPr>
        <w:tc>
          <w:tcPr>
            <w:tcW w:w="8700" w:type="dxa"/>
            <w:vAlign w:val="bottom"/>
            <w:gridSpan w:val="3"/>
          </w:tcPr>
          <w:p>
            <w:pPr>
              <w:spacing w:after="0" w:line="203" w:lineRule="exact"/>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143,838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164,895</w:t>
            </w:r>
          </w:p>
        </w:tc>
        <w:tc>
          <w:tcPr>
            <w:tcW w:w="0" w:type="dxa"/>
            <w:vAlign w:val="bottom"/>
          </w:tcPr>
          <w:p>
            <w:pPr>
              <w:spacing w:after="0"/>
              <w:rPr>
                <w:sz w:val="1"/>
                <w:szCs w:val="1"/>
                <w:color w:val="auto"/>
              </w:rPr>
            </w:pPr>
          </w:p>
        </w:tc>
      </w:tr>
      <w:tr>
        <w:trPr>
          <w:trHeight w:val="203"/>
        </w:trPr>
        <w:tc>
          <w:tcPr>
            <w:tcW w:w="87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1,746,237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1,589,872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87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52,843</w:t>
            </w:r>
          </w:p>
        </w:tc>
        <w:tc>
          <w:tcPr>
            <w:tcW w:w="120" w:type="dxa"/>
            <w:vAlign w:val="bottom"/>
          </w:tcPr>
          <w:p>
            <w:pPr>
              <w:spacing w:after="0"/>
              <w:rPr>
                <w:sz w:val="17"/>
                <w:szCs w:val="17"/>
                <w:color w:val="auto"/>
              </w:rPr>
            </w:pP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50,341</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292,962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319,189</w:t>
            </w:r>
          </w:p>
        </w:tc>
        <w:tc>
          <w:tcPr>
            <w:tcW w:w="0" w:type="dxa"/>
            <w:vAlign w:val="bottom"/>
          </w:tcPr>
          <w:p>
            <w:pPr>
              <w:spacing w:after="0"/>
              <w:rPr>
                <w:sz w:val="1"/>
                <w:szCs w:val="1"/>
                <w:color w:val="auto"/>
              </w:rPr>
            </w:pPr>
          </w:p>
        </w:tc>
      </w:tr>
      <w:tr>
        <w:trPr>
          <w:trHeight w:val="210"/>
        </w:trPr>
        <w:tc>
          <w:tcPr>
            <w:tcW w:w="870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82,455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77,840</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7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365,767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310,790</w:t>
            </w:r>
          </w:p>
        </w:tc>
        <w:tc>
          <w:tcPr>
            <w:tcW w:w="0" w:type="dxa"/>
            <w:vAlign w:val="bottom"/>
          </w:tcPr>
          <w:p>
            <w:pPr>
              <w:spacing w:after="0"/>
              <w:rPr>
                <w:sz w:val="1"/>
                <w:szCs w:val="1"/>
                <w:color w:val="auto"/>
              </w:rPr>
            </w:pPr>
          </w:p>
        </w:tc>
      </w:tr>
      <w:tr>
        <w:trPr>
          <w:trHeight w:val="210"/>
        </w:trPr>
        <w:tc>
          <w:tcPr>
            <w:tcW w:w="8700" w:type="dxa"/>
            <w:vAlign w:val="bottom"/>
            <w:gridSpan w:val="3"/>
          </w:tcPr>
          <w:p>
            <w:pPr>
              <w:spacing w:after="0" w:line="203" w:lineRule="exact"/>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120,076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127,116</w:t>
            </w:r>
          </w:p>
        </w:tc>
        <w:tc>
          <w:tcPr>
            <w:tcW w:w="0" w:type="dxa"/>
            <w:vAlign w:val="bottom"/>
          </w:tcPr>
          <w:p>
            <w:pPr>
              <w:spacing w:after="0"/>
              <w:rPr>
                <w:sz w:val="1"/>
                <w:szCs w:val="1"/>
                <w:color w:val="auto"/>
              </w:rPr>
            </w:pPr>
          </w:p>
        </w:tc>
      </w:tr>
      <w:tr>
        <w:trPr>
          <w:trHeight w:val="210"/>
        </w:trPr>
        <w:tc>
          <w:tcPr>
            <w:tcW w:w="87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914,103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885,276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700" w:type="dxa"/>
            <w:vAlign w:val="bottom"/>
            <w:gridSpan w:val="3"/>
          </w:tcPr>
          <w:p>
            <w:pPr>
              <w:spacing w:after="0"/>
              <w:rPr>
                <w:sz w:val="20"/>
                <w:szCs w:val="20"/>
                <w:color w:val="auto"/>
              </w:rPr>
            </w:pPr>
            <w:r>
              <w:rPr>
                <w:rFonts w:ascii="Arial" w:cs="Arial" w:eastAsia="Arial" w:hAnsi="Arial"/>
                <w:sz w:val="18"/>
                <w:szCs w:val="18"/>
                <w:color w:val="auto"/>
              </w:rPr>
              <w:t>Commitments and contingencies (Note 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7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Class A common stock – 500 million shares authorized, $.001 par value, 90.6 million shares issued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545,234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466,349</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Treasury stock, at cost – 34.9 million and 37.9 million shares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(1,306,012)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(1,304,694)</w:t>
            </w:r>
          </w:p>
        </w:tc>
        <w:tc>
          <w:tcPr>
            <w:tcW w:w="0" w:type="dxa"/>
            <w:vAlign w:val="bottom"/>
          </w:tcPr>
          <w:p>
            <w:pPr>
              <w:spacing w:after="0"/>
              <w:rPr>
                <w:sz w:val="1"/>
                <w:szCs w:val="1"/>
                <w:color w:val="auto"/>
              </w:rPr>
            </w:pPr>
          </w:p>
        </w:tc>
      </w:tr>
      <w:tr>
        <w:trPr>
          <w:trHeight w:val="203"/>
        </w:trPr>
        <w:tc>
          <w:tcPr>
            <w:tcW w:w="87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(82,555)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(66,318)</w:t>
            </w:r>
          </w:p>
        </w:tc>
        <w:tc>
          <w:tcPr>
            <w:tcW w:w="0" w:type="dxa"/>
            <w:vAlign w:val="bottom"/>
          </w:tcPr>
          <w:p>
            <w:pPr>
              <w:spacing w:after="0"/>
              <w:rPr>
                <w:sz w:val="1"/>
                <w:szCs w:val="1"/>
                <w:color w:val="auto"/>
              </w:rPr>
            </w:pPr>
          </w:p>
        </w:tc>
      </w:tr>
      <w:tr>
        <w:trPr>
          <w:trHeight w:val="210"/>
        </w:trPr>
        <w:tc>
          <w:tcPr>
            <w:tcW w:w="870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1,675,376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1,609,168</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1,746,237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1,589,872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rPr>
          <w:sz w:val="20"/>
          <w:szCs w:val="20"/>
          <w:color w:val="auto"/>
        </w:rPr>
      </w:pPr>
      <w:r>
        <w:rPr>
          <w:rFonts w:ascii="Arial" w:cs="Arial" w:eastAsia="Arial" w:hAnsi="Arial"/>
          <w:sz w:val="18"/>
          <w:szCs w:val="18"/>
          <w:color w:val="auto"/>
        </w:rPr>
        <w:t>(U.S.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5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675,312</w:t>
            </w: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563,698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1,995,721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1,612,898</w:t>
            </w: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Cost of sales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157,457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120,832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472,287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353,619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9"/>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517,855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442,866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1,523,434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1,259,279</w:t>
            </w:r>
          </w:p>
        </w:tc>
        <w:tc>
          <w:tcPr>
            <w:tcW w:w="0" w:type="dxa"/>
            <w:vAlign w:val="bottom"/>
          </w:tcPr>
          <w:p>
            <w:pPr>
              <w:spacing w:after="0"/>
              <w:rPr>
                <w:sz w:val="1"/>
                <w:szCs w:val="1"/>
                <w:color w:val="auto"/>
              </w:rPr>
            </w:pPr>
          </w:p>
        </w:tc>
      </w:tr>
      <w:tr>
        <w:trPr>
          <w:trHeight w:val="391"/>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Selling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271,509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235,285</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801,968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672,646</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3" w:lineRule="exact"/>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165,671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143,219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499,037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411,270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5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437,180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378,504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1,301,005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1,083,916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524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64,362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222,429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175,363</w:t>
            </w: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Other income (expense), net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(6,982)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(1,172)</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(16,940)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52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63,190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205,489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166,893</w:t>
            </w: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20,547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21,518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65,843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55,691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53,146</w:t>
            </w:r>
          </w:p>
        </w:tc>
        <w:tc>
          <w:tcPr>
            <w:tcW w:w="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41,672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139,646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111,202</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 per share (Note 2):</w:t>
            </w: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5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0.96</w:t>
            </w:r>
          </w:p>
        </w:tc>
        <w:tc>
          <w:tcPr>
            <w:tcW w:w="140" w:type="dxa"/>
            <w:vAlign w:val="bottom"/>
          </w:tcPr>
          <w:p>
            <w:pPr>
              <w:spacing w:after="0"/>
              <w:rPr>
                <w:sz w:val="17"/>
                <w:szCs w:val="17"/>
                <w:color w:val="auto"/>
              </w:rPr>
            </w:pP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2.54</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7"/>
        </w:trPr>
        <w:tc>
          <w:tcPr>
            <w:tcW w:w="5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77"/>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 (000s):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55,603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52,873</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55,075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52,834</w:t>
            </w:r>
          </w:p>
        </w:tc>
        <w:tc>
          <w:tcPr>
            <w:tcW w:w="0" w:type="dxa"/>
            <w:vAlign w:val="bottom"/>
          </w:tcPr>
          <w:p>
            <w:pPr>
              <w:spacing w:after="0"/>
              <w:rPr>
                <w:sz w:val="1"/>
                <w:szCs w:val="1"/>
                <w:color w:val="auto"/>
              </w:rPr>
            </w:pPr>
          </w:p>
        </w:tc>
      </w:tr>
      <w:tr>
        <w:trPr>
          <w:trHeight w:val="217"/>
        </w:trPr>
        <w:tc>
          <w:tcPr>
            <w:tcW w:w="5240" w:type="dxa"/>
            <w:vAlign w:val="bottom"/>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54,834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56,539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54,519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rPr>
          <w:sz w:val="20"/>
          <w:szCs w:val="20"/>
          <w:color w:val="auto"/>
        </w:rPr>
      </w:pPr>
      <w:r>
        <w:rPr>
          <w:rFonts w:ascii="Arial" w:cs="Arial" w:eastAsia="Arial" w:hAnsi="Arial"/>
          <w:sz w:val="18"/>
          <w:szCs w:val="18"/>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net of tax:</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 net of taxes of $(346) and</w:t>
      </w:r>
    </w:p>
    <w:p>
      <w:pPr>
        <w:ind w:left="340"/>
        <w:spacing w:after="0" w:line="234" w:lineRule="auto"/>
        <w:rPr>
          <w:sz w:val="20"/>
          <w:szCs w:val="20"/>
          <w:color w:val="auto"/>
        </w:rPr>
      </w:pPr>
      <w:r>
        <w:rPr>
          <w:rFonts w:ascii="Arial" w:cs="Arial" w:eastAsia="Arial" w:hAnsi="Arial"/>
          <w:sz w:val="18"/>
          <w:szCs w:val="18"/>
          <w:color w:val="auto"/>
        </w:rPr>
        <w:t>$(3,054) for the three months ended September 30, 2018 and 2017,</w:t>
      </w:r>
    </w:p>
    <w:p>
      <w:pPr>
        <w:ind w:left="340"/>
        <w:spacing w:after="0" w:line="235" w:lineRule="auto"/>
        <w:rPr>
          <w:sz w:val="20"/>
          <w:szCs w:val="20"/>
          <w:color w:val="auto"/>
        </w:rPr>
      </w:pPr>
      <w:r>
        <w:rPr>
          <w:rFonts w:ascii="Arial" w:cs="Arial" w:eastAsia="Arial" w:hAnsi="Arial"/>
          <w:sz w:val="18"/>
          <w:szCs w:val="18"/>
          <w:color w:val="auto"/>
        </w:rPr>
        <w:t>respectively, and $(51) and $(1,376) for the nine months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ended September 30, 2018 and 2017, respectively</w:t>
      </w:r>
    </w:p>
    <w:p>
      <w:pPr>
        <w:spacing w:after="0" w:line="185" w:lineRule="exact"/>
        <w:rPr>
          <w:sz w:val="20"/>
          <w:szCs w:val="20"/>
          <w:color w:val="auto"/>
        </w:rPr>
      </w:pPr>
    </w:p>
    <w:p>
      <w:pPr>
        <w:ind w:left="340" w:hanging="161"/>
        <w:spacing w:after="0" w:line="239" w:lineRule="auto"/>
        <w:rPr>
          <w:sz w:val="20"/>
          <w:szCs w:val="20"/>
          <w:color w:val="auto"/>
        </w:rPr>
      </w:pPr>
      <w:r>
        <w:rPr>
          <w:rFonts w:ascii="Arial" w:cs="Arial" w:eastAsia="Arial" w:hAnsi="Arial"/>
          <w:sz w:val="18"/>
          <w:szCs w:val="18"/>
          <w:color w:val="auto"/>
        </w:rPr>
        <w:t>Net unrealized gains/(losses) on foreign currency cash flow hedges, net of taxes of zero and $15 for the three months ended September 30, 2018 and 2017, respectively, and $18 and $114 for the nine months ended September 30, 2018 and 2017, respectively</w:t>
      </w:r>
    </w:p>
    <w:p>
      <w:pPr>
        <w:spacing w:after="0" w:line="175" w:lineRule="exact"/>
        <w:rPr>
          <w:sz w:val="20"/>
          <w:szCs w:val="20"/>
          <w:color w:val="auto"/>
        </w:rPr>
      </w:pPr>
    </w:p>
    <w:p>
      <w:pPr>
        <w:ind w:left="340" w:right="40" w:hanging="161"/>
        <w:spacing w:after="0" w:line="239" w:lineRule="auto"/>
        <w:rPr>
          <w:sz w:val="20"/>
          <w:szCs w:val="20"/>
          <w:color w:val="auto"/>
        </w:rPr>
      </w:pPr>
      <w:r>
        <w:rPr>
          <w:rFonts w:ascii="Arial" w:cs="Arial" w:eastAsia="Arial" w:hAnsi="Arial"/>
          <w:sz w:val="18"/>
          <w:szCs w:val="18"/>
          <w:color w:val="auto"/>
        </w:rPr>
        <w:t>Reclassification adjustment for realized losses/(gains) in current earnings, net of taxes of zero and $(22) for the three months ended September 30, 2018 and 2017, respectively, and $(2) and $97 for the nine months ended September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5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9"/>
              </w:rPr>
              <w:t>Nine Months Ended</w:t>
            </w:r>
          </w:p>
        </w:tc>
      </w:tr>
      <w:tr>
        <w:trPr>
          <w:trHeight w:val="232"/>
        </w:trPr>
        <w:tc>
          <w:tcPr>
            <w:tcW w:w="24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r>
      <w:tr>
        <w:trPr>
          <w:trHeight w:val="239"/>
        </w:trPr>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35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53,146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41,672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139,646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111,202</w:t>
            </w: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tabs>
          <w:tab w:leader="none" w:pos="2060" w:val="left"/>
          <w:tab w:leader="none" w:pos="3260" w:val="left"/>
          <w:tab w:leader="none" w:pos="4660" w:val="left"/>
        </w:tabs>
        <w:rPr>
          <w:sz w:val="20"/>
          <w:szCs w:val="20"/>
          <w:color w:val="auto"/>
        </w:rPr>
      </w:pPr>
      <w:r>
        <w:rPr>
          <w:rFonts w:ascii="Arial" w:cs="Arial" w:eastAsia="Arial" w:hAnsi="Arial"/>
          <w:sz w:val="18"/>
          <w:szCs w:val="18"/>
          <w:color w:val="auto"/>
        </w:rPr>
        <w:t>(7,095)</w:t>
      </w:r>
      <w:r>
        <w:rPr>
          <w:sz w:val="20"/>
          <w:szCs w:val="20"/>
          <w:color w:val="auto"/>
        </w:rPr>
        <w:tab/>
      </w:r>
      <w:r>
        <w:rPr>
          <w:rFonts w:ascii="Arial" w:cs="Arial" w:eastAsia="Arial" w:hAnsi="Arial"/>
          <w:sz w:val="18"/>
          <w:szCs w:val="18"/>
          <w:color w:val="auto"/>
        </w:rPr>
        <w:t>5,497</w:t>
      </w:r>
      <w:r>
        <w:rPr>
          <w:sz w:val="20"/>
          <w:szCs w:val="20"/>
          <w:color w:val="auto"/>
        </w:rPr>
        <w:tab/>
      </w:r>
      <w:r>
        <w:rPr>
          <w:rFonts w:ascii="Arial" w:cs="Arial" w:eastAsia="Arial" w:hAnsi="Arial"/>
          <w:sz w:val="18"/>
          <w:szCs w:val="18"/>
          <w:color w:val="auto"/>
        </w:rPr>
        <w:t>(16,095)</w:t>
      </w:r>
      <w:r>
        <w:rPr>
          <w:sz w:val="20"/>
          <w:szCs w:val="20"/>
          <w:color w:val="auto"/>
        </w:rPr>
        <w:tab/>
      </w:r>
      <w:r>
        <w:rPr>
          <w:rFonts w:ascii="Arial" w:cs="Arial" w:eastAsia="Arial" w:hAnsi="Arial"/>
          <w:sz w:val="18"/>
          <w:szCs w:val="18"/>
          <w:color w:val="auto"/>
        </w:rPr>
        <w:t>15,273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(160)</w:t>
            </w: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2"/>
        </w:trPr>
        <w:tc>
          <w:tcPr>
            <w:tcW w:w="3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5,510</w:t>
            </w:r>
          </w:p>
        </w:tc>
        <w:tc>
          <w:tcPr>
            <w:tcW w:w="3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(16,237)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14,889</w:t>
            </w:r>
          </w:p>
        </w:tc>
      </w:tr>
      <w:tr>
        <w:trPr>
          <w:trHeight w:val="27"/>
        </w:trPr>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46,051</w:t>
            </w:r>
          </w:p>
        </w:tc>
        <w:tc>
          <w:tcPr>
            <w:tcW w:w="140" w:type="dxa"/>
            <w:vAlign w:val="bottom"/>
          </w:tcPr>
          <w:p>
            <w:pPr>
              <w:spacing w:after="0"/>
              <w:rPr>
                <w:sz w:val="24"/>
                <w:szCs w:val="2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47,182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123,409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126,091</w:t>
            </w:r>
          </w:p>
        </w:tc>
      </w:tr>
      <w:tr>
        <w:trPr>
          <w:trHeight w:val="21"/>
        </w:trPr>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200"/>
            <w:col w:w="5300"/>
          </w:cols>
          <w:pgMar w:left="240" w:top="122" w:right="279" w:bottom="144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rPr>
          <w:sz w:val="20"/>
          <w:szCs w:val="20"/>
          <w:color w:val="auto"/>
        </w:rPr>
      </w:pPr>
      <w:r>
        <w:rPr>
          <w:rFonts w:ascii="Arial" w:cs="Arial" w:eastAsia="Arial" w:hAnsi="Arial"/>
          <w:sz w:val="18"/>
          <w:szCs w:val="18"/>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8"/>
                <w:szCs w:val="18"/>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139,646</w:t>
            </w:r>
          </w:p>
        </w:tc>
        <w:tc>
          <w:tcPr>
            <w:tcW w:w="12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111,202</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62,833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52,525</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Equity method earnings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(655)</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Gain on step acquisitions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(13,644)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7,220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Foreign currency losses</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14,960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(2,381)</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20,311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14,493</w:t>
            </w:r>
          </w:p>
        </w:tc>
      </w:tr>
      <w:tr>
        <w:trPr>
          <w:trHeight w:val="203"/>
        </w:trPr>
        <w:tc>
          <w:tcPr>
            <w:tcW w:w="8820" w:type="dxa"/>
            <w:vAlign w:val="bottom"/>
          </w:tcPr>
          <w:p>
            <w:pPr>
              <w:ind w:left="500"/>
              <w:spacing w:after="0" w:line="202" w:lineRule="exact"/>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6,711</w:t>
            </w:r>
          </w:p>
        </w:tc>
      </w:tr>
      <w:tr>
        <w:trPr>
          <w:trHeight w:val="203"/>
        </w:trPr>
        <w:tc>
          <w:tcPr>
            <w:tcW w:w="8820" w:type="dxa"/>
            <w:vAlign w:val="bottom"/>
          </w:tcPr>
          <w:p>
            <w:pPr>
              <w:ind w:left="6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(14,345)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(5,115)</w:t>
            </w: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(26,865)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5,039</w:t>
            </w: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(28,387)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(16,455)</w:t>
            </w: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(3,960)</w:t>
            </w: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(3,821)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(906)</w:t>
            </w:r>
          </w:p>
        </w:tc>
      </w:tr>
      <w:tr>
        <w:trPr>
          <w:trHeight w:val="203"/>
        </w:trPr>
        <w:tc>
          <w:tcPr>
            <w:tcW w:w="8820" w:type="dxa"/>
            <w:vAlign w:val="bottom"/>
          </w:tcPr>
          <w:p>
            <w:pPr>
              <w:ind w:left="82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(33,178)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(9,701)</w:t>
            </w:r>
          </w:p>
        </w:tc>
      </w:tr>
      <w:tr>
        <w:trPr>
          <w:trHeight w:val="210"/>
        </w:trPr>
        <w:tc>
          <w:tcPr>
            <w:tcW w:w="8820" w:type="dxa"/>
            <w:vAlign w:val="bottom"/>
          </w:tcPr>
          <w:p>
            <w:pPr>
              <w:ind w:left="820"/>
              <w:spacing w:after="0" w:line="203"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(7,616)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5,009</w:t>
            </w:r>
          </w:p>
        </w:tc>
      </w:tr>
      <w:tr>
        <w:trPr>
          <w:trHeight w:val="399"/>
        </w:trPr>
        <w:tc>
          <w:tcPr>
            <w:tcW w:w="88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113,850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155,806</w:t>
            </w:r>
          </w:p>
        </w:tc>
        <w:tc>
          <w:tcPr>
            <w:tcW w:w="60" w:type="dxa"/>
            <w:vAlign w:val="bottom"/>
          </w:tcPr>
          <w:p>
            <w:pPr>
              <w:spacing w:after="0"/>
              <w:rPr>
                <w:sz w:val="24"/>
                <w:szCs w:val="24"/>
                <w:color w:val="auto"/>
              </w:rPr>
            </w:pPr>
          </w:p>
        </w:tc>
      </w:tr>
      <w:tr>
        <w:trPr>
          <w:trHeight w:val="391"/>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(42,293)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(38,965)</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on investment sales</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11,536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11,269</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(11,420)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(8,244)</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(28,311)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ind w:left="340"/>
              <w:spacing w:after="0" w:line="203" w:lineRule="exact"/>
              <w:rPr>
                <w:sz w:val="20"/>
                <w:szCs w:val="20"/>
                <w:color w:val="auto"/>
              </w:rPr>
            </w:pPr>
            <w:r>
              <w:rPr>
                <w:rFonts w:ascii="Arial" w:cs="Arial" w:eastAsia="Arial" w:hAnsi="Arial"/>
                <w:sz w:val="18"/>
                <w:szCs w:val="18"/>
                <w:color w:val="auto"/>
              </w:rPr>
              <w:t>Investment in equity investee</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(4,750)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(31,745</w:t>
            </w:r>
            <w:r>
              <w:rPr>
                <w:rFonts w:ascii="Arial" w:cs="Arial" w:eastAsia="Arial" w:hAnsi="Arial"/>
                <w:sz w:val="18"/>
                <w:szCs w:val="18"/>
                <w:u w:val="single" w:color="auto"/>
                <w:color w:val="auto"/>
              </w:rPr>
              <w:t>)</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9"/>
        </w:trPr>
        <w:tc>
          <w:tcPr>
            <w:tcW w:w="88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(75,238)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(67,685)</w:t>
            </w:r>
          </w:p>
        </w:tc>
      </w:tr>
      <w:tr>
        <w:trPr>
          <w:trHeight w:val="391"/>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Exercise of employee stock options and taxes paid related to the net shares settlement of stock awards</w:t>
            </w:r>
          </w:p>
        </w:tc>
        <w:tc>
          <w:tcPr>
            <w:tcW w:w="240" w:type="dxa"/>
            <w:vAlign w:val="bottom"/>
          </w:tcPr>
          <w:p>
            <w:pPr>
              <w:spacing w:after="0"/>
              <w:rPr>
                <w:sz w:val="17"/>
                <w:szCs w:val="17"/>
                <w:color w:val="auto"/>
              </w:rPr>
            </w:pPr>
          </w:p>
        </w:tc>
        <w:tc>
          <w:tcPr>
            <w:tcW w:w="10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8,993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16,377</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(534,341)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(72,260)</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Payment of cash dividends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(60,395)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(57,065)</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(7,243)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debt</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582,398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67,000</w:t>
            </w:r>
          </w:p>
        </w:tc>
      </w:tr>
      <w:tr>
        <w:trPr>
          <w:trHeight w:val="203"/>
        </w:trPr>
        <w:tc>
          <w:tcPr>
            <w:tcW w:w="8820" w:type="dxa"/>
            <w:vAlign w:val="bottom"/>
          </w:tcPr>
          <w:p>
            <w:pPr>
              <w:ind w:left="340"/>
              <w:spacing w:after="0" w:line="203" w:lineRule="exact"/>
              <w:rPr>
                <w:sz w:val="20"/>
                <w:szCs w:val="20"/>
                <w:color w:val="auto"/>
              </w:rPr>
            </w:pPr>
            <w:r>
              <w:rPr>
                <w:rFonts w:ascii="Arial" w:cs="Arial" w:eastAsia="Arial" w:hAnsi="Arial"/>
                <w:sz w:val="18"/>
                <w:szCs w:val="18"/>
                <w:color w:val="auto"/>
              </w:rPr>
              <w:t>Repurchases of shares of common stock</w:t>
            </w:r>
          </w:p>
        </w:tc>
        <w:tc>
          <w:tcPr>
            <w:tcW w:w="240" w:type="dxa"/>
            <w:vAlign w:val="bottom"/>
          </w:tcPr>
          <w:p>
            <w:pPr>
              <w:spacing w:after="0"/>
              <w:rPr>
                <w:sz w:val="17"/>
                <w:szCs w:val="17"/>
                <w:color w:val="auto"/>
              </w:rPr>
            </w:pPr>
          </w:p>
        </w:tc>
        <w:tc>
          <w:tcPr>
            <w:tcW w:w="10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(48,222)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(47,835)</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2"/>
        </w:trPr>
        <w:tc>
          <w:tcPr>
            <w:tcW w:w="882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(58,810)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(93,783)</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2"/>
        </w:trPr>
        <w:tc>
          <w:tcPr>
            <w:tcW w:w="88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(16,135)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12,185</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9"/>
        </w:trPr>
        <w:tc>
          <w:tcPr>
            <w:tcW w:w="882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(36,333)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6,523</w:t>
            </w:r>
          </w:p>
        </w:tc>
      </w:tr>
      <w:tr>
        <w:trPr>
          <w:trHeight w:val="399"/>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426,399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357,246</w:t>
            </w:r>
          </w:p>
        </w:tc>
        <w:tc>
          <w:tcPr>
            <w:tcW w:w="60" w:type="dxa"/>
            <w:vAlign w:val="bottom"/>
          </w:tcPr>
          <w:p>
            <w:pPr>
              <w:spacing w:after="0"/>
              <w:rPr>
                <w:sz w:val="24"/>
                <w:szCs w:val="24"/>
                <w:color w:val="auto"/>
              </w:rPr>
            </w:pPr>
          </w:p>
        </w:tc>
      </w:tr>
      <w:tr>
        <w:trPr>
          <w:trHeight w:val="39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390,066</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363,769</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Nu Skin Enterprises, Inc. (the “Company”) is a leading, global direct selling company that develops and distributes premium-quality, innovative personal care products and nutritional supplements that are sold worldwide under the Nu Skin and Pharmanex brands and a small number of other products and services. Over the last several years, the Company has introduced new Pharmanex nutritional supplements and Nu Skin personal care products under its </w:t>
      </w:r>
      <w:r>
        <w:rPr>
          <w:rFonts w:ascii="Arial" w:cs="Arial" w:eastAsia="Arial" w:hAnsi="Arial"/>
          <w:sz w:val="18"/>
          <w:szCs w:val="18"/>
          <w:i w:val="1"/>
          <w:iCs w:val="1"/>
          <w:color w:val="auto"/>
        </w:rPr>
        <w:t>ageLOC</w:t>
      </w:r>
      <w:r>
        <w:rPr>
          <w:rFonts w:ascii="Arial" w:cs="Arial" w:eastAsia="Arial" w:hAnsi="Arial"/>
          <w:sz w:val="18"/>
          <w:szCs w:val="18"/>
          <w:color w:val="auto"/>
        </w:rPr>
        <w:t xml:space="preserve"> anti-aging brand. The Company reports revenue from seven segments: Mainland China; South Korea; Southeast Asia, which consists of Indonesia, Malaysia, the Philippines, Singapore, Thailand and Vietnam; Americas/Pacific, which consists of Australia, Canada, Latin America, New Caledonia, New Zealand and the United States; Japan; Hong Kong/Taiwan; and Europe, Middle East and Africa (“EMEA”), which consists of several markets in Europe as well as Israel, Russia, Ukraine and South Africa (the Company’s subsidiaries operating in these markets in each segment are collectively referred to as the “Subsidiaries”).</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for interim financial information and with the instructions to Form 10-Q and Rule 10-01 of Regulation S-X. Accordingly, they do not include all of the information and footnotes required by accounting principles generally accepted in the United States of America for complete financial statements. The unaudited consolidated financial statements include the accounts of the Company and its Subsidiaries. All significant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2018, and for the three- and nine-month periods ended September 30, 2018 and 2017. The results of operations of any interim period are not necessarily indicative of the results of operations to be expected for the fiscal year. The consolidated balance sheet as of December 31, 2017 has been prepared using information from the audited financial statements at that date. For further information, refer to the consolidated financial statements and accompanying footnotes included in the Company’s Annual Report on Form 10-K for the year ended December 31, 2017.</w:t>
      </w:r>
    </w:p>
    <w:p>
      <w:pPr>
        <w:spacing w:after="0" w:line="21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September 30, 2018 and 2017, stock options of 0.5 million and 0.2 million, respectively, and for the nine-month periods ended September 30, 2018 and 2017, stock options of 0.9 million and 0.4 million, respectively, were excluded from the calculation of diluted earnings per share because they were anti-dilutive.</w:t>
      </w:r>
    </w:p>
    <w:p>
      <w:pPr>
        <w:spacing w:after="0" w:line="20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PER SHARE</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February, April and July 2018, the Company’s board of directors declared a quarterly cash dividend of $0.365 per share. These quarterly cash dividends of $19.8 million, $20.3 million and $20.3 million were paid on March 14, 2018, June 13, 2018 and September 12, 2018 to stockholders of record on February 26, 2018, May 25, 2018 and August 31, 2018. In October 2018, the Company’s board of directors declared a quarterly cash dividend of $0.365 per share to be paid on December 12, 2018 to stockholders of record on November 30, 2018.</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6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 enters into non-designated foreign currency derivatives, primarily comprised of foreign currency forward contracts, for which hedge accounting does not apply. The changes in the fair market value of these non-designated derivatives are included in other income/expense in the Company’s consolidated statements of income. The Company uses non-designated foreign currency derivatives to hedge foreign-currency-denominated intercompany transactions and to partially mitigate the impact of foreign-currency fluctuations. The fair value of the non-designated foreign currency derivatives is based on third-party quotes.</w:t>
      </w:r>
    </w:p>
    <w:p>
      <w:pPr>
        <w:spacing w:after="0" w:line="1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table summarizes gains (losses) related to derivative instruments not designated as hedging instruments during the three- and nine-month periods ended September 30, 2018 and 2017 (U.S.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Location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gridSpan w:val="8"/>
          </w:tcPr>
          <w:p>
            <w:pPr>
              <w:spacing w:after="0"/>
              <w:rPr>
                <w:sz w:val="20"/>
                <w:szCs w:val="20"/>
                <w:color w:val="auto"/>
              </w:rPr>
            </w:pPr>
            <w:r>
              <w:rPr>
                <w:rFonts w:ascii="Arial" w:cs="Arial" w:eastAsia="Arial" w:hAnsi="Arial"/>
                <w:sz w:val="16"/>
                <w:szCs w:val="16"/>
                <w:b w:val="1"/>
                <w:bCs w:val="1"/>
                <w:color w:val="auto"/>
              </w:rPr>
              <w:t>Amount of Gain (Loss) Recognized in Income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Derivatives not</w:t>
            </w:r>
          </w:p>
        </w:tc>
        <w:tc>
          <w:tcPr>
            <w:tcW w:w="220" w:type="dxa"/>
            <w:vAlign w:val="bottom"/>
          </w:tcPr>
          <w:p>
            <w:pPr>
              <w:spacing w:after="0"/>
              <w:rPr>
                <w:sz w:val="6"/>
                <w:szCs w:val="6"/>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Gain (Loss)</w:t>
            </w: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2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designated as</w:t>
            </w: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Recognized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hedging instruments:</w:t>
            </w:r>
          </w:p>
        </w:tc>
        <w:tc>
          <w:tcPr>
            <w:tcW w:w="2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Income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4"/>
                <w:szCs w:val="24"/>
                <w:color w:val="auto"/>
              </w:rPr>
            </w:pPr>
          </w:p>
        </w:tc>
        <w:tc>
          <w:tcPr>
            <w:tcW w:w="240" w:type="dxa"/>
            <w:vAlign w:val="bottom"/>
            <w:gridSpan w:val="2"/>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00" w:type="dxa"/>
            <w:vAlign w:val="bottom"/>
          </w:tcPr>
          <w:p>
            <w:pPr>
              <w:spacing w:after="0"/>
              <w:rPr>
                <w:sz w:val="20"/>
                <w:szCs w:val="20"/>
                <w:color w:val="auto"/>
              </w:rPr>
            </w:pPr>
            <w:r>
              <w:rPr>
                <w:rFonts w:ascii="Arial" w:cs="Arial" w:eastAsia="Arial" w:hAnsi="Arial"/>
                <w:sz w:val="16"/>
                <w:szCs w:val="16"/>
                <w:color w:val="auto"/>
              </w:rPr>
              <w:t>Foreign currency contracts</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Other income (expense)</w:t>
            </w: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719"/>
              <w:spacing w:after="0"/>
              <w:rPr>
                <w:sz w:val="20"/>
                <w:szCs w:val="20"/>
                <w:color w:val="auto"/>
              </w:rPr>
            </w:pPr>
            <w:r>
              <w:rPr>
                <w:rFonts w:ascii="Arial" w:cs="Arial" w:eastAsia="Arial" w:hAnsi="Arial"/>
                <w:sz w:val="18"/>
                <w:szCs w:val="18"/>
                <w:color w:val="auto"/>
              </w:rPr>
              <w:t>—   $</w:t>
            </w:r>
          </w:p>
        </w:tc>
        <w:tc>
          <w:tcPr>
            <w:tcW w:w="2060" w:type="dxa"/>
            <w:vAlign w:val="bottom"/>
            <w:gridSpan w:val="3"/>
          </w:tcPr>
          <w:p>
            <w:pPr>
              <w:jc w:val="right"/>
              <w:ind w:right="141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designates as cash-flow hedges those foreign currency forward contracts it enters to hedge forecasted intercompany transactions that are subject to foreign currency exposures. Changes in the fair value of these forward contracts designated as cash-flow hedges are recorded as a component of accumulated other comprehensive loss within shareholders’ equity (deficit), and are recognized in the consolidated statement of income during the period which approximates the time the hedged transaction is settled.</w:t>
      </w:r>
    </w:p>
    <w:p>
      <w:pPr>
        <w:spacing w:after="0" w:line="229"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As of September 30, 2018, the Company held no forward contracts designated as foreign currency cash flow hedges compared to notional amounts of 1.4 billion Japanese yen ($12.4 million) as of September 30, 2017, to hedge forecasted foreign-currency-denominated intercompany transactions. The fair value of these hedges were zero and $0.3 million as of September 30, 2018 and 2017, respectively.</w:t>
      </w:r>
    </w:p>
    <w:p>
      <w:pPr>
        <w:spacing w:after="0" w:line="2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gains (losses) related to derivative instruments recorded in other comprehensive income (loss) during the three- and nine-month periods ended September 30, 2018 and 2017 (U.S.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Amount of Gain (Loss)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0"/>
          </w:tcPr>
          <w:p>
            <w:pPr>
              <w:ind w:left="120"/>
              <w:spacing w:after="0"/>
              <w:rPr>
                <w:sz w:val="20"/>
                <w:szCs w:val="20"/>
                <w:color w:val="auto"/>
              </w:rPr>
            </w:pPr>
            <w:r>
              <w:rPr>
                <w:rFonts w:ascii="Arial" w:cs="Arial" w:eastAsia="Arial" w:hAnsi="Arial"/>
                <w:sz w:val="16"/>
                <w:szCs w:val="16"/>
                <w:b w:val="1"/>
                <w:bCs w:val="1"/>
                <w:color w:val="auto"/>
              </w:rPr>
              <w:t>Recognized in Other Comprehensive Loss</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5"/>
                <w:szCs w:val="15"/>
                <w:color w:val="auto"/>
              </w:rPr>
            </w:pPr>
          </w:p>
        </w:tc>
        <w:tc>
          <w:tcPr>
            <w:tcW w:w="2220" w:type="dxa"/>
            <w:vAlign w:val="bottom"/>
            <w:gridSpan w:val="4"/>
          </w:tcPr>
          <w:p>
            <w:pPr>
              <w:jc w:val="center"/>
              <w:ind w:left="219"/>
              <w:spacing w:after="0" w:line="176"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center"/>
              <w:ind w:right="159"/>
              <w:spacing w:after="0" w:line="176" w:lineRule="exact"/>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tcPr>
          <w:p>
            <w:pPr>
              <w:jc w:val="center"/>
              <w:spacing w:after="0"/>
              <w:rPr>
                <w:sz w:val="20"/>
                <w:szCs w:val="20"/>
                <w:color w:val="auto"/>
              </w:rPr>
            </w:pPr>
            <w:r>
              <w:rPr>
                <w:rFonts w:ascii="Arial" w:cs="Arial" w:eastAsia="Arial" w:hAnsi="Arial"/>
                <w:sz w:val="16"/>
                <w:szCs w:val="16"/>
                <w:b w:val="1"/>
                <w:bCs w:val="1"/>
                <w:color w:val="auto"/>
              </w:rPr>
              <w:t>designated as</w:t>
            </w:r>
          </w:p>
        </w:tc>
        <w:tc>
          <w:tcPr>
            <w:tcW w:w="120" w:type="dxa"/>
            <w:vAlign w:val="bottom"/>
          </w:tcPr>
          <w:p>
            <w:pPr>
              <w:spacing w:after="0"/>
              <w:rPr>
                <w:sz w:val="18"/>
                <w:szCs w:val="18"/>
                <w:color w:val="auto"/>
              </w:rPr>
            </w:pPr>
          </w:p>
        </w:tc>
        <w:tc>
          <w:tcPr>
            <w:tcW w:w="222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hedging instruments:</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5960" w:type="dxa"/>
            <w:vAlign w:val="bottom"/>
          </w:tcPr>
          <w:p>
            <w:pPr>
              <w:jc w:val="right"/>
              <w:ind w:right="160"/>
              <w:spacing w:after="0"/>
              <w:rPr>
                <w:sz w:val="20"/>
                <w:szCs w:val="20"/>
                <w:color w:val="auto"/>
              </w:rPr>
            </w:pPr>
            <w:r>
              <w:rPr>
                <w:rFonts w:ascii="Arial" w:cs="Arial" w:eastAsia="Arial" w:hAnsi="Arial"/>
                <w:sz w:val="16"/>
                <w:szCs w:val="16"/>
                <w:color w:val="auto"/>
              </w:rPr>
              <w:t>Foreign currency forward contracts related to intercompany license fee, product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60" w:type="dxa"/>
            <w:vAlign w:val="bottom"/>
          </w:tcPr>
          <w:p>
            <w:pPr>
              <w:jc w:val="right"/>
              <w:ind w:right="3240"/>
              <w:spacing w:after="0"/>
              <w:rPr>
                <w:sz w:val="20"/>
                <w:szCs w:val="20"/>
                <w:color w:val="auto"/>
              </w:rPr>
            </w:pPr>
            <w:r>
              <w:rPr>
                <w:rFonts w:ascii="Arial" w:cs="Arial" w:eastAsia="Arial" w:hAnsi="Arial"/>
                <w:sz w:val="16"/>
                <w:szCs w:val="16"/>
                <w:color w:val="auto"/>
              </w:rPr>
              <w:t>sales, and selling expense hedges</w:t>
            </w:r>
          </w:p>
        </w:tc>
        <w:tc>
          <w:tcPr>
            <w:tcW w:w="98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gridSpan w:val="3"/>
            <w:vMerge w:val="continue"/>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(160)</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569"/>
        </w:trPr>
        <w:tc>
          <w:tcPr>
            <w:tcW w:w="5960" w:type="dxa"/>
            <w:vAlign w:val="bottom"/>
          </w:tcPr>
          <w:p>
            <w:pPr>
              <w:jc w:val="right"/>
              <w:ind w:right="40"/>
              <w:spacing w:after="0"/>
              <w:rPr>
                <w:sz w:val="20"/>
                <w:szCs w:val="20"/>
                <w:color w:val="auto"/>
              </w:rPr>
            </w:pPr>
            <w:r>
              <w:rPr>
                <w:rFonts w:ascii="Arial" w:cs="Arial" w:eastAsia="Arial" w:hAnsi="Arial"/>
                <w:sz w:val="14"/>
                <w:szCs w:val="14"/>
                <w:color w:val="auto"/>
              </w:rPr>
              <w:t>- 6 -</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following table summarizes gains (losses) relating to derivative instruments reclassified from accumulated other comprehensive loss into income during the three- and nine-month periods ended September 30, 2018 and 2017 (U.S.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rPr>
              <w:t>Location of</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40" w:type="dxa"/>
            <w:vAlign w:val="bottom"/>
            <w:gridSpan w:val="11"/>
            <w:vMerge w:val="restart"/>
          </w:tcPr>
          <w:p>
            <w:pPr>
              <w:jc w:val="center"/>
              <w:spacing w:after="0"/>
              <w:rPr>
                <w:sz w:val="20"/>
                <w:szCs w:val="20"/>
                <w:color w:val="auto"/>
              </w:rPr>
            </w:pPr>
            <w:r>
              <w:rPr>
                <w:rFonts w:ascii="Arial" w:cs="Arial" w:eastAsia="Arial" w:hAnsi="Arial"/>
                <w:sz w:val="16"/>
                <w:szCs w:val="16"/>
                <w:b w:val="1"/>
                <w:bCs w:val="1"/>
                <w:color w:val="auto"/>
              </w:rPr>
              <w:t>Amount of Gain (Loss) Reclassified from</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Gain (Loss)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40" w:type="dxa"/>
            <w:vAlign w:val="bottom"/>
            <w:gridSpan w:val="11"/>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0" w:type="dxa"/>
            <w:vAlign w:val="bottom"/>
            <w:gridSpan w:val="13"/>
            <w:vMerge w:val="restart"/>
          </w:tcPr>
          <w:p>
            <w:pPr>
              <w:jc w:val="center"/>
              <w:spacing w:after="0"/>
              <w:rPr>
                <w:sz w:val="20"/>
                <w:szCs w:val="20"/>
                <w:color w:val="auto"/>
              </w:rPr>
            </w:pPr>
            <w:r>
              <w:rPr>
                <w:rFonts w:ascii="Arial" w:cs="Arial" w:eastAsia="Arial" w:hAnsi="Arial"/>
                <w:sz w:val="16"/>
                <w:szCs w:val="16"/>
                <w:b w:val="1"/>
                <w:bCs w:val="1"/>
                <w:color w:val="auto"/>
              </w:rPr>
              <w:t>Accumulated Other Comprehensive Loss into Income</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tcPr>
          <w:p>
            <w:pPr>
              <w:jc w:val="center"/>
              <w:spacing w:after="0" w:line="147" w:lineRule="exact"/>
              <w:rPr>
                <w:sz w:val="20"/>
                <w:szCs w:val="20"/>
                <w:color w:val="auto"/>
              </w:rPr>
            </w:pPr>
            <w:r>
              <w:rPr>
                <w:rFonts w:ascii="Arial" w:cs="Arial" w:eastAsia="Arial" w:hAnsi="Arial"/>
                <w:sz w:val="16"/>
                <w:szCs w:val="16"/>
                <w:b w:val="1"/>
                <w:bCs w:val="1"/>
                <w:color w:val="auto"/>
              </w:rPr>
              <w:t>Reclassified from</w:t>
            </w:r>
          </w:p>
        </w:tc>
        <w:tc>
          <w:tcPr>
            <w:tcW w:w="120" w:type="dxa"/>
            <w:vAlign w:val="bottom"/>
          </w:tcPr>
          <w:p>
            <w:pPr>
              <w:spacing w:after="0"/>
              <w:rPr>
                <w:sz w:val="12"/>
                <w:szCs w:val="12"/>
                <w:color w:val="auto"/>
              </w:rPr>
            </w:pPr>
          </w:p>
        </w:tc>
        <w:tc>
          <w:tcPr>
            <w:tcW w:w="5200" w:type="dxa"/>
            <w:vAlign w:val="bottom"/>
            <w:tcBorders>
              <w:bottom w:val="single" w:sz="8" w:color="auto"/>
            </w:tcBorders>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8"/>
                <w:szCs w:val="18"/>
                <w:color w:val="auto"/>
              </w:rPr>
            </w:pPr>
          </w:p>
        </w:tc>
        <w:tc>
          <w:tcPr>
            <w:tcW w:w="2180" w:type="dxa"/>
            <w:vAlign w:val="bottom"/>
            <w:gridSpan w:val="5"/>
            <w:vMerge w:val="restart"/>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vMerge w:val="restart"/>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5"/>
            <w:vMerge w:val="restart"/>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60" w:type="dxa"/>
            <w:vAlign w:val="bottom"/>
            <w:gridSpan w:val="5"/>
            <w:vMerge w:val="restart"/>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06"/>
        </w:trPr>
        <w:tc>
          <w:tcPr>
            <w:tcW w:w="2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Derivatives designated as</w:t>
            </w:r>
          </w:p>
        </w:tc>
        <w:tc>
          <w:tcPr>
            <w:tcW w:w="160" w:type="dxa"/>
            <w:vAlign w:val="bottom"/>
          </w:tcPr>
          <w:p>
            <w:pPr>
              <w:spacing w:after="0"/>
              <w:rPr>
                <w:sz w:val="9"/>
                <w:szCs w:val="9"/>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9"/>
                <w:szCs w:val="9"/>
                <w:color w:val="auto"/>
              </w:rPr>
            </w:pPr>
          </w:p>
        </w:tc>
        <w:tc>
          <w:tcPr>
            <w:tcW w:w="2180" w:type="dxa"/>
            <w:vAlign w:val="bottom"/>
            <w:tcBorders>
              <w:bottom w:val="single" w:sz="8" w:color="auto"/>
            </w:tcBorders>
            <w:gridSpan w:val="5"/>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hedging instruments:</w:t>
            </w:r>
          </w:p>
        </w:tc>
        <w:tc>
          <w:tcPr>
            <w:tcW w:w="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rPr>
              <w:t>Loss into Income</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80"/>
        </w:trPr>
        <w:tc>
          <w:tcPr>
            <w:tcW w:w="288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6"/>
                <w:szCs w:val="16"/>
                <w:color w:val="auto"/>
              </w:rPr>
              <w:t>related to intercompany license fees</w:t>
            </w:r>
          </w:p>
        </w:tc>
        <w:tc>
          <w:tcPr>
            <w:tcW w:w="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6"/>
                <w:szCs w:val="16"/>
                <w:color w:val="auto"/>
              </w:rPr>
              <w:t>and product sales hedges</w:t>
            </w:r>
          </w:p>
        </w:tc>
        <w:tc>
          <w:tcPr>
            <w:tcW w:w="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Revenue</w:t>
            </w:r>
          </w:p>
        </w:tc>
        <w:tc>
          <w:tcPr>
            <w:tcW w:w="98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gridSpan w:val="2"/>
            <w:vMerge w:val="continue"/>
          </w:tcPr>
          <w:p>
            <w:pPr>
              <w:spacing w:after="0"/>
              <w:rPr>
                <w:sz w:val="16"/>
                <w:szCs w:val="16"/>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2880" w:type="dxa"/>
            <w:vAlign w:val="bottom"/>
          </w:tcPr>
          <w:p>
            <w:pPr>
              <w:jc w:val="center"/>
              <w:ind w:right="279"/>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jc w:val="center"/>
              <w:ind w:right="319"/>
              <w:spacing w:after="0"/>
              <w:rPr>
                <w:sz w:val="20"/>
                <w:szCs w:val="20"/>
                <w:color w:val="auto"/>
              </w:rPr>
            </w:pPr>
            <w:r>
              <w:rPr>
                <w:rFonts w:ascii="Arial" w:cs="Arial" w:eastAsia="Arial" w:hAnsi="Arial"/>
                <w:sz w:val="16"/>
                <w:szCs w:val="16"/>
                <w:color w:val="auto"/>
              </w:rPr>
              <w:t>related to intercompany selling</w:t>
            </w:r>
          </w:p>
        </w:tc>
        <w:tc>
          <w:tcPr>
            <w:tcW w:w="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140"/>
              <w:spacing w:after="0"/>
              <w:rPr>
                <w:sz w:val="20"/>
                <w:szCs w:val="20"/>
                <w:color w:val="auto"/>
              </w:rPr>
            </w:pPr>
            <w:r>
              <w:rPr>
                <w:rFonts w:ascii="Arial" w:cs="Arial" w:eastAsia="Arial" w:hAnsi="Arial"/>
                <w:sz w:val="16"/>
                <w:szCs w:val="16"/>
                <w:color w:val="auto"/>
              </w:rPr>
              <w:t>expense hedges</w:t>
            </w:r>
          </w:p>
        </w:tc>
        <w:tc>
          <w:tcPr>
            <w:tcW w:w="16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Selling expenses</w:t>
            </w:r>
          </w:p>
        </w:tc>
        <w:tc>
          <w:tcPr>
            <w:tcW w:w="98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gridSpan w:val="2"/>
            <w:vMerge w:val="continue"/>
          </w:tcPr>
          <w:p>
            <w:pPr>
              <w:spacing w:after="0"/>
              <w:rPr>
                <w:sz w:val="17"/>
                <w:szCs w:val="17"/>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vMerge w:val="continue"/>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of September 30, 2018 and December 31, 2017, there were zero and $0.1 million, respectively, of unrealized gains/(losses) included in accumulated other comprehensive loss related to foreign currency cash flow hedges. The remaining $ 82.6 million and $66.4 million as of September 30, 2018 and December 31, 2017, respectively, in accumulated other comprehensive loss are related to cumulative translation adjustments. The Company assesses hedge effectiveness at least quarterly. During the three- and nine- month periods ended September 30, 2018 and 2017, all hedges were determined to be effective.</w:t>
      </w:r>
    </w:p>
    <w:p>
      <w:pPr>
        <w:spacing w:after="0" w:line="23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reports its derivatives at fair value as either other current assets or accrued expenses within its consolidated balance sheet. See Note 12 - Fair Value.</w:t>
      </w:r>
    </w:p>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REPURCHASES OF COMMON STOCK</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three-month periods ended September 30, 2018 and 2017, the Company repurchased 0.2 million and 0.4 million shares of its Class A common stock under its open market stock repurchase plans for $ 12.4 million and $25.7 million, respectively. During the nine-month periods ended September 30, 2018 and September 30, 2017, the Company repurchased 0.6 million and 0.8 million shares of its Class A common stock under its open market repurchase plans for $48.2 million and $47.8 million, respectively. In July 2018, the previous stock repurchase plan was terminated and replaced by a new repurchase plan with an initial authorization amount of $ 500 million. As of September 30, 2018, $492.4 million was available for repurchases under the Company’s open market stock repurchase plan.</w:t>
      </w:r>
    </w:p>
    <w:p>
      <w:pPr>
        <w:spacing w:after="0" w:line="21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a result of the Company’s management changes in the first quarter of 2017, the Company concluded that the Chief Operating Decision Maker, as defined in ASC 280, is now comprised of the CEO, President, and CFO. This change required the Company to reevaluate its determination of operating segments. The Company’s operating segments are based on geographic regions that generate revenue and hold its long-lived assets. The Company sells and distributes its products through a global network of customers and sales leaders in approximately 50 markets. The Company has divided these markets into seven operating segments, which are the Company’s reportable segments: Mainland China, Hong Kong/Taiwan, South Korea, Japan, Southeast Asia, Americas/Pacific and EMEA. The reportable segments generate revenue from the sale of personal care products and nutritional supplements under the Nu Skin and Pharmanex brands, have similar business characteristics and align with how the CODM function began assessing performance and allocating resources in the first quarter of 2017. The Other category includes the manufacturing and product-packaging companies that the Company acquired during the first quarter of 2018.</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Segment information for the three- and nine-month periods ended September 30, 2017 has been recast to reflect the move of the Pacific components from the “Southeast Asia/Pacific” operating segment to the “Americas/Pacific” operating segment. Consolidated financial information is not affected.</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accounting policies of the segments are the same as those described in Note 1 – The Company. The Company evaluates the performance of its segments based on revenue and segment contribution. Each segment records direct expenses related to its employees and its operations.</w:t>
      </w:r>
    </w:p>
    <w:p>
      <w:pPr>
        <w:spacing w:after="0" w:line="23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r>
              <w:rPr>
                <w:rFonts w:ascii="Arial" w:cs="Arial" w:eastAsia="Arial" w:hAnsi="Arial"/>
                <w:sz w:val="18"/>
                <w:szCs w:val="18"/>
                <w:i w:val="1"/>
                <w:iCs w:val="1"/>
                <w:color w:val="auto"/>
              </w:rPr>
              <w:t>Revenue by Segment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09"/>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6"/>
          </w:tcPr>
          <w:p>
            <w:pPr>
              <w:jc w:val="right"/>
              <w:ind w:right="2840"/>
              <w:spacing w:after="0"/>
              <w:rPr>
                <w:sz w:val="20"/>
                <w:szCs w:val="20"/>
                <w:color w:val="auto"/>
              </w:rPr>
            </w:pPr>
            <w:r>
              <w:rPr>
                <w:rFonts w:ascii="Arial" w:cs="Arial" w:eastAsia="Arial" w:hAnsi="Arial"/>
                <w:sz w:val="18"/>
                <w:szCs w:val="18"/>
                <w:b w:val="1"/>
                <w:bCs w:val="1"/>
                <w:color w:val="auto"/>
              </w:rPr>
              <w:t>Nine Months Ended</w:t>
            </w:r>
          </w:p>
        </w:tc>
      </w:tr>
      <w:tr>
        <w:trPr>
          <w:trHeight w:val="232"/>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6"/>
          </w:tcPr>
          <w:p>
            <w:pPr>
              <w:jc w:val="right"/>
              <w:ind w:right="30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780" w:type="dxa"/>
            <w:vAlign w:val="bottom"/>
          </w:tcPr>
          <w:p>
            <w:pPr>
              <w:spacing w:after="0" w:line="202" w:lineRule="exact"/>
              <w:rPr>
                <w:sz w:val="20"/>
                <w:szCs w:val="20"/>
                <w:color w:val="auto"/>
              </w:rPr>
            </w:pPr>
            <w:r>
              <w:rPr>
                <w:rFonts w:ascii="Arial" w:cs="Arial" w:eastAsia="Arial" w:hAnsi="Arial"/>
                <w:sz w:val="18"/>
                <w:szCs w:val="18"/>
                <w:color w:val="auto"/>
              </w:rPr>
              <w:t>(U.S. 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60"/>
              <w:spacing w:after="0" w:line="202" w:lineRule="exact"/>
              <w:rPr>
                <w:sz w:val="20"/>
                <w:szCs w:val="20"/>
                <w:color w:val="auto"/>
              </w:rPr>
            </w:pPr>
            <w:r>
              <w:rPr>
                <w:rFonts w:ascii="Arial" w:cs="Arial" w:eastAsia="Arial" w:hAnsi="Arial"/>
                <w:sz w:val="18"/>
                <w:szCs w:val="18"/>
                <w:b w:val="1"/>
                <w:bCs w:val="1"/>
                <w:color w:val="auto"/>
              </w:rPr>
              <w:t>2017</w:t>
            </w:r>
          </w:p>
        </w:tc>
        <w:tc>
          <w:tcPr>
            <w:tcW w:w="2400" w:type="dxa"/>
            <w:vAlign w:val="bottom"/>
          </w:tcPr>
          <w:p>
            <w:pPr>
              <w:spacing w:after="0"/>
              <w:rPr>
                <w:sz w:val="18"/>
                <w:szCs w:val="18"/>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color w:val="auto"/>
              </w:rPr>
              <w:t>Mainland China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226,645</w:t>
            </w:r>
          </w:p>
        </w:tc>
        <w:tc>
          <w:tcPr>
            <w:tcW w:w="10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172,556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669,432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494,658</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93,580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85,672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289,859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240,094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89,238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270,517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258,626</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86,307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71,141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236,390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194,711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63,649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190,986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188,465</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44,949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138,147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120,069</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40,133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131,810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112,385</w:t>
            </w: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27,400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68,580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400"/>
              <w:spacing w:after="0" w:line="203" w:lineRule="exact"/>
              <w:rPr>
                <w:sz w:val="20"/>
                <w:szCs w:val="20"/>
                <w:color w:val="auto"/>
              </w:rPr>
            </w:pPr>
            <w:r>
              <w:rPr>
                <w:rFonts w:ascii="Arial" w:cs="Arial" w:eastAsia="Arial" w:hAnsi="Arial"/>
                <w:sz w:val="18"/>
                <w:szCs w:val="18"/>
                <w:color w:val="auto"/>
              </w:rPr>
              <w:t>3,890</w:t>
            </w: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563,698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1,995,721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97"/>
              </w:rPr>
              <w:t>1,612,898</w:t>
            </w:r>
          </w:p>
        </w:tc>
        <w:tc>
          <w:tcPr>
            <w:tcW w:w="2400" w:type="dxa"/>
            <w:vAlign w:val="bottom"/>
          </w:tcPr>
          <w:p>
            <w:pPr>
              <w:spacing w:after="0"/>
              <w:rPr>
                <w:sz w:val="17"/>
                <w:szCs w:val="17"/>
                <w:color w:val="auto"/>
              </w:rPr>
            </w:pPr>
          </w:p>
        </w:tc>
      </w:tr>
      <w:tr>
        <w:trPr>
          <w:trHeight w:val="21"/>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7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- 8 -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r>
              <w:rPr>
                <w:rFonts w:ascii="Arial" w:cs="Arial" w:eastAsia="Arial" w:hAnsi="Arial"/>
                <w:sz w:val="18"/>
                <w:szCs w:val="18"/>
                <w:i w:val="1"/>
                <w:iCs w:val="1"/>
                <w:color w:val="auto"/>
              </w:rPr>
              <w:t>Segment Contribution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780" w:type="dxa"/>
            <w:vAlign w:val="bottom"/>
          </w:tcPr>
          <w:p>
            <w:pPr>
              <w:spacing w:after="0" w:line="202" w:lineRule="exact"/>
              <w:rPr>
                <w:sz w:val="20"/>
                <w:szCs w:val="20"/>
                <w:color w:val="auto"/>
              </w:rPr>
            </w:pPr>
            <w:r>
              <w:rPr>
                <w:rFonts w:ascii="Arial" w:cs="Arial" w:eastAsia="Arial" w:hAnsi="Arial"/>
                <w:sz w:val="18"/>
                <w:szCs w:val="18"/>
                <w:color w:val="auto"/>
              </w:rPr>
              <w:t>(U.S. 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line="20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color w:val="auto"/>
              </w:rPr>
              <w:t>Mainland China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71,185</w:t>
            </w:r>
          </w:p>
        </w:tc>
        <w:tc>
          <w:tcPr>
            <w:tcW w:w="12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42,375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189,901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130,085</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11,848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38,088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37,884</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24,754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75,836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70,503</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21,204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58,245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43,763</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15,162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41,777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36,134</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23,781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20,945</w:t>
            </w:r>
          </w:p>
        </w:tc>
        <w:tc>
          <w:tcPr>
            <w:tcW w:w="0" w:type="dxa"/>
            <w:vAlign w:val="bottom"/>
          </w:tcPr>
          <w:p>
            <w:pPr>
              <w:spacing w:after="0"/>
              <w:rPr>
                <w:sz w:val="1"/>
                <w:szCs w:val="1"/>
                <w:color w:val="auto"/>
              </w:rPr>
            </w:pP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2,896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400"/>
              <w:spacing w:after="0" w:line="203" w:lineRule="exact"/>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Total segment contribution</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154,867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121,352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438,066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347,618</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(74,192)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(56,990)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(215,637)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340"/>
              <w:spacing w:after="0" w:line="203" w:lineRule="exact"/>
              <w:rPr>
                <w:sz w:val="20"/>
                <w:szCs w:val="20"/>
                <w:color w:val="auto"/>
              </w:rPr>
            </w:pPr>
            <w:r>
              <w:rPr>
                <w:rFonts w:ascii="Arial" w:cs="Arial" w:eastAsia="Arial" w:hAnsi="Arial"/>
                <w:sz w:val="18"/>
                <w:szCs w:val="18"/>
                <w:color w:val="auto"/>
              </w:rPr>
              <w:t>(172,255)</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80,675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64,362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222,429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175,363</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(6,982)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(16,940)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340"/>
              <w:spacing w:after="0" w:line="203" w:lineRule="exact"/>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205,489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166,893</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780" w:type="dxa"/>
            <w:vAlign w:val="bottom"/>
          </w:tcPr>
          <w:p>
            <w:pPr>
              <w:spacing w:after="0" w:line="202" w:lineRule="exact"/>
              <w:rPr>
                <w:sz w:val="20"/>
                <w:szCs w:val="20"/>
                <w:color w:val="auto"/>
              </w:rPr>
            </w:pPr>
            <w:r>
              <w:rPr>
                <w:rFonts w:ascii="Arial" w:cs="Arial" w:eastAsia="Arial" w:hAnsi="Arial"/>
                <w:sz w:val="18"/>
                <w:szCs w:val="18"/>
                <w:color w:val="auto"/>
              </w:rPr>
              <w:t>(U.S. 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line="20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color w:val="auto"/>
              </w:rPr>
              <w:t>Mainland China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3,550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10,063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15,994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9,906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41,536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400"/>
              <w:spacing w:after="0" w:line="203" w:lineRule="exact"/>
              <w:rPr>
                <w:sz w:val="20"/>
                <w:szCs w:val="20"/>
                <w:color w:val="auto"/>
              </w:rPr>
            </w:pPr>
            <w:r>
              <w:rPr>
                <w:rFonts w:ascii="Arial" w:cs="Arial" w:eastAsia="Arial" w:hAnsi="Arial"/>
                <w:sz w:val="18"/>
                <w:szCs w:val="18"/>
                <w:color w:val="auto"/>
              </w:rPr>
              <w:t>28,902</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52,525</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Capital Expenditures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780" w:type="dxa"/>
            <w:vAlign w:val="bottom"/>
          </w:tcPr>
          <w:p>
            <w:pPr>
              <w:spacing w:after="0" w:line="202" w:lineRule="exact"/>
              <w:rPr>
                <w:sz w:val="20"/>
                <w:szCs w:val="20"/>
                <w:color w:val="auto"/>
              </w:rPr>
            </w:pPr>
            <w:r>
              <w:rPr>
                <w:rFonts w:ascii="Arial" w:cs="Arial" w:eastAsia="Arial" w:hAnsi="Arial"/>
                <w:sz w:val="18"/>
                <w:szCs w:val="18"/>
                <w:color w:val="auto"/>
              </w:rPr>
              <w:t>(U.S. 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line="20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color w:val="auto"/>
              </w:rPr>
              <w:t>Mainland China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5,015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2"/>
          </w:tcPr>
          <w:p>
            <w:pPr>
              <w:jc w:val="right"/>
              <w:ind w:right="2400"/>
              <w:spacing w:after="0" w:line="202" w:lineRule="exact"/>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34,333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right"/>
              <w:ind w:right="2400"/>
              <w:spacing w:after="0" w:line="203" w:lineRule="exact"/>
              <w:rPr>
                <w:sz w:val="20"/>
                <w:szCs w:val="20"/>
                <w:color w:val="auto"/>
              </w:rPr>
            </w:pPr>
            <w:r>
              <w:rPr>
                <w:rFonts w:ascii="Arial" w:cs="Arial" w:eastAsia="Arial" w:hAnsi="Arial"/>
                <w:sz w:val="18"/>
                <w:szCs w:val="18"/>
                <w:color w:val="auto"/>
              </w:rPr>
              <w:t>32,432</w:t>
            </w: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38,965</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color w:val="auto"/>
              </w:rPr>
              <w:t>- 9 -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Major Market</w:t>
      </w:r>
    </w:p>
    <w:p>
      <w:pPr>
        <w:spacing w:after="0" w:line="257"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A major market is defined as one with total revenue greater than 10% of consolidated total revenue. Based on this criteria, the Company has identified three major markets: Mainland China, South Korea and Japan. There are approximately 50 other markets, each of which individually is less than 10%. No single customer accounted for 10% or more of net sales for the periods presented. Sales are recorded in the jurisdiction in which the transactions occurred.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r>
              <w:rPr>
                <w:rFonts w:ascii="Arial" w:cs="Arial" w:eastAsia="Arial" w:hAnsi="Arial"/>
                <w:sz w:val="18"/>
                <w:szCs w:val="18"/>
                <w:i w:val="1"/>
                <w:iCs w:val="1"/>
                <w:color w:val="auto"/>
              </w:rPr>
              <w:t>Revenue by Product Line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9"/>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w:t>
            </w:r>
          </w:p>
        </w:tc>
      </w:tr>
      <w:tr>
        <w:trPr>
          <w:trHeight w:val="203"/>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right"/>
              <w:ind w:right="720"/>
              <w:spacing w:after="0" w:line="202"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right"/>
              <w:ind w:right="68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32"/>
        </w:trPr>
        <w:tc>
          <w:tcPr>
            <w:tcW w:w="3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color w:val="auto"/>
              </w:rPr>
              <w:t>Nu Skin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384,635</w:t>
            </w:r>
          </w:p>
        </w:tc>
        <w:tc>
          <w:tcPr>
            <w:tcW w:w="10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338,305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1,237,547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985,465</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Pharmanex</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261,892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687,789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623,046</w:t>
            </w: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28,785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70,385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4,387</w:t>
            </w: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563,698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1,995,721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1,612,898</w:t>
            </w:r>
          </w:p>
        </w:tc>
        <w:tc>
          <w:tcPr>
            <w:tcW w:w="20" w:type="dxa"/>
            <w:vAlign w:val="bottom"/>
          </w:tcPr>
          <w:p>
            <w:pPr>
              <w:spacing w:after="0"/>
              <w:rPr>
                <w:sz w:val="17"/>
                <w:szCs w:val="17"/>
                <w:color w:val="auto"/>
              </w:rPr>
            </w:pPr>
          </w:p>
        </w:tc>
      </w:tr>
      <w:tr>
        <w:trPr>
          <w:trHeight w:val="21"/>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by Major Market</w:t>
      </w:r>
    </w:p>
    <w:p>
      <w:pPr>
        <w:spacing w:after="0" w:line="2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major market is defined as a market with long-lived assets greater than 10% of consolidated long-lived assets and also includes the Company’s country of domicile (the U.S.). Long-lived assets in Mainland China consist primarily of property, plant and equipment related to manufacturing, distribution facilities and the Mainland China headquarters. Long-lived assets in the U.S. consist primarily of property, plant and equipment, including the Company’s corporate offices and distribution facilities. Long-lived assets by major markets are set forth below for the periods ended September 30, 2018 and December 31, 2017 (U.S.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391"/>
        </w:trPr>
        <w:tc>
          <w:tcPr>
            <w:tcW w:w="482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357,426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302,884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Mainland China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84,680</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97,046</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36,609</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42,211</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9,342</w:t>
            </w: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All others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10,794</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13,104</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496,704</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464,587</w:t>
            </w:r>
          </w:p>
        </w:tc>
        <w:tc>
          <w:tcPr>
            <w:tcW w:w="20" w:type="dxa"/>
            <w:vAlign w:val="bottom"/>
          </w:tcPr>
          <w:p>
            <w:pPr>
              <w:spacing w:after="0"/>
              <w:rPr>
                <w:sz w:val="17"/>
                <w:szCs w:val="17"/>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6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During the first quarter of 2017, the Company realigned its operational segments and reporting structure to reflect how the business will be managed going forward. As part of this realignment, the Company divided its single operating segment into seven geographical reporting segments. The Company’s reporting units for goodwill are its operating segments, which are also its reportable segments. As a result of the segment changes, the historical goodwill of $115.0 million was allocated to the seven reportable segments.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goodwill allocated to the Company’s reportable segments for the periods ended September 30, 2018 and</w:t>
      </w:r>
    </w:p>
    <w:p>
      <w:pPr>
        <w:spacing w:after="0"/>
        <w:rPr>
          <w:sz w:val="20"/>
          <w:szCs w:val="20"/>
          <w:color w:val="auto"/>
        </w:rPr>
      </w:pPr>
      <w:r>
        <w:rPr>
          <w:rFonts w:ascii="Arial" w:cs="Arial" w:eastAsia="Arial" w:hAnsi="Arial"/>
          <w:sz w:val="18"/>
          <w:szCs w:val="18"/>
          <w:color w:val="auto"/>
        </w:rPr>
        <w:t>December 31, 2017 (U.S.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391"/>
        </w:trPr>
        <w:tc>
          <w:tcPr>
            <w:tcW w:w="4820" w:type="dxa"/>
            <w:vAlign w:val="bottom"/>
          </w:tcPr>
          <w:p>
            <w:pPr>
              <w:spacing w:after="0"/>
              <w:rPr>
                <w:sz w:val="20"/>
                <w:szCs w:val="20"/>
                <w:color w:val="auto"/>
              </w:rPr>
            </w:pPr>
            <w:r>
              <w:rPr>
                <w:rFonts w:ascii="Arial" w:cs="Arial" w:eastAsia="Arial" w:hAnsi="Arial"/>
                <w:sz w:val="18"/>
                <w:szCs w:val="18"/>
                <w:color w:val="auto"/>
              </w:rPr>
              <w:t>Mainland China</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32,179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32,179</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9,449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9,449</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29,261</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29,261</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18,537</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18,537</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16,019</w:t>
            </w: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16,019</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6,634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6,634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2,875</w:t>
            </w: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72,469</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187,423</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114,954</w:t>
            </w:r>
          </w:p>
        </w:tc>
        <w:tc>
          <w:tcPr>
            <w:tcW w:w="20" w:type="dxa"/>
            <w:vAlign w:val="bottom"/>
          </w:tcPr>
          <w:p>
            <w:pPr>
              <w:spacing w:after="0"/>
              <w:rPr>
                <w:sz w:val="17"/>
                <w:szCs w:val="17"/>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Other category represents goodwill allocated to the companies acquired in the first quarter of 2018 (see Note 15 – Acquisitions).</w:t>
      </w:r>
    </w:p>
    <w:p>
      <w:pPr>
        <w:spacing w:after="0" w:line="2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(U.S.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2"/>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391"/>
        </w:trPr>
        <w:tc>
          <w:tcPr>
            <w:tcW w:w="482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89,830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87,683</w:t>
            </w: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199,461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165,771</w:t>
            </w:r>
          </w:p>
        </w:tc>
      </w:tr>
      <w:tr>
        <w:trPr>
          <w:trHeight w:val="203"/>
        </w:trPr>
        <w:tc>
          <w:tcPr>
            <w:tcW w:w="48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289,291</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253,454</w:t>
            </w:r>
          </w:p>
        </w:tc>
        <w:tc>
          <w:tcPr>
            <w:tcW w:w="20" w:type="dxa"/>
            <w:vAlign w:val="bottom"/>
          </w:tcPr>
          <w:p>
            <w:pPr>
              <w:spacing w:after="0"/>
              <w:rPr>
                <w:sz w:val="17"/>
                <w:szCs w:val="17"/>
                <w:color w:val="auto"/>
              </w:rPr>
            </w:pPr>
          </w:p>
        </w:tc>
      </w:tr>
      <w:tr>
        <w:trPr>
          <w:trHeight w:val="21"/>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total inventory balance as of September 30, 2018 includes $23.3 million of inventory held by the companies acquired in the first quarter of 2018 (see Note 15 - Acquisitions).</w:t>
      </w:r>
    </w:p>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Provision for income taxes for the three- and nine-month periods of 2018 was $20.5 million and $65.8 million, compared to $ 21.5 million and $55.7 million for the prior-year periods. The effective tax rates for the three- and nine-month periods were 27.9% and 32.0% of pre-tax income compared to 34.1% and 33.4% in the prior-year periods. The decrease in the effective tax rate in the third quarter of 2018 reflects a benefit due to a change in accounting method related to capitalization of research and development costs, which allowed us to utilize foreign tax credits that previously had a valuation allowance. In addition, in the second quarter of 2018 we designated $60 million of our earnings in Mainland China as permanently reinvested, which allows us to remove a withholding tax liability on those earnings.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accounts for income taxes in accordance with the Income Taxes Topic of the Financial Accounting Standards Codification.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$5.4 million and net deferred tax liabilities of $2.9 million as of September 30, 2018 and December 31, 2017, respectively.</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accordance with ASU 2018-05 and SAB 118, the Company recognized the provisional tax impacts related to the re-measurement of our deferred income tax assets and liabilities and the one-time, mandatory transition tax on deemed repatriation during the year ended December 31, 2017. As of September 30, 2018, the Company has not made any additional measurement-period adjustments related to these items. Such adjustments may be necessary in future periods due to, among other things, the significant complexity of the Act and anticipated additional regulatory guidance that may be issued by the Internal Revenue Service (“IRS”), changes in analysis, interpretations and assumptions the Company has made and actions the Company may take as a result of the Act. The Company is continuing to gather information to assess the application of the Act and expects to complete its analysis by December 2018.</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 is no longer subject to tax examinations from the IRS for all years for which tax returns have been filed before 2011. With a few exceptions, the Company is no longer subject to state and local income tax examination by tax authorities for the years before 2011. In 2009, the Company entered into a voluntary program with the IRS called Compliance Assurance Process (“CAP”). The objective of CAP is to contemporaneously work with the IRS to achieve federal tax compliance and resolve all or most of the issues prior to filing of the tax return. The Company has elected to participate in the CAP program for 2018 and may elect to continue participating in CAP for future tax years; the Company may withdraw from the program at any time. In major foreign jurisdictions, the Company is generally no longer subject to income tax examinations for years before 2011. However, statutes in certain countries may be as long as ten years. Along with the IRS examination of 2011, the Company is currently under examination in certain foreign jurisdictions; however, the outcomes of those reviews are not yet determinable. In the first quarter of 2018 there was a discrete income tax charge of $5.8 million booked. The charge was primarily related to additional reserves as the result of an Income Tax audit in Indonesia. The Company’s unrecognized tax benefits relate to multiple jurisdictions. Due to potential increases in unrecognized tax benefits from the multiple jurisdictions in which the Company operates, as well as the expiration of various statutes of limitation, it is reasonably possible that the Company’s gross unrecognized tax benefits, net of foreign currency adjustments, may decrease within the next 12 months by a range of approximately $0.1 to $1 million.</w:t>
      </w:r>
    </w:p>
    <w:p>
      <w:pPr>
        <w:spacing w:after="0" w:line="20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In the opinion of the Company’s management, based upon advice of its counsel handling such litigation, investigations and other proceedings, adverse outcomes, if any, are not currently expected to result in a material effect on the Company’s consolidated financial condition, results of operations or cash flows.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20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Credit Agreement</w:t>
      </w:r>
    </w:p>
    <w:p>
      <w:pPr>
        <w:spacing w:after="0" w:line="25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October 9, 2014, the Company entered into a Credit Agreement (the “Existing Credit Agreement”) with various financial institutions, and Bank of America, N.A. as administrative agent. The Existing Credit Agreement provided for a $127.5 million term loan facility, a 6.6 billion Japanese yen term loan facility and a $187.5 million revolving credit facility, each with a term of five years. On October 10, 2014, the Company drew the full amount of the term loan facilities. On April 18, 2018, the Company repaid the full balance that was outstanding under the Existing Credit Agreement. As of September 30, 2018 and December 31, 2017, the Company had an outstanding balance of zero and $47.5 million, respectively, on the revolving credit facility. The Existing Credit Agreement required that the Company maintain a consolidated leverage ratio not exceeding 2.25 to 1.00 and a consolidated interest coverage ratio of no less than 3.00 to 1.00.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April 18, 2018, the Company entered into a Credit Agreement (the “New Credit Agreement”) with several financial institutions as lenders and Bank of America, N.A., as administrative agent. The New Credit Agreement provides for a $400 million term loan facility and a $350 million revolving credit facility, each with a term of five years. Concurrently with the closing of the New Credit Agreement, the Company drew the full amount of the term loan facility and $78.5 million of the revolving facility, each of which initially bear interest at the London Interbank Offered Rate (“LIBOR”), plus 2.25%. The interest rate applicable to the facilities is subject to adjustment based on the Company’s consolidated leverage ratio. The term loan facility will amortize in quarterly installments in amounts resulting in an annual amortization of 5.0% during the first and second years, 7.5% during the third and fourth years and 10.0% during the fifth year after the closing date of the New Credit Agreement, with the remainder payable at final maturity. The New Credit Agreement requires the Company to maintain a consolidated leverage ratio not exceeding 2.25 to 1.00 and a consolidated interest coverage ratio of no less than 3.00 to 1.00.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w:t>
      </w:r>
    </w:p>
    <w:p>
      <w:pPr>
        <w:spacing w:after="0" w:line="2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June 16, 2016, the Company issued $210.0 million of convertible senior notes (the “Convertible Notes”) in a private offering to a Chinese investor (the “Holder”). The Convertible Notes were senior unsecured obligations which ranked equal in right of payment to all senior unsecured indebtedness of the Company and ranked senior in right of payment to any indebtedness that was contractually subordinated to the Convertible Notes. Interest on the Convertible Notes was payable semiannually in arrears on June 15 and December 15 of each year at a rate of 4.75% per annum.</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Convertible Notes had a stated maturity date of June 15, 2020, unless repurchased or converted prior to maturity. Prior to the stated maturity date, the Company could, at its option, redeem all or part of the Convertible Notes at a price equal to 100% of the principal amount thereof, plus accrued and unpaid interest, if any, provided that its common stock share price was equal to or exceeded 180% of the applicable conversion price for 20 or more trading days (including the final three trading days) in the 30 consecutive trading days prior to the Company’s exercise of such redemption right. The Holder of the Convertible Notes could, at its option, cause the Company to repurchase all of such Holder’s Convertible Notes or any portion thereof that was equal to $1,000 in principal amount or multiples of $1,000 upon a change in control or a termination of trading of the Company’s common stock, as those terms were defined in the indenture governing the Convertible Notes. In addition, the Holder of the Convertible Notes had the right, at such Holder’s option, to convert all or any portion thereof that is equal to $1,000 in principal amount or multiples of $1,000 at any time beginning six calendar months following June 16, 2016, at the then-applicable conversion rate. Upon conversion by the Holder, the Convertible Notes would be settled in cash with respect to principal and any accrued and unpaid interest to such date and in the Company’s common shares with respect to any additional amounts, based on the applicable conversion rate at such time. The Convertible Notes had an initial conversion rate of 21.5054 common shares per $1,000 principal amount of the Convertible Notes (which is equal to an initial conversion price of approximately $ 46.50 per common share). Throughout the term of the Convertible Notes, the conversion rate could be adjusted upon the occurrence of certain specified events.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the $210.0 million in proceeds received from the issuance of the Convertible Notes, $199.1 million was originally allocated to long-term debt (the “Liability Component”) and $ 10.9 million was allocated to additional paid-in capital (the “Equity Component”) within the Company’s consolidated balance sheet. The Liability Component was calculated by measuring the fair value of a similar debt instrument that does not have an associated conversion feature. The amount allocated to the Equity Component, representing the conversion option, was calculated by deducting the fair value of the Liability Component from the par value of the Convertible Notes. The Company determined that the conversion option did not require separate accounting treatment as a derivative instrument because it was both indexed to the Company’s own stock and would be classified in stockholders’ equity if freestanding. The Equity Component would not be remeasured as long as it continued to meet the conditions for equity classification. The excess of the principal amount of the Liability Component over its carrying amount (the “Debt Discount”) was amortized to interest expense over the term of the Convertible Notes. As a result, the Liability Component was accreted up to the Convertible Notes’ $210.0 million face value, resulting in additional non-cash interest expense being recognized within the Company’s consolidated statement of income. The effective interest rate on the Convertible Notes was approximately 7.1% per annum.</w:t>
      </w:r>
    </w:p>
    <w:p>
      <w:pPr>
        <w:spacing w:after="0" w:line="20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Company incurred approximately $6.6 million of issuance costs related to the issuance of the Convertible Notes. Of the $6.6 million in issuance costs incurred, $6.3 million and $0.3 million were recorded to deferred financing cost and additional paid-in capital, respectively, in proportion to the allocation of the proceeds of the Convertible Notes. The $6.3 million recorded to deferred financing cost on the Company’s consolidated balance sheet as a reduction of long-term debt was amortized over the contractual term of the Convertible Notes using the effective interest method. During the first quarter of 2018 the issuance costs were expensed due to the conversion of the Notes.</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During the three- and nine-months ended September 30, 2018, the Company recognized zero and $3.5 million, respectively in interest expense related to the Convertible Notes, which included zero and $3.0 million, respectively of contractual interest and zero and 0.5 million, respectively in amortization of debt issuance costs and in amortization of the Debt Discount prior to the conversion of the Notes.</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first quarter of 2018, the Holder elected to convert the Convertible Notes pursuant to their terms in the indenture. The Company satisfied the equity portion of its conversion obligation on February 28, 2018 by issuing 1,535,652 shares of the Company’s Class A Common Stock to the Holder and, on April 18, 2018, satisfied and discharged its obligations under the Convertible Notes and the indenture governing the Convertible Notes by paying the Holder $213.4 million which included $3.4 million of accrued interest from December 15, 2017 through April 17, 2018. The early conversion of the notes resulted in a $7.2 million charge to other income (expense) during the first quarter of 2018 for a loss on extinguishment of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facilities as of September 30, 2018 and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Original</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Balance as of</w:t>
            </w:r>
          </w:p>
        </w:tc>
        <w:tc>
          <w:tcPr>
            <w:tcW w:w="1820" w:type="dxa"/>
            <w:vAlign w:val="bottom"/>
            <w:gridSpan w:val="2"/>
          </w:tcPr>
          <w:p>
            <w:pPr>
              <w:ind w:left="240"/>
              <w:spacing w:after="0"/>
              <w:rPr>
                <w:sz w:val="20"/>
                <w:szCs w:val="20"/>
                <w:color w:val="auto"/>
              </w:rPr>
            </w:pPr>
            <w:r>
              <w:rPr>
                <w:rFonts w:ascii="Arial" w:cs="Arial" w:eastAsia="Arial" w:hAnsi="Arial"/>
                <w:sz w:val="18"/>
                <w:szCs w:val="18"/>
                <w:b w:val="1"/>
                <w:bCs w:val="1"/>
                <w:color w:val="auto"/>
              </w:rPr>
              <w:t>Balance as of</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380" w:type="dxa"/>
            <w:vAlign w:val="bottom"/>
            <w:gridSpan w:val="2"/>
          </w:tcPr>
          <w:p>
            <w:pPr>
              <w:ind w:left="680"/>
              <w:spacing w:after="0" w:line="202" w:lineRule="exact"/>
              <w:rPr>
                <w:sz w:val="20"/>
                <w:szCs w:val="20"/>
                <w:color w:val="auto"/>
              </w:rPr>
            </w:pPr>
            <w:r>
              <w:rPr>
                <w:rFonts w:ascii="Arial" w:cs="Arial" w:eastAsia="Arial" w:hAnsi="Arial"/>
                <w:sz w:val="18"/>
                <w:szCs w:val="18"/>
                <w:b w:val="1"/>
                <w:bCs w:val="1"/>
                <w:color w:val="auto"/>
              </w:rPr>
              <w:t>Facility or</w:t>
            </w:r>
          </w:p>
        </w:tc>
        <w:tc>
          <w:tcPr>
            <w:tcW w:w="16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Principal</w:t>
            </w:r>
          </w:p>
        </w:tc>
        <w:tc>
          <w:tcPr>
            <w:tcW w:w="19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18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December 31,</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2"/>
        </w:trPr>
        <w:tc>
          <w:tcPr>
            <w:tcW w:w="22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Arrangement</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center"/>
              <w:spacing w:after="0" w:line="225" w:lineRule="exact"/>
              <w:rPr>
                <w:sz w:val="20"/>
                <w:szCs w:val="20"/>
                <w:color w:val="auto"/>
              </w:rPr>
            </w:pPr>
            <w:r>
              <w:rPr>
                <w:rFonts w:ascii="Arial" w:cs="Arial" w:eastAsia="Arial" w:hAnsi="Arial"/>
                <w:sz w:val="26"/>
                <w:szCs w:val="26"/>
                <w:b w:val="1"/>
                <w:bCs w:val="1"/>
                <w:color w:val="auto"/>
                <w:vertAlign w:val="subscript"/>
              </w:rPr>
              <w:t>2018</w:t>
            </w:r>
            <w:r>
              <w:rPr>
                <w:rFonts w:ascii="Arial" w:cs="Arial" w:eastAsia="Arial" w:hAnsi="Arial"/>
                <w:sz w:val="13"/>
                <w:szCs w:val="13"/>
                <w:color w:val="auto"/>
              </w:rPr>
              <w:t>(1)(2)</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line="225" w:lineRule="exact"/>
              <w:rPr>
                <w:sz w:val="20"/>
                <w:szCs w:val="20"/>
                <w:color w:val="auto"/>
              </w:rPr>
            </w:pPr>
            <w:r>
              <w:rPr>
                <w:rFonts w:ascii="Arial" w:cs="Arial" w:eastAsia="Arial" w:hAnsi="Arial"/>
                <w:sz w:val="16"/>
                <w:szCs w:val="16"/>
                <w:b w:val="1"/>
                <w:bCs w:val="1"/>
                <w:color w:val="auto"/>
              </w:rPr>
              <w:t>2017</w:t>
            </w:r>
            <w:r>
              <w:rPr>
                <w:rFonts w:ascii="Arial" w:cs="Arial" w:eastAsia="Arial" w:hAnsi="Arial"/>
                <w:sz w:val="26"/>
                <w:szCs w:val="26"/>
                <w:color w:val="auto"/>
                <w:vertAlign w:val="superscript"/>
              </w:rPr>
              <w:t>(2)</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180" w:type="dxa"/>
            <w:vAlign w:val="bottom"/>
          </w:tcPr>
          <w:p>
            <w:pPr>
              <w:spacing w:after="0"/>
              <w:rPr>
                <w:sz w:val="20"/>
                <w:szCs w:val="20"/>
                <w:color w:val="auto"/>
              </w:rPr>
            </w:pPr>
          </w:p>
        </w:tc>
        <w:tc>
          <w:tcPr>
            <w:tcW w:w="24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Repayment terms</w:t>
            </w:r>
          </w:p>
        </w:tc>
      </w:tr>
      <w:tr>
        <w:trPr>
          <w:trHeight w:val="369"/>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October 2014 Credit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Agreement term loan</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9"/>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7"/>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U.S. dollar denominated:</w:t>
            </w:r>
          </w:p>
        </w:tc>
        <w:tc>
          <w:tcPr>
            <w:tcW w:w="1620" w:type="dxa"/>
            <w:vAlign w:val="bottom"/>
            <w:gridSpan w:val="2"/>
          </w:tcPr>
          <w:p>
            <w:pPr>
              <w:spacing w:after="0"/>
              <w:rPr>
                <w:sz w:val="20"/>
                <w:szCs w:val="20"/>
                <w:color w:val="auto"/>
              </w:rPr>
            </w:pPr>
            <w:r>
              <w:rPr>
                <w:rFonts w:ascii="Arial" w:cs="Arial" w:eastAsia="Arial" w:hAnsi="Arial"/>
                <w:sz w:val="18"/>
                <w:szCs w:val="18"/>
                <w:color w:val="auto"/>
              </w:rPr>
              <w:t>$127.5 million</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spacing w:after="0"/>
              <w:rPr>
                <w:sz w:val="20"/>
                <w:szCs w:val="20"/>
                <w:color w:val="auto"/>
              </w:rPr>
            </w:pPr>
            <w:r>
              <w:rPr>
                <w:rFonts w:ascii="Arial" w:cs="Arial" w:eastAsia="Arial" w:hAnsi="Arial"/>
                <w:sz w:val="18"/>
                <w:szCs w:val="18"/>
                <w:color w:val="auto"/>
              </w:rPr>
              <w:t>$94.8 million</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Principal amount was paid in</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30 day:</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full during April 2018.</w:t>
            </w:r>
          </w:p>
        </w:tc>
      </w:tr>
      <w:tr>
        <w:trPr>
          <w:trHeight w:val="217"/>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4.627%</w:t>
            </w: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566"/>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Japanese yen</w:t>
            </w:r>
          </w:p>
        </w:tc>
        <w:tc>
          <w:tcPr>
            <w:tcW w:w="1620" w:type="dxa"/>
            <w:vAlign w:val="bottom"/>
            <w:gridSpan w:val="2"/>
          </w:tcPr>
          <w:p>
            <w:pPr>
              <w:spacing w:after="0"/>
              <w:rPr>
                <w:sz w:val="20"/>
                <w:szCs w:val="20"/>
                <w:color w:val="auto"/>
              </w:rPr>
            </w:pPr>
            <w:r>
              <w:rPr>
                <w:rFonts w:ascii="Arial" w:cs="Arial" w:eastAsia="Arial" w:hAnsi="Arial"/>
                <w:sz w:val="18"/>
                <w:szCs w:val="18"/>
                <w:color w:val="auto"/>
              </w:rPr>
              <w:t>6.6 billion yen</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spacing w:after="0"/>
              <w:rPr>
                <w:sz w:val="20"/>
                <w:szCs w:val="20"/>
                <w:color w:val="auto"/>
              </w:rPr>
            </w:pPr>
            <w:r>
              <w:rPr>
                <w:rFonts w:ascii="Arial" w:cs="Arial" w:eastAsia="Arial" w:hAnsi="Arial"/>
                <w:sz w:val="18"/>
                <w:szCs w:val="18"/>
                <w:color w:val="auto"/>
              </w:rPr>
              <w:t>4.9 billion yen</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Principal amount was paid in</w:t>
            </w:r>
          </w:p>
        </w:tc>
      </w:tr>
      <w:tr>
        <w:trPr>
          <w:trHeight w:val="203"/>
        </w:trPr>
        <w:tc>
          <w:tcPr>
            <w:tcW w:w="2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denominated:</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($43.5 million as of</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30 day:</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full during April 2018.</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December 31,</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2.7595%</w:t>
            </w: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7"/>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October 2014 Credit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spacing w:after="0"/>
              <w:rPr>
                <w:sz w:val="20"/>
                <w:szCs w:val="20"/>
                <w:color w:val="auto"/>
              </w:rPr>
            </w:pPr>
            <w:r>
              <w:rPr>
                <w:rFonts w:ascii="Arial" w:cs="Arial" w:eastAsia="Arial" w:hAnsi="Arial"/>
                <w:sz w:val="18"/>
                <w:szCs w:val="18"/>
                <w:color w:val="auto"/>
              </w:rPr>
              <w:t>$47.5 million</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Principal amount was paid in</w:t>
            </w: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Agreement revolving</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30 day:</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full during April 2018 and</w:t>
            </w:r>
          </w:p>
        </w:tc>
      </w:tr>
      <w:tr>
        <w:trPr>
          <w:trHeight w:val="239"/>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credit facility:</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4.594%</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credit line was closed.</w:t>
            </w:r>
          </w:p>
        </w:tc>
      </w:tr>
      <w:tr>
        <w:trPr>
          <w:trHeight w:val="35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April 2018 Credit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Agreement term loan</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9"/>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7"/>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U.S. dollar denominated:</w:t>
            </w:r>
          </w:p>
        </w:tc>
        <w:tc>
          <w:tcPr>
            <w:tcW w:w="1620" w:type="dxa"/>
            <w:vAlign w:val="bottom"/>
            <w:gridSpan w:val="2"/>
          </w:tcPr>
          <w:p>
            <w:pPr>
              <w:spacing w:after="0"/>
              <w:rPr>
                <w:sz w:val="20"/>
                <w:szCs w:val="20"/>
                <w:color w:val="auto"/>
              </w:rPr>
            </w:pPr>
            <w:r>
              <w:rPr>
                <w:rFonts w:ascii="Arial" w:cs="Arial" w:eastAsia="Arial" w:hAnsi="Arial"/>
                <w:sz w:val="18"/>
                <w:szCs w:val="18"/>
                <w:color w:val="auto"/>
              </w:rPr>
              <w:t>$400.0 million</w:t>
            </w:r>
          </w:p>
        </w:tc>
        <w:tc>
          <w:tcPr>
            <w:tcW w:w="1920" w:type="dxa"/>
            <w:vAlign w:val="bottom"/>
            <w:gridSpan w:val="2"/>
          </w:tcPr>
          <w:p>
            <w:pPr>
              <w:spacing w:after="0"/>
              <w:rPr>
                <w:sz w:val="20"/>
                <w:szCs w:val="20"/>
                <w:color w:val="auto"/>
              </w:rPr>
            </w:pPr>
            <w:r>
              <w:rPr>
                <w:rFonts w:ascii="Arial" w:cs="Arial" w:eastAsia="Arial" w:hAnsi="Arial"/>
                <w:sz w:val="18"/>
                <w:szCs w:val="18"/>
                <w:color w:val="auto"/>
              </w:rPr>
              <w:t>$390.0 million</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35% of the principal amount is</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30 day:</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payable in increasing</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7"/>
              </w:rPr>
              <w:t>4.49%</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quarterly installments over a</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five-year period that began on</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June 30, 2018, with the</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remainder payable at the end</w:t>
            </w:r>
          </w:p>
        </w:tc>
      </w:tr>
      <w:tr>
        <w:trPr>
          <w:trHeight w:val="217"/>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of the five-year term.</w:t>
            </w:r>
          </w:p>
        </w:tc>
      </w:tr>
      <w:tr>
        <w:trPr>
          <w:trHeight w:val="35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April 2018 Credit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$62.5 million</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Revolving line of credit</w:t>
            </w: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Agreement revolving</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8"/>
              </w:rPr>
              <w:t>30 day:</w:t>
            </w: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expires April 18, 2023.</w:t>
            </w:r>
          </w:p>
        </w:tc>
      </w:tr>
      <w:tr>
        <w:trPr>
          <w:trHeight w:val="239"/>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credit facility:</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4.49%</w:t>
            </w: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7"/>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Japan subsidiary loan:</w:t>
            </w:r>
          </w:p>
        </w:tc>
        <w:tc>
          <w:tcPr>
            <w:tcW w:w="1620" w:type="dxa"/>
            <w:vAlign w:val="bottom"/>
            <w:gridSpan w:val="2"/>
          </w:tcPr>
          <w:p>
            <w:pPr>
              <w:spacing w:after="0"/>
              <w:rPr>
                <w:sz w:val="20"/>
                <w:szCs w:val="20"/>
                <w:color w:val="auto"/>
              </w:rPr>
            </w:pPr>
            <w:r>
              <w:rPr>
                <w:rFonts w:ascii="Arial" w:cs="Arial" w:eastAsia="Arial" w:hAnsi="Arial"/>
                <w:sz w:val="18"/>
                <w:szCs w:val="18"/>
                <w:color w:val="auto"/>
              </w:rPr>
              <w:t>2.1 billion yen</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spacing w:after="0"/>
              <w:rPr>
                <w:sz w:val="20"/>
                <w:szCs w:val="20"/>
                <w:color w:val="auto"/>
              </w:rPr>
            </w:pPr>
            <w:r>
              <w:rPr>
                <w:rFonts w:ascii="Arial" w:cs="Arial" w:eastAsia="Arial" w:hAnsi="Arial"/>
                <w:sz w:val="18"/>
                <w:szCs w:val="18"/>
                <w:color w:val="auto"/>
              </w:rPr>
              <w:t>0.7 billion yen ($5.9</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0.66%</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Principal amount was paid in</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million as of</w:t>
            </w:r>
          </w:p>
        </w:tc>
        <w:tc>
          <w:tcPr>
            <w:tcW w:w="1060" w:type="dxa"/>
            <w:vAlign w:val="bottom"/>
          </w:tcPr>
          <w:p>
            <w:pPr>
              <w:spacing w:after="0"/>
              <w:rPr>
                <w:sz w:val="17"/>
                <w:szCs w:val="17"/>
                <w:color w:val="auto"/>
              </w:rPr>
            </w:pPr>
          </w:p>
        </w:tc>
        <w:tc>
          <w:tcPr>
            <w:tcW w:w="2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full during July 2018.</w:t>
            </w: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December 31,</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7"/>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77"/>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Convertible note:</w:t>
            </w:r>
          </w:p>
        </w:tc>
        <w:tc>
          <w:tcPr>
            <w:tcW w:w="1620" w:type="dxa"/>
            <w:vAlign w:val="bottom"/>
            <w:gridSpan w:val="2"/>
          </w:tcPr>
          <w:p>
            <w:pPr>
              <w:spacing w:after="0"/>
              <w:rPr>
                <w:sz w:val="20"/>
                <w:szCs w:val="20"/>
                <w:color w:val="auto"/>
              </w:rPr>
            </w:pPr>
            <w:r>
              <w:rPr>
                <w:rFonts w:ascii="Arial" w:cs="Arial" w:eastAsia="Arial" w:hAnsi="Arial"/>
                <w:sz w:val="18"/>
                <w:szCs w:val="18"/>
                <w:color w:val="auto"/>
              </w:rPr>
              <w:t>$210.0 million</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spacing w:after="0"/>
              <w:rPr>
                <w:sz w:val="20"/>
                <w:szCs w:val="20"/>
                <w:color w:val="auto"/>
              </w:rPr>
            </w:pPr>
            <w:r>
              <w:rPr>
                <w:rFonts w:ascii="Arial" w:cs="Arial" w:eastAsia="Arial" w:hAnsi="Arial"/>
                <w:sz w:val="18"/>
                <w:szCs w:val="18"/>
                <w:color w:val="auto"/>
              </w:rPr>
              <w:t>$210.0 million</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4.75%</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Principal amount was paid in</w:t>
            </w:r>
          </w:p>
        </w:tc>
      </w:tr>
      <w:tr>
        <w:trPr>
          <w:trHeight w:val="217"/>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full during April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09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20" w:hanging="652"/>
        <w:spacing w:after="0" w:line="212" w:lineRule="auto"/>
        <w:tabs>
          <w:tab w:leader="none" w:pos="66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As of September 30, 2018, the current portion of the Company’s debt (i.e. becoming due in the next 12 months) included $20.0 million of the balance of its U.S. dollar denominated debt under the New Credit Agreement facility. The Company has classified the $62.5 million borrowed under the revolving line of credit as short-term debt because it is the Company’s intention to use the line of credit to borrow and pay back funds over short periods of time.</w:t>
      </w:r>
    </w:p>
    <w:p>
      <w:pPr>
        <w:spacing w:after="0" w:line="230" w:lineRule="exact"/>
        <w:rPr>
          <w:rFonts w:ascii="Arial" w:cs="Arial" w:eastAsia="Arial" w:hAnsi="Arial"/>
          <w:sz w:val="27"/>
          <w:szCs w:val="27"/>
          <w:color w:val="auto"/>
          <w:vertAlign w:val="superscript"/>
        </w:rPr>
      </w:pPr>
    </w:p>
    <w:p>
      <w:pPr>
        <w:ind w:left="660" w:right="160" w:hanging="652"/>
        <w:spacing w:after="0" w:line="212" w:lineRule="auto"/>
        <w:tabs>
          <w:tab w:leader="none" w:pos="66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The carrying value of the debt reflects the amounts stated in the above table less debt issuance costs of $4.2 million as of September 30, 2018 related to the credit agreement; and a debt discount of $9.1 million and debt issuance costs of $4.0 million (consisting of $11.1 million related to the Convertible Note and $2.0 million related to the credit agreement) as of December 31, 2017, which is not reflected in this table.</w:t>
      </w:r>
    </w:p>
    <w:p>
      <w:pPr>
        <w:sectPr>
          <w:pgSz w:w="11900" w:h="16838" w:orient="portrait"/>
          <w:cols w:equalWidth="0" w:num="1">
            <w:col w:w="11420"/>
          </w:cols>
          <w:pgMar w:left="240" w:top="122"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carrying value of financial instruments including cash and cash equivalents, accounts receivable and accounts payable approximate fair values due to the short-term nature of these instruments. The Company’s current investments as of September 30, 2018 include certificates of deposits and pre-refunded municipal bonds that are classified by management as held-to-maturity as the Company had the positive intent and ability to hold to maturity. The carrying value of these current investments approximate fair values due to the short-term nature of these instruments. The Company has classified these instruments as Level 2 in the fair value hierarchy. Fair value estimates are made at a specific point in time, based on relevant market information.</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23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23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following tables present the fair value hierarchy for those assets and liabilities measured at fair value on a recurring basis (U.S. dollars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rPr>
              <w:t>Fair Value at September 30, 2018</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Cash equivalents and current investments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38,282</w:t>
            </w:r>
          </w:p>
        </w:tc>
        <w:tc>
          <w:tcPr>
            <w:tcW w:w="38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38,282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3,582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Forward contracts</w:t>
            </w:r>
          </w:p>
        </w:tc>
        <w:tc>
          <w:tcPr>
            <w:tcW w:w="20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Life insurance contracts</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39,248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39,248</w:t>
            </w: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81,112</w:t>
            </w:r>
          </w:p>
        </w:tc>
        <w:tc>
          <w:tcPr>
            <w:tcW w:w="20" w:type="dxa"/>
            <w:vAlign w:val="bottom"/>
          </w:tcPr>
          <w:p>
            <w:pPr>
              <w:spacing w:after="0"/>
              <w:rPr>
                <w:sz w:val="17"/>
                <w:szCs w:val="17"/>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6"/>
        </w:trPr>
        <w:tc>
          <w:tcPr>
            <w:tcW w:w="3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Fair Value at December 31, 2017</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Cash equivalents and current investments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36,531</w:t>
            </w:r>
          </w:p>
        </w:tc>
        <w:tc>
          <w:tcPr>
            <w:tcW w:w="38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36,531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3,726</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Forward contracts</w:t>
            </w:r>
          </w:p>
        </w:tc>
        <w:tc>
          <w:tcPr>
            <w:tcW w:w="20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w:t>
            </w:r>
          </w:p>
        </w:tc>
      </w:tr>
      <w:tr>
        <w:trPr>
          <w:trHeight w:val="210"/>
        </w:trPr>
        <w:tc>
          <w:tcPr>
            <w:tcW w:w="3780" w:type="dxa"/>
            <w:vAlign w:val="bottom"/>
          </w:tcPr>
          <w:p>
            <w:pPr>
              <w:spacing w:after="0" w:line="203" w:lineRule="exact"/>
              <w:rPr>
                <w:sz w:val="20"/>
                <w:szCs w:val="20"/>
                <w:color w:val="auto"/>
              </w:rPr>
            </w:pPr>
            <w:r>
              <w:rPr>
                <w:rFonts w:ascii="Arial" w:cs="Arial" w:eastAsia="Arial" w:hAnsi="Arial"/>
                <w:sz w:val="18"/>
                <w:szCs w:val="18"/>
                <w:color w:val="auto"/>
              </w:rPr>
              <w:t>Life insurance contracts</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37,737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37,737</w:t>
            </w: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40,257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78,152</w:t>
            </w:r>
          </w:p>
        </w:tc>
        <w:tc>
          <w:tcPr>
            <w:tcW w:w="20" w:type="dxa"/>
            <w:vAlign w:val="bottom"/>
          </w:tcPr>
          <w:p>
            <w:pPr>
              <w:spacing w:after="0"/>
              <w:rPr>
                <w:sz w:val="17"/>
                <w:szCs w:val="17"/>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fair value of the Company’s Level 3 marketable securities (U.S.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r>
              <w:rPr>
                <w:rFonts w:ascii="Arial" w:cs="Arial" w:eastAsia="Arial" w:hAnsi="Arial"/>
                <w:sz w:val="18"/>
                <w:szCs w:val="18"/>
                <w:b w:val="1"/>
                <w:bCs w:val="1"/>
                <w:color w:val="auto"/>
              </w:rPr>
              <w:t>Life Insurance Contracts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6700" w:type="dxa"/>
            <w:vAlign w:val="bottom"/>
          </w:tcPr>
          <w:p>
            <w:pPr>
              <w:spacing w:after="0"/>
              <w:rPr>
                <w:sz w:val="20"/>
                <w:szCs w:val="20"/>
                <w:color w:val="auto"/>
              </w:rPr>
            </w:pPr>
            <w:r>
              <w:rPr>
                <w:rFonts w:ascii="Arial" w:cs="Arial" w:eastAsia="Arial" w:hAnsi="Arial"/>
                <w:sz w:val="18"/>
                <w:szCs w:val="18"/>
                <w:color w:val="auto"/>
              </w:rPr>
              <w:t>Beginning balance at January 1, 2018</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37,737</w:t>
            </w:r>
          </w:p>
        </w:tc>
        <w:tc>
          <w:tcPr>
            <w:tcW w:w="40" w:type="dxa"/>
            <w:vAlign w:val="bottom"/>
          </w:tcPr>
          <w:p>
            <w:pPr>
              <w:spacing w:after="0"/>
              <w:rPr>
                <w:sz w:val="24"/>
                <w:szCs w:val="24"/>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Actual return on plan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1,746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Purchases and issuances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Sales and settlements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(235)</w:t>
            </w:r>
          </w:p>
        </w:tc>
      </w:tr>
      <w:tr>
        <w:trPr>
          <w:trHeight w:val="210"/>
        </w:trPr>
        <w:tc>
          <w:tcPr>
            <w:tcW w:w="6700" w:type="dxa"/>
            <w:vAlign w:val="bottom"/>
          </w:tcPr>
          <w:p>
            <w:pPr>
              <w:ind w:left="180"/>
              <w:spacing w:after="0" w:line="203" w:lineRule="exact"/>
              <w:rPr>
                <w:sz w:val="20"/>
                <w:szCs w:val="20"/>
                <w:color w:val="auto"/>
              </w:rPr>
            </w:pPr>
            <w:r>
              <w:rPr>
                <w:rFonts w:ascii="Arial" w:cs="Arial" w:eastAsia="Arial" w:hAnsi="Arial"/>
                <w:sz w:val="18"/>
                <w:szCs w:val="18"/>
                <w:color w:val="auto"/>
              </w:rPr>
              <w:t>Transfers into Level 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Ending balance at September 30, 2018</w:t>
            </w:r>
          </w:p>
        </w:tc>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39,248</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4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new standard was effective for the Company in the first quarter of 2018. As a result of adopting this new accounting guidance, the Company has changed the method of accounting for its loyalty points program from a cost provision method to a deferred revenue method. The Company adopted the new standard effective January 1, 2018 using the modified retrospective transition method. The cumulative impact of adoption was a $11.2 million net reduction to beginning retained earnings. See Note 16 – Revenue Recognition.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(Subtopic 842)</w:t>
      </w:r>
      <w:r>
        <w:rPr>
          <w:rFonts w:ascii="Arial" w:cs="Arial" w:eastAsia="Arial" w:hAnsi="Arial"/>
          <w:sz w:val="18"/>
          <w:szCs w:val="18"/>
          <w:color w:val="auto"/>
        </w:rPr>
        <w:t>. ASU 2016-02 will require companies to recognize lease assets and lease liabilities on the balance sheet and disclose key information about leasing arrangements. For public companies, this standard is effective for annual reporting periods beginning after December 15, 2018, and early adoption is permitted. The Company is currently evaluating the impacts that this standard will have on its Consolidated Financial Statements. The Company expects the adoption will result in a material increase to the assets and liabilities on the Consolidated Balance Sheet, but we do not expect a material impact on the Consolidated Statements of Income or Consolidated Statements of Cash Flows. The Company will adopt the standard in the first quarter of 2019 and apply the standard prospectively as of the adoption date.</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objective of this update was to simplify several aspects of the accounting for employee share-based payment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accounting for income taxes related to share-based compensation, the related classification in the statement of cash-flows, and accounting for share award forfeitures. This ASU was effective for the Company beginning on January 1, 2017. Prior to January 1, 2017, excess tax benefits were recognized in equity. As permitted, the Company elected to classify excess tax benefits as an operating activity in the Statement of Cash Flows instead of as a financing activity on a prospective basis and did not retroactively adjust prior periods. As also permitted by the new guidance, beginning January 1, 2017 the Company has elected to account for share award forfeitures as they occur. Previously, share-based compensation expense was recorded net of estimated forfeitures. A cumulative adjustment of $2.8 million was recorded to retained earnings and additional paid-in capital as of January 1, 2017. Prior periods were not retroactively adjusted.</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the second half of 2016, the FASB issued ASU 2016-15, </w:t>
      </w:r>
      <w:r>
        <w:rPr>
          <w:rFonts w:ascii="Arial" w:cs="Arial" w:eastAsia="Arial" w:hAnsi="Arial"/>
          <w:sz w:val="18"/>
          <w:szCs w:val="18"/>
          <w:i w:val="1"/>
          <w:iCs w:val="1"/>
          <w:color w:val="auto"/>
        </w:rPr>
        <w:t>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Payments</w:t>
      </w:r>
      <w:r>
        <w:rPr>
          <w:rFonts w:ascii="Arial" w:cs="Arial" w:eastAsia="Arial" w:hAnsi="Arial"/>
          <w:sz w:val="18"/>
          <w:szCs w:val="18"/>
          <w:color w:val="auto"/>
        </w:rPr>
        <w:t>, and 2016-18,</w:t>
      </w:r>
      <w:r>
        <w:rPr>
          <w:rFonts w:ascii="Arial" w:cs="Arial" w:eastAsia="Arial" w:hAnsi="Arial"/>
          <w:sz w:val="18"/>
          <w:szCs w:val="18"/>
          <w:i w:val="1"/>
          <w:iCs w:val="1"/>
          <w:color w:val="auto"/>
        </w:rPr>
        <w:t xml:space="preserve"> Statement of Cash Flows (Topic 230): Restricted Cash. </w:t>
      </w:r>
      <w:r>
        <w:rPr>
          <w:rFonts w:ascii="Arial" w:cs="Arial" w:eastAsia="Arial" w:hAnsi="Arial"/>
          <w:sz w:val="18"/>
          <w:szCs w:val="18"/>
          <w:color w:val="auto"/>
        </w:rPr>
        <w:t>The objective of these updates is to reduce the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in practice in the classification of certain cash receipts and cash payments, and the presentation of restricted cash within an entity’s statement of cash flows, respectively. These ASUs are effective for interim and annual fiscal periods beginning after December 15, 2017. Early adoption is permitted. The adoption of this guidance did not have a material impact on the Company’s consolidated financial statements.</w:t>
      </w:r>
    </w:p>
    <w:p>
      <w:pPr>
        <w:spacing w:after="0" w:line="21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w:t>
      </w:r>
      <w:r>
        <w:rPr>
          <w:rFonts w:ascii="Arial" w:cs="Arial" w:eastAsia="Arial" w:hAnsi="Arial"/>
          <w:sz w:val="18"/>
          <w:szCs w:val="18"/>
          <w:color w:val="auto"/>
        </w:rPr>
        <w:t xml:space="preserve"> Business. This guidance revises the definition of a business as it relates to acquisitions, disposals, goodwill impairments and consolidations. This ASU is effective for annual periods beginning after December 15, 2017. Early adoption is permitted. The adoption of this guidance did not have a material impact on the Company’s consolidated financial statements.</w:t>
      </w:r>
    </w:p>
    <w:p>
      <w:pPr>
        <w:spacing w:after="0" w:line="20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guidance simplifies the required test of goodwill for impairment by eliminating Step 2 from the goodwill impairment test. If a company determines in Step 1 of the goodwill impairment test that the carrying value of a reporting unit is less than the fair value, an impairment in that amount should be recorded to the income statement, rather than proceeding to Step 2. This ASU is effective for interim and annual impairment tests in fiscal years beginning after December 15, 2019. Early adoption is permitted. The adoption of this guidance is not expected to have a material impact on the Company’s consolidated financial statements.</w:t>
      </w:r>
    </w:p>
    <w:p>
      <w:pPr>
        <w:spacing w:after="0" w:line="21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In December 2017, the FASB issued ASU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505050"/>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new standard makes more financial and non-financial hedging strategies eligible for hedge accounting. It also amends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and changes how companies assess effectiveness. For public companies, the amendments in this ASU are effective for fiscal years beginning after December 15, 2018, and interim periods within those fiscal years. Early adoption is permitted in any interim period. The adoption of this guidance is not expected to have a material impact on the Company’s consolidated financial statements.</w:t>
      </w:r>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w:t>
      </w:r>
      <w:r>
        <w:rPr>
          <w:rFonts w:ascii="Arial" w:cs="Arial" w:eastAsia="Arial" w:hAnsi="Arial"/>
          <w:sz w:val="18"/>
          <w:szCs w:val="18"/>
          <w:color w:val="auto"/>
        </w:rPr>
        <w:t>This guidance provides an option to reclassify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retained earnings the stranded tax effects resulting from the Tax Cuts and Jobs Act of 2017. This ASU is effective for interim and annual periods beginning after December 15, 2018. Early adoption is permitted. The Company is currently evaluating the impact of this standard on its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guidance modifies, removes, and adds certain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ASU is effective for annual periods beginning after December 15, 2019, including interim periods therein. Early adoption is permitted. The Company is currently evaluating the impact of this standard on its consolidated financial statements.</w:t>
      </w:r>
    </w:p>
    <w:p>
      <w:pPr>
        <w:spacing w:after="0" w:line="20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COST OF SALES</w:t>
      </w:r>
    </w:p>
    <w:p>
      <w:pPr>
        <w:spacing w:after="0" w:line="26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Tokyo District Court and, on appeal in 2017, the Tokyo High Court upheld the Japan customs authorities’ customs assessments related to the importation of several of the Company’s products into Japan. The Company appealed the High Court’s decision to the Japan Supreme Court. In May 2018, the Japan Supreme Court declined to hear the Company’s appeal. Accordingly, this matter is now closed.</w:t>
      </w:r>
    </w:p>
    <w:p>
      <w:pPr>
        <w:spacing w:after="0" w:line="230"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As previously disclosed, the Company already recorded a charge of $31.4 million to cost of sales in the first quarter of 2016, when the District Court issued its decision. This charge represents the full amount being disputed. It was a non-cash item because the Company was previously required to pay the assessments.</w:t>
      </w:r>
    </w:p>
    <w:p>
      <w:pPr>
        <w:spacing w:after="0" w:line="20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6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January 22, 2018, the Company acquired the remaining 73% ownership in Innuvate Health Sciences, LLC (“Innuvate”), which owns a 92% interest in a nutritional product manufacturer. Prior to this acquisition, the Company owned 27% of Innuvate and accounted for it using the equity method. The remaining 8% ownership in the manufacturer will continue to be held by an unrelated third party. Under the terms of the agreement, the Company paid $23.5 million in cash and shares of the Company in exchange for the 73% ownership in Innuvate, subject to adjustment for certain closing items. Innuvate is a contract manufacturer that specializes in softgel and hardshell capsule manufacturing.</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February 12, 2018, the Company acquired the remaining 65% ownership in Treviso, LLC (“Treviso”), making Treviso a wholly owned subsidiary of the Company. Treviso is a personal care product manufacturer. Prior to this acquisition, the Company owned 35% of Treviso and accounted for it using the equity method. Under the terms of the purchase agreement, the Company has paid $83.9 million in cash and shares of the Company in exchange for the 65% ownership in Treviso, subject to adjustment for certain closing items. Treviso is a liquid contract manufacturing laboratory for premium personal care products.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February 12, 2018, the Company acquired 100% ownership in L&amp;W Holdings, Inc. (“L&amp;W”) making L&amp;W a wholly owned subsidiary of the Company. L&amp;W is a packaging supplier company. Under the terms of the purchase agreement, the Company paid $25.0 million in shares of the Company in exchange for 100% ownership in L&amp;W, subject to adjustment for certain closing items. L&amp;W specializes in the distribution and packaging of products in the cosmetic and nutritional industries.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consideration transferred for the acquisitions disclosed above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L&amp;W</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2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Innuvate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Treviso</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Holdings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91"/>
        </w:trPr>
        <w:tc>
          <w:tcPr>
            <w:tcW w:w="6080" w:type="dxa"/>
            <w:vAlign w:val="bottom"/>
            <w:gridSpan w:val="2"/>
          </w:tcPr>
          <w:p>
            <w:pPr>
              <w:spacing w:after="0"/>
              <w:rPr>
                <w:sz w:val="20"/>
                <w:szCs w:val="20"/>
                <w:color w:val="auto"/>
              </w:rPr>
            </w:pPr>
            <w:r>
              <w:rPr>
                <w:rFonts w:ascii="Arial" w:cs="Arial" w:eastAsia="Arial" w:hAnsi="Arial"/>
                <w:sz w:val="18"/>
                <w:szCs w:val="18"/>
                <w:color w:val="auto"/>
              </w:rPr>
              <w:t>Total cash consideration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14,648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32,235</w:t>
            </w:r>
          </w:p>
        </w:tc>
      </w:tr>
      <w:tr>
        <w:trPr>
          <w:trHeight w:val="210"/>
        </w:trPr>
        <w:tc>
          <w:tcPr>
            <w:tcW w:w="6080" w:type="dxa"/>
            <w:vAlign w:val="bottom"/>
            <w:gridSpan w:val="2"/>
          </w:tcPr>
          <w:p>
            <w:pPr>
              <w:spacing w:after="0" w:line="203" w:lineRule="exact"/>
              <w:rPr>
                <w:sz w:val="20"/>
                <w:szCs w:val="20"/>
                <w:color w:val="auto"/>
              </w:rPr>
            </w:pPr>
            <w:r>
              <w:rPr>
                <w:rFonts w:ascii="Arial" w:cs="Arial" w:eastAsia="Arial" w:hAnsi="Arial"/>
                <w:sz w:val="18"/>
                <w:szCs w:val="18"/>
                <w:color w:val="auto"/>
              </w:rPr>
              <w:t>Shares issued in conjunction with acquisition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5,863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69,252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100,115</w:t>
            </w:r>
          </w:p>
        </w:tc>
      </w:tr>
      <w:tr>
        <w:trPr>
          <w:trHeight w:val="188"/>
        </w:trPr>
        <w:tc>
          <w:tcPr>
            <w:tcW w:w="6080" w:type="dxa"/>
            <w:vAlign w:val="bottom"/>
            <w:gridSpan w:val="2"/>
          </w:tcPr>
          <w:p>
            <w:pPr>
              <w:spacing w:after="0" w:line="189" w:lineRule="exact"/>
              <w:rPr>
                <w:sz w:val="20"/>
                <w:szCs w:val="20"/>
                <w:color w:val="auto"/>
              </w:rPr>
            </w:pPr>
            <w:r>
              <w:rPr>
                <w:rFonts w:ascii="Arial" w:cs="Arial" w:eastAsia="Arial" w:hAnsi="Arial"/>
                <w:sz w:val="18"/>
                <w:szCs w:val="18"/>
                <w:color w:val="auto"/>
              </w:rPr>
              <w:t>Total consideration</w:t>
            </w: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23,450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83,900</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132,350</w:t>
            </w:r>
          </w:p>
        </w:tc>
        <w:tc>
          <w:tcPr>
            <w:tcW w:w="20" w:type="dxa"/>
            <w:vAlign w:val="bottom"/>
          </w:tcPr>
          <w:p>
            <w:pPr>
              <w:spacing w:after="0"/>
              <w:rPr>
                <w:sz w:val="16"/>
                <w:szCs w:val="16"/>
                <w:color w:val="auto"/>
              </w:rPr>
            </w:pPr>
          </w:p>
        </w:tc>
      </w:tr>
      <w:tr>
        <w:trPr>
          <w:trHeight w:val="224"/>
        </w:trPr>
        <w:tc>
          <w:tcPr>
            <w:tcW w:w="6080" w:type="dxa"/>
            <w:vAlign w:val="bottom"/>
            <w:gridSpan w:val="2"/>
          </w:tcPr>
          <w:p>
            <w:pPr>
              <w:spacing w:after="0" w:line="217" w:lineRule="exact"/>
              <w:rPr>
                <w:sz w:val="20"/>
                <w:szCs w:val="20"/>
                <w:color w:val="auto"/>
              </w:rPr>
            </w:pPr>
            <w:r>
              <w:rPr>
                <w:rFonts w:ascii="Arial" w:cs="Arial" w:eastAsia="Arial" w:hAnsi="Arial"/>
                <w:sz w:val="16"/>
                <w:szCs w:val="16"/>
                <w:color w:val="auto"/>
              </w:rPr>
              <w:t>Previously held equity interest in equity method Investments</w:t>
            </w:r>
            <w:r>
              <w:rPr>
                <w:rFonts w:ascii="Arial" w:cs="Arial" w:eastAsia="Arial" w:hAnsi="Arial"/>
                <w:sz w:val="25"/>
                <w:szCs w:val="25"/>
                <w:color w:val="auto"/>
                <w:vertAlign w:val="superscript"/>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30,281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39,029</w:t>
            </w:r>
          </w:p>
        </w:tc>
      </w:tr>
      <w:tr>
        <w:trPr>
          <w:trHeight w:val="203"/>
        </w:trPr>
        <w:tc>
          <w:tcPr>
            <w:tcW w:w="60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32,198</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114,181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171,379</w:t>
            </w:r>
          </w:p>
        </w:tc>
        <w:tc>
          <w:tcPr>
            <w:tcW w:w="20" w:type="dxa"/>
            <w:vAlign w:val="bottom"/>
          </w:tcPr>
          <w:p>
            <w:pPr>
              <w:spacing w:after="0"/>
              <w:rPr>
                <w:sz w:val="17"/>
                <w:szCs w:val="17"/>
                <w:color w:val="auto"/>
              </w:rPr>
            </w:pPr>
          </w:p>
        </w:tc>
      </w:tr>
      <w:tr>
        <w:trPr>
          <w:trHeight w:val="21"/>
        </w:trPr>
        <w:tc>
          <w:tcPr>
            <w:tcW w:w="2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860" w:type="dxa"/>
            <w:vAlign w:val="bottom"/>
            <w:tcBorders>
              <w:bottom w:val="single" w:sz="8" w:color="auto"/>
            </w:tcBorders>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42" w:lineRule="exact"/>
        <w:rPr>
          <w:sz w:val="20"/>
          <w:szCs w:val="20"/>
          <w:color w:val="auto"/>
        </w:rPr>
      </w:pPr>
    </w:p>
    <w:p>
      <w:pPr>
        <w:ind w:left="660" w:right="100" w:hanging="652"/>
        <w:spacing w:after="0" w:line="219" w:lineRule="auto"/>
        <w:tabs>
          <w:tab w:leader="none" w:pos="66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acquisitions of Innuvate and Treviso are considered step acquisitions, and accordingly, the Company remeasured its pre-existing 27% equity interest in Innuvate and 35% of Treviso immediately prior to completion of the acquisition to its estimated fair value of approximately $39.0 million. As a result of the remeasurement, the Company recorded a gain of approximately $13.6 million within other income (expense), during the first quarter of 2018, representing the excess of the approximate $39.0 million estimated fair value of its pre-existing 27% equity interest in Innuvate and 35% equity interest of Treviso over its transaction date carrying value of approximately $25.4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for the acquisitions disclosed above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Innuvate</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w w:val="99"/>
              </w:rPr>
              <w:t>Treviso</w:t>
            </w:r>
          </w:p>
        </w:tc>
        <w:tc>
          <w:tcPr>
            <w:tcW w:w="2440" w:type="dxa"/>
            <w:vAlign w:val="bottom"/>
            <w:gridSpan w:val="5"/>
          </w:tcPr>
          <w:p>
            <w:pPr>
              <w:ind w:left="560"/>
              <w:spacing w:after="0"/>
              <w:rPr>
                <w:sz w:val="20"/>
                <w:szCs w:val="20"/>
                <w:color w:val="auto"/>
              </w:rPr>
            </w:pPr>
            <w:r>
              <w:rPr>
                <w:rFonts w:ascii="Arial" w:cs="Arial" w:eastAsia="Arial" w:hAnsi="Arial"/>
                <w:sz w:val="18"/>
                <w:szCs w:val="18"/>
                <w:b w:val="1"/>
                <w:bCs w:val="1"/>
                <w:color w:val="auto"/>
              </w:rPr>
              <w:t>L&amp;W Holdings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Life</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Amount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420"/>
              <w:spacing w:after="0" w:line="202" w:lineRule="exact"/>
              <w:rPr>
                <w:sz w:val="20"/>
                <w:szCs w:val="20"/>
                <w:color w:val="auto"/>
              </w:rPr>
            </w:pPr>
            <w:r>
              <w:rPr>
                <w:rFonts w:ascii="Arial" w:cs="Arial" w:eastAsia="Arial" w:hAnsi="Arial"/>
                <w:sz w:val="18"/>
                <w:szCs w:val="18"/>
                <w:color w:val="auto"/>
              </w:rPr>
              <w:t>Life</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420"/>
              <w:spacing w:after="0" w:line="202" w:lineRule="exact"/>
              <w:rPr>
                <w:sz w:val="20"/>
                <w:szCs w:val="20"/>
                <w:color w:val="auto"/>
              </w:rPr>
            </w:pPr>
            <w:r>
              <w:rPr>
                <w:rFonts w:ascii="Arial" w:cs="Arial" w:eastAsia="Arial" w:hAnsi="Arial"/>
                <w:sz w:val="18"/>
                <w:szCs w:val="18"/>
                <w:color w:val="auto"/>
              </w:rPr>
              <w:t>Life</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Amount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660" w:type="dxa"/>
            <w:vAlign w:val="bottom"/>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24"/>
                <w:szCs w:val="24"/>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19,659</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Fixed assets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9,291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33,282</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Customer list</w:t>
            </w:r>
          </w:p>
        </w:tc>
        <w:tc>
          <w:tcPr>
            <w:tcW w:w="1040" w:type="dxa"/>
            <w:vAlign w:val="bottom"/>
          </w:tcPr>
          <w:p>
            <w:pPr>
              <w:ind w:left="240"/>
              <w:spacing w:after="0" w:line="202" w:lineRule="exact"/>
              <w:rPr>
                <w:sz w:val="20"/>
                <w:szCs w:val="20"/>
                <w:color w:val="auto"/>
              </w:rPr>
            </w:pPr>
            <w:r>
              <w:rPr>
                <w:rFonts w:ascii="Arial" w:cs="Arial" w:eastAsia="Arial" w:hAnsi="Arial"/>
                <w:sz w:val="18"/>
                <w:szCs w:val="18"/>
                <w:color w:val="auto"/>
              </w:rPr>
              <w:t>9 years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5,100</w:t>
            </w:r>
          </w:p>
        </w:tc>
        <w:tc>
          <w:tcPr>
            <w:tcW w:w="8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9 years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16,500</w:t>
            </w:r>
          </w:p>
        </w:tc>
        <w:tc>
          <w:tcPr>
            <w:tcW w:w="1420" w:type="dxa"/>
            <w:vAlign w:val="bottom"/>
            <w:gridSpan w:val="3"/>
          </w:tcPr>
          <w:p>
            <w:pPr>
              <w:spacing w:after="0" w:line="202" w:lineRule="exact"/>
              <w:rPr>
                <w:sz w:val="20"/>
                <w:szCs w:val="20"/>
                <w:color w:val="auto"/>
              </w:rPr>
            </w:pPr>
            <w:r>
              <w:rPr>
                <w:rFonts w:ascii="Arial" w:cs="Arial" w:eastAsia="Arial" w:hAnsi="Arial"/>
                <w:sz w:val="18"/>
                <w:szCs w:val="18"/>
                <w:color w:val="auto"/>
              </w:rPr>
              <w:t>7 years</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Order backlog</w:t>
            </w:r>
          </w:p>
        </w:tc>
        <w:tc>
          <w:tcPr>
            <w:tcW w:w="1040" w:type="dxa"/>
            <w:vAlign w:val="bottom"/>
          </w:tcPr>
          <w:p>
            <w:pPr>
              <w:ind w:left="240"/>
              <w:spacing w:after="0" w:line="202" w:lineRule="exact"/>
              <w:rPr>
                <w:sz w:val="20"/>
                <w:szCs w:val="20"/>
                <w:color w:val="auto"/>
              </w:rPr>
            </w:pPr>
            <w:r>
              <w:rPr>
                <w:rFonts w:ascii="Arial" w:cs="Arial" w:eastAsia="Arial" w:hAnsi="Arial"/>
                <w:sz w:val="18"/>
                <w:szCs w:val="18"/>
                <w:color w:val="auto"/>
              </w:rPr>
              <w:t>5 months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7"/>
              </w:rPr>
              <w:t>10 months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4,700</w:t>
            </w:r>
          </w:p>
        </w:tc>
        <w:tc>
          <w:tcPr>
            <w:tcW w:w="1420" w:type="dxa"/>
            <w:vAlign w:val="bottom"/>
            <w:gridSpan w:val="3"/>
          </w:tcPr>
          <w:p>
            <w:pPr>
              <w:spacing w:after="0" w:line="202" w:lineRule="exact"/>
              <w:rPr>
                <w:sz w:val="20"/>
                <w:szCs w:val="20"/>
                <w:color w:val="auto"/>
              </w:rPr>
            </w:pPr>
            <w:r>
              <w:rPr>
                <w:rFonts w:ascii="Arial" w:cs="Arial" w:eastAsia="Arial" w:hAnsi="Arial"/>
                <w:sz w:val="18"/>
                <w:szCs w:val="18"/>
                <w:color w:val="auto"/>
              </w:rPr>
              <w:t>4 months</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Trademarks</w:t>
            </w:r>
          </w:p>
        </w:tc>
        <w:tc>
          <w:tcPr>
            <w:tcW w:w="1040" w:type="dxa"/>
            <w:vAlign w:val="bottom"/>
          </w:tcPr>
          <w:p>
            <w:pPr>
              <w:ind w:left="240"/>
              <w:spacing w:after="0" w:line="202" w:lineRule="exact"/>
              <w:rPr>
                <w:sz w:val="20"/>
                <w:szCs w:val="20"/>
                <w:color w:val="auto"/>
              </w:rPr>
            </w:pPr>
            <w:r>
              <w:rPr>
                <w:rFonts w:ascii="Arial" w:cs="Arial" w:eastAsia="Arial" w:hAnsi="Arial"/>
                <w:sz w:val="18"/>
                <w:szCs w:val="18"/>
                <w:color w:val="auto"/>
              </w:rPr>
              <w:t>7 years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w:t>
            </w:r>
          </w:p>
        </w:tc>
        <w:tc>
          <w:tcPr>
            <w:tcW w:w="8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6 years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1,300</w:t>
            </w:r>
          </w:p>
        </w:tc>
        <w:tc>
          <w:tcPr>
            <w:tcW w:w="1420" w:type="dxa"/>
            <w:vAlign w:val="bottom"/>
            <w:gridSpan w:val="3"/>
          </w:tcPr>
          <w:p>
            <w:pPr>
              <w:spacing w:after="0" w:line="202" w:lineRule="exact"/>
              <w:rPr>
                <w:sz w:val="20"/>
                <w:szCs w:val="20"/>
                <w:color w:val="auto"/>
              </w:rPr>
            </w:pPr>
            <w:r>
              <w:rPr>
                <w:rFonts w:ascii="Arial" w:cs="Arial" w:eastAsia="Arial" w:hAnsi="Arial"/>
                <w:sz w:val="18"/>
                <w:szCs w:val="18"/>
                <w:color w:val="auto"/>
              </w:rPr>
              <w:t>5 years</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(3,942)</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(3,740)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6"/>
                <w:szCs w:val="16"/>
                <w:color w:val="auto"/>
              </w:rPr>
              <w:t>Total identifiable net assets acquired</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17,768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71,701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17,230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42,480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Fair value of noncontrolling interest</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(2,800)</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6"/>
                <w:szCs w:val="16"/>
                <w:color w:val="auto"/>
              </w:rPr>
              <w:t>Total consideration and value to be allocated to net</w:t>
            </w: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vMerge w:val="restart"/>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32,198</w:t>
            </w:r>
          </w:p>
        </w:tc>
        <w:tc>
          <w:tcPr>
            <w:tcW w:w="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114,181</w:t>
            </w: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87"/>
        </w:trPr>
        <w:tc>
          <w:tcPr>
            <w:tcW w:w="3660" w:type="dxa"/>
            <w:vAlign w:val="bottom"/>
          </w:tcPr>
          <w:p>
            <w:pPr>
              <w:ind w:left="140"/>
              <w:spacing w:after="0"/>
              <w:rPr>
                <w:sz w:val="20"/>
                <w:szCs w:val="20"/>
                <w:color w:val="auto"/>
              </w:rPr>
            </w:pPr>
            <w:r>
              <w:rPr>
                <w:rFonts w:ascii="Arial" w:cs="Arial" w:eastAsia="Arial" w:hAnsi="Arial"/>
                <w:sz w:val="16"/>
                <w:szCs w:val="16"/>
                <w:color w:val="auto"/>
              </w:rPr>
              <w:t>assets</w:t>
            </w:r>
          </w:p>
        </w:tc>
        <w:tc>
          <w:tcPr>
            <w:tcW w:w="10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Pro forma and historical results of operations for the acquired companies have not been presented because they are not material, either individually or in the aggregate, to the company’s consolidated financial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606, “Revenue from Contracts with Customers”</w:t>
      </w:r>
    </w:p>
    <w:p>
      <w:pPr>
        <w:spacing w:after="0" w:line="26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On January 1, 2018, the Company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Topic 605.</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recorded a net reduction to opening retained earnings of $11.2 million, net of tax, as of January 1, 2018 due to the cumulative impact of adopting Topic 606, with the impact primarily related to our loyalty point program deferrals. The impact to revenues as a result of applying Topic 606 for the three- and nine-months ended September 30, 2018 was an increase of $0.1 million and a decrease of $1.2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sales include products and shipping and handling charges, net of estimates for product returns and any related sales incentives. Revenue is measured as the amount of consideration we expect to receive in exchange for transferring products. All revenue is recognized when we satisfy our performance obligations under the contract. The Company recognizes revenue by transferring the promised products to the customer, with revenue recognized at shipping point, the point in time the customer obtains control of the products. The Company recognizes revenue for shipping and handling charges at the time the products are delivered to or picked up by the customer. The Company estimates product returns based on historical return rates. The majority of the Company’s contracts have a single performance obligation and are short term in nature. Sales taxes and value added taxes in foreign jurisdictions that are collected from customers and remitted to governmental authorities are accounted for on a net basis and therefore are excluded from net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 – Customer Loyalty Programs</w:t>
      </w:r>
    </w:p>
    <w:p>
      <w:pPr>
        <w:spacing w:after="0" w:line="26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Contract liabilities, recorded as deferred revenue within the accrued expenses line in the Condensed Consolidated Balance Sheets, include loyalty point program deferrals with certain customers which are accounted for as a reduction in the transaction price and are generally recognized as points are redeemed for additional products on an annual basis.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recorded customer loyalty points under the cost provision method prior to the adoption of Topic 606. The loyalty point liability under the cost provision methodology was $1.9 million as of December 31, 2017. The Company recorded an additional liability of $11.2 million due to the cumulative impact of adopting Topic 606. The balance of deferred revenue related to contract liabilities was $14.2 million as of September 30, 2018, and $13 million as of the beginning period upon adoption of the Topic 606.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6 - Segment Information for revenue by segment and product 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 Performance Obligations</w:t>
      </w:r>
    </w:p>
    <w:p>
      <w:pPr>
        <w:spacing w:after="0" w:line="2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contracts with customers may include multiple performance obligations. For such arrangements, the Company allocates revenues to each performance obligation based on its relative standalone selling price. The Company generally determines standalone selling prices based on the prices charged to customers for individual products sales to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expenses sales commissions when incurred because the amortization period would have been one year or less.</w:t>
      </w:r>
    </w:p>
    <w:p>
      <w:pPr>
        <w:spacing w:after="0"/>
        <w:rPr>
          <w:sz w:val="20"/>
          <w:szCs w:val="20"/>
          <w:color w:val="auto"/>
        </w:rPr>
      </w:pPr>
      <w:r>
        <w:rPr>
          <w:rFonts w:ascii="Arial" w:cs="Arial" w:eastAsia="Arial" w:hAnsi="Arial"/>
          <w:sz w:val="18"/>
          <w:szCs w:val="18"/>
          <w:color w:val="auto"/>
        </w:rPr>
        <w:t>These costs are recorded within selling expenses.</w:t>
      </w:r>
    </w:p>
    <w:p>
      <w:pPr>
        <w:spacing w:after="0" w:line="23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Company does not disclose the value of unsatisfied performance obligations for contracts with an original expected length of one year or less.</w:t>
      </w: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6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opportunities and risks; statements of projections regarding future sales, expenses, operating results, taxes and duties, capital expenditures, sources and uses of cash, foreign currency fluctuations or devaluations, and other financial items; statements of management’s expectations and beliefs regarding our markets; statements regarding the payment of future dividends and stock repurchases; statements regarding the outcome of litigation, audits or investigations; accounting estimates and assumptions; statements of belief; and statements of assumptions underlying any of the foregoing. In some cases, you can identify these statements by forward-looking words such as “believe,” “expect,” “project,” “anticipate,” “estimate,” “intend,” “plan,” “targets,”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2017 fiscal year and in our subsequent reports.</w:t>
      </w:r>
    </w:p>
    <w:p>
      <w:pPr>
        <w:spacing w:after="0" w:line="22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2017 fiscal year, and our other reports filed with the Securities and Exchange Commission through the date of this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Revenue for the three-month period ended September 30, 2018 increased 20% to $675.3 million, compared to $563.7 million in the prior-year period, and revenue for the nine-month period ended September 30, 2018 increased 24% to $2.0 billion, compared to $1.6 billion in the prior-year period. Sales Leaders increased 14% and Customers increased 9% on a year-over-year basis.</w:t>
      </w:r>
    </w:p>
    <w:p>
      <w:pPr>
        <w:spacing w:after="0" w:line="21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The growth in our business reflects success with our growth strategy that focuses on platforms, products and programs. Our </w:t>
      </w:r>
      <w:r>
        <w:rPr>
          <w:rFonts w:ascii="Arial" w:cs="Arial" w:eastAsia="Arial" w:hAnsi="Arial"/>
          <w:sz w:val="18"/>
          <w:szCs w:val="18"/>
          <w:i w:val="1"/>
          <w:iCs w:val="1"/>
          <w:color w:val="auto"/>
        </w:rPr>
        <w:t>ageLOC LumiSpa</w:t>
      </w:r>
      <w:r>
        <w:rPr>
          <w:rFonts w:ascii="Arial" w:cs="Arial" w:eastAsia="Arial" w:hAnsi="Arial"/>
          <w:sz w:val="18"/>
          <w:szCs w:val="18"/>
          <w:color w:val="auto"/>
        </w:rPr>
        <w:t xml:space="preserve"> skin treatment and cleansing device continues to generate strong sales and sales force engagement, particularly in our Mainland China and Southeast Asia segments. We believe our Velocity sales compensation program enhancements, which we have rolled out to many of our markets, also helped drive increases in Customer and Sales Leader activity. Our Sales Leaders also continued to have success with social selling initiatives, particularly in our Americas/Pacific, Southeast Asia and EMEA segments.</w:t>
      </w:r>
    </w:p>
    <w:p>
      <w:pPr>
        <w:spacing w:after="0" w:line="230"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Our revenue also benefited 5% in the third quarter and 4% in the first nine months of 2018, compared to the respective prior-year periods, from the businesses we acquired during the first quarter of 2018. Our revenue was negatively impacted 3% from foreign-currency fluctuations in the third quarter of 2018, and it benefited 2% in the first nine months of 2018 compared to the respective prior-year periods.</w:t>
      </w:r>
    </w:p>
    <w:p>
      <w:pPr>
        <w:spacing w:after="0" w:line="23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Earnings per share for the third quarter of 2018 increased 24% to $0.94, compared to $0.76 in the prior-year period. Earnings per share for the first nine months of 2018 increased 21% to $2.47, compared to $2.04 in the prior-year period. These increases in earnings per share were driven primarily by increased revenue in 2018. In the third quarter and first nine months of 2018, we incurred foreign currency translation losses</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of $4.2 million and $13.8 million, respectively. </w:t>
      </w:r>
      <w:r>
        <w:rPr>
          <w:rFonts w:ascii="Arial" w:cs="Arial" w:eastAsia="Arial" w:hAnsi="Arial"/>
          <w:sz w:val="21"/>
          <w:szCs w:val="21"/>
          <w:color w:val="auto"/>
        </w:rPr>
        <w:t>In the nine-month period of 2018, we also incurred a charge of $7.2 million related to the</w:t>
      </w:r>
      <w:r>
        <w:rPr>
          <w:rFonts w:ascii="Arial" w:cs="Arial" w:eastAsia="Arial" w:hAnsi="Arial"/>
          <w:sz w:val="18"/>
          <w:szCs w:val="18"/>
          <w:color w:val="auto"/>
        </w:rPr>
        <w:t xml:space="preserve"> </w:t>
      </w:r>
      <w:r>
        <w:rPr>
          <w:rFonts w:ascii="Arial" w:cs="Arial" w:eastAsia="Arial" w:hAnsi="Arial"/>
          <w:sz w:val="21"/>
          <w:szCs w:val="21"/>
          <w:color w:val="auto"/>
        </w:rPr>
        <w:t>conversion of our then-outstanding convertible notes, offset by a gain of $13.6 million on our step acquisitions in the first quarter of 2018. For more information about these items, see "Other income (expense), net," below.</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6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report our business in seven segments to reflect our current management approach. Effective as of the first quarter of 2018, we reorganized the structure of our segments to reflect that our Pacific region, which was previously managed by our Southeast Asia regional management and was included in our South Asia/Pacific operating segment, is now managed by our Americas regional management and is included in our Americas/Pacific operating segment. Segment information for the three- and nine-month periods ended September 30, 2017 has been recast to reflect this change. Consolidated financial information was not affected.</w:t>
      </w:r>
    </w:p>
    <w:p>
      <w:pPr>
        <w:spacing w:after="0" w:line="2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following table sets forth revenue for the three- and nine-month periods ended September 30, 2018 and 2017 for each of our reportable segments (U.S. 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Constant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right"/>
              <w:ind w:right="660"/>
              <w:spacing w:after="0" w:line="167" w:lineRule="exact"/>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760"/>
              <w:spacing w:after="0" w:line="167" w:lineRule="exact"/>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gridSpan w:val="2"/>
            <w:vMerge w:val="restart"/>
          </w:tcPr>
          <w:p>
            <w:pPr>
              <w:ind w:left="80"/>
              <w:spacing w:after="0" w:line="172" w:lineRule="exact"/>
              <w:rPr>
                <w:sz w:val="20"/>
                <w:szCs w:val="20"/>
                <w:color w:val="auto"/>
              </w:rPr>
            </w:pPr>
            <w:r>
              <w:rPr>
                <w:rFonts w:ascii="Arial" w:cs="Arial" w:eastAsia="Arial" w:hAnsi="Arial"/>
                <w:sz w:val="16"/>
                <w:szCs w:val="16"/>
                <w:b w:val="1"/>
                <w:bCs w:val="1"/>
                <w:color w:val="auto"/>
              </w:rPr>
              <w:t>Currency</w:t>
            </w: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00"/>
              <w:spacing w:after="0" w:line="172"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280" w:type="dxa"/>
            <w:vAlign w:val="bottom"/>
            <w:vMerge w:val="restart"/>
          </w:tcPr>
          <w:p>
            <w:pPr>
              <w:spacing w:after="0"/>
              <w:rPr>
                <w:sz w:val="9"/>
                <w:szCs w:val="9"/>
                <w:color w:val="auto"/>
              </w:rPr>
            </w:pPr>
          </w:p>
        </w:tc>
        <w:tc>
          <w:tcPr>
            <w:tcW w:w="880" w:type="dxa"/>
            <w:vAlign w:val="bottom"/>
            <w:vMerge w:val="restart"/>
          </w:tcPr>
          <w:p>
            <w:pPr>
              <w:ind w:left="60"/>
              <w:spacing w:after="0" w:line="220" w:lineRule="exact"/>
              <w:rPr>
                <w:sz w:val="20"/>
                <w:szCs w:val="20"/>
                <w:color w:val="auto"/>
              </w:rPr>
            </w:pPr>
            <w:r>
              <w:rPr>
                <w:rFonts w:ascii="Arial" w:cs="Arial" w:eastAsia="Arial" w:hAnsi="Arial"/>
                <w:sz w:val="15"/>
                <w:szCs w:val="15"/>
                <w:b w:val="1"/>
                <w:bCs w:val="1"/>
                <w:color w:val="auto"/>
              </w:rPr>
              <w:t>Change</w:t>
            </w:r>
            <w:r>
              <w:rPr>
                <w:rFonts w:ascii="Arial" w:cs="Arial" w:eastAsia="Arial" w:hAnsi="Arial"/>
                <w:sz w:val="25"/>
                <w:szCs w:val="25"/>
                <w:b w:val="1"/>
                <w:bCs w:val="1"/>
                <w:color w:val="auto"/>
                <w:vertAlign w:val="superscript"/>
              </w:rPr>
              <w:t>(1)</w:t>
            </w:r>
          </w:p>
        </w:tc>
        <w:tc>
          <w:tcPr>
            <w:tcW w:w="2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9"/>
                <w:szCs w:val="9"/>
                <w:color w:val="auto"/>
              </w:rPr>
            </w:pPr>
          </w:p>
        </w:tc>
        <w:tc>
          <w:tcPr>
            <w:tcW w:w="9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260" w:type="dxa"/>
            <w:vAlign w:val="bottom"/>
            <w:vMerge w:val="restart"/>
          </w:tcPr>
          <w:p>
            <w:pPr>
              <w:spacing w:after="0"/>
              <w:rPr>
                <w:sz w:val="9"/>
                <w:szCs w:val="9"/>
                <w:color w:val="auto"/>
              </w:rPr>
            </w:pPr>
          </w:p>
        </w:tc>
        <w:tc>
          <w:tcPr>
            <w:tcW w:w="900" w:type="dxa"/>
            <w:vAlign w:val="bottom"/>
            <w:vMerge w:val="restart"/>
          </w:tcPr>
          <w:p>
            <w:pPr>
              <w:ind w:left="80"/>
              <w:spacing w:after="0" w:line="220" w:lineRule="exact"/>
              <w:rPr>
                <w:sz w:val="20"/>
                <w:szCs w:val="20"/>
                <w:color w:val="auto"/>
              </w:rPr>
            </w:pPr>
            <w:r>
              <w:rPr>
                <w:rFonts w:ascii="Arial" w:cs="Arial" w:eastAsia="Arial" w:hAnsi="Arial"/>
                <w:sz w:val="15"/>
                <w:szCs w:val="15"/>
                <w:b w:val="1"/>
                <w:bCs w:val="1"/>
                <w:color w:val="auto"/>
              </w:rPr>
              <w:t>Change</w:t>
            </w:r>
            <w:r>
              <w:rPr>
                <w:rFonts w:ascii="Arial" w:cs="Arial" w:eastAsia="Arial" w:hAnsi="Arial"/>
                <w:sz w:val="25"/>
                <w:szCs w:val="25"/>
                <w:b w:val="1"/>
                <w:bCs w:val="1"/>
                <w:color w:val="auto"/>
                <w:vertAlign w:val="superscript"/>
              </w:rPr>
              <w:t>(1)</w:t>
            </w:r>
          </w:p>
        </w:tc>
        <w:tc>
          <w:tcPr>
            <w:tcW w:w="2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0"/>
                <w:szCs w:val="20"/>
                <w:color w:val="auto"/>
              </w:rPr>
            </w:pPr>
            <w:r>
              <w:rPr>
                <w:rFonts w:ascii="Arial" w:cs="Arial" w:eastAsia="Arial" w:hAnsi="Arial"/>
                <w:sz w:val="18"/>
                <w:szCs w:val="18"/>
                <w:color w:val="auto"/>
              </w:rPr>
              <w:t>Mainland China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226,645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172,556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669,432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494,658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93,580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85,672</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289,859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240,094</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89,963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89,238</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270,517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258,626</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86,307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71,141</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236,390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194,711</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63,649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62,513</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188,465</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44,949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41,050</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138,147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120,069</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40,133</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131,810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112,385</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120" w:type="dxa"/>
            <w:vAlign w:val="bottom"/>
          </w:tcPr>
          <w:p>
            <w:pPr>
              <w:spacing w:after="0" w:line="203"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27,400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1,395</w:t>
            </w:r>
          </w:p>
        </w:tc>
        <w:tc>
          <w:tcPr>
            <w:tcW w:w="11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1864%</w:t>
            </w: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1864%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68,580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3,890</w:t>
            </w:r>
          </w:p>
        </w:tc>
        <w:tc>
          <w:tcPr>
            <w:tcW w:w="11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1663%</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3"/>
        </w:trPr>
        <w:tc>
          <w:tcPr>
            <w:tcW w:w="2120" w:type="dxa"/>
            <w:vAlign w:val="bottom"/>
          </w:tcPr>
          <w:p>
            <w:pPr>
              <w:ind w:left="180"/>
              <w:spacing w:after="0" w:line="202"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675,312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563,698</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1,995,721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1,612,898</w:t>
            </w: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Constant-currency revenue change is a non-GAAP financial measure. See “Non-GAAP Financial Measures,” below.</w:t>
      </w:r>
    </w:p>
    <w:p>
      <w:pPr>
        <w:spacing w:after="0" w:line="22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sets forth segment contribution for the three- and nine-month periods ended September 30, 2018 and 2017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6 to the consolidated financial statements contained in this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680" w:type="dxa"/>
            <w:vAlign w:val="bottom"/>
          </w:tcPr>
          <w:p>
            <w:pPr>
              <w:spacing w:after="0"/>
              <w:rPr>
                <w:sz w:val="18"/>
                <w:szCs w:val="18"/>
                <w:color w:val="auto"/>
              </w:rPr>
            </w:pPr>
          </w:p>
        </w:tc>
      </w:tr>
      <w:tr>
        <w:trPr>
          <w:trHeight w:val="232"/>
        </w:trPr>
        <w:tc>
          <w:tcPr>
            <w:tcW w:w="3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18"/>
                <w:szCs w:val="18"/>
                <w:color w:val="auto"/>
              </w:rPr>
            </w:pPr>
          </w:p>
        </w:tc>
      </w:tr>
      <w:tr>
        <w:trPr>
          <w:trHeight w:val="391"/>
        </w:trPr>
        <w:tc>
          <w:tcPr>
            <w:tcW w:w="3780" w:type="dxa"/>
            <w:vAlign w:val="bottom"/>
          </w:tcPr>
          <w:p>
            <w:pPr>
              <w:ind w:left="580"/>
              <w:spacing w:after="0"/>
              <w:rPr>
                <w:sz w:val="20"/>
                <w:szCs w:val="20"/>
                <w:color w:val="auto"/>
              </w:rPr>
            </w:pPr>
            <w:r>
              <w:rPr>
                <w:rFonts w:ascii="Arial" w:cs="Arial" w:eastAsia="Arial" w:hAnsi="Arial"/>
                <w:sz w:val="18"/>
                <w:szCs w:val="18"/>
                <w:color w:val="auto"/>
              </w:rPr>
              <w:t>Mainland China</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71,185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42,375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189,901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130,085</w:t>
            </w:r>
          </w:p>
        </w:tc>
        <w:tc>
          <w:tcPr>
            <w:tcW w:w="680" w:type="dxa"/>
            <w:vAlign w:val="bottom"/>
          </w:tcPr>
          <w:p>
            <w:pPr>
              <w:spacing w:after="0"/>
              <w:rPr>
                <w:sz w:val="24"/>
                <w:szCs w:val="24"/>
                <w:color w:val="auto"/>
              </w:rPr>
            </w:pPr>
          </w:p>
        </w:tc>
      </w:tr>
      <w:tr>
        <w:trPr>
          <w:trHeight w:val="203"/>
        </w:trPr>
        <w:tc>
          <w:tcPr>
            <w:tcW w:w="3780" w:type="dxa"/>
            <w:vAlign w:val="bottom"/>
          </w:tcPr>
          <w:p>
            <w:pPr>
              <w:ind w:left="580"/>
              <w:spacing w:after="0" w:line="202" w:lineRule="exact"/>
              <w:rPr>
                <w:sz w:val="20"/>
                <w:szCs w:val="20"/>
                <w:color w:val="auto"/>
              </w:rPr>
            </w:pPr>
            <w:r>
              <w:rPr>
                <w:rFonts w:ascii="Arial" w:cs="Arial" w:eastAsia="Arial" w:hAnsi="Arial"/>
                <w:sz w:val="18"/>
                <w:szCs w:val="18"/>
                <w:color w:val="auto"/>
              </w:rPr>
              <w:t>Americas/Pacific</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14,106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38,088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37,884</w:t>
            </w:r>
          </w:p>
        </w:tc>
        <w:tc>
          <w:tcPr>
            <w:tcW w:w="680" w:type="dxa"/>
            <w:vAlign w:val="bottom"/>
          </w:tcPr>
          <w:p>
            <w:pPr>
              <w:spacing w:after="0"/>
              <w:rPr>
                <w:sz w:val="17"/>
                <w:szCs w:val="17"/>
                <w:color w:val="auto"/>
              </w:rPr>
            </w:pPr>
          </w:p>
        </w:tc>
      </w:tr>
      <w:tr>
        <w:trPr>
          <w:trHeight w:val="203"/>
        </w:trPr>
        <w:tc>
          <w:tcPr>
            <w:tcW w:w="3780" w:type="dxa"/>
            <w:vAlign w:val="bottom"/>
          </w:tcPr>
          <w:p>
            <w:pPr>
              <w:ind w:left="580"/>
              <w:spacing w:after="0" w:line="202" w:lineRule="exact"/>
              <w:rPr>
                <w:sz w:val="20"/>
                <w:szCs w:val="20"/>
                <w:color w:val="auto"/>
              </w:rPr>
            </w:pPr>
            <w:r>
              <w:rPr>
                <w:rFonts w:ascii="Arial" w:cs="Arial" w:eastAsia="Arial" w:hAnsi="Arial"/>
                <w:sz w:val="18"/>
                <w:szCs w:val="18"/>
                <w:color w:val="auto"/>
              </w:rPr>
              <w:t>South Korea</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24,754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23,713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75,836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70,503</w:t>
            </w:r>
          </w:p>
        </w:tc>
        <w:tc>
          <w:tcPr>
            <w:tcW w:w="680" w:type="dxa"/>
            <w:vAlign w:val="bottom"/>
          </w:tcPr>
          <w:p>
            <w:pPr>
              <w:spacing w:after="0"/>
              <w:rPr>
                <w:sz w:val="17"/>
                <w:szCs w:val="17"/>
                <w:color w:val="auto"/>
              </w:rPr>
            </w:pPr>
          </w:p>
        </w:tc>
      </w:tr>
      <w:tr>
        <w:trPr>
          <w:trHeight w:val="203"/>
        </w:trPr>
        <w:tc>
          <w:tcPr>
            <w:tcW w:w="3780" w:type="dxa"/>
            <w:vAlign w:val="bottom"/>
          </w:tcPr>
          <w:p>
            <w:pPr>
              <w:ind w:left="580"/>
              <w:spacing w:after="0" w:line="202" w:lineRule="exact"/>
              <w:rPr>
                <w:sz w:val="20"/>
                <w:szCs w:val="20"/>
                <w:color w:val="auto"/>
              </w:rPr>
            </w:pPr>
            <w:r>
              <w:rPr>
                <w:rFonts w:ascii="Arial" w:cs="Arial" w:eastAsia="Arial" w:hAnsi="Arial"/>
                <w:sz w:val="18"/>
                <w:szCs w:val="18"/>
                <w:color w:val="auto"/>
              </w:rPr>
              <w:t>Southeast Asia</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58,245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43,763</w:t>
            </w:r>
          </w:p>
        </w:tc>
        <w:tc>
          <w:tcPr>
            <w:tcW w:w="680" w:type="dxa"/>
            <w:vAlign w:val="bottom"/>
          </w:tcPr>
          <w:p>
            <w:pPr>
              <w:spacing w:after="0"/>
              <w:rPr>
                <w:sz w:val="17"/>
                <w:szCs w:val="17"/>
                <w:color w:val="auto"/>
              </w:rPr>
            </w:pPr>
          </w:p>
        </w:tc>
      </w:tr>
      <w:tr>
        <w:trPr>
          <w:trHeight w:val="203"/>
        </w:trPr>
        <w:tc>
          <w:tcPr>
            <w:tcW w:w="3780" w:type="dxa"/>
            <w:vAlign w:val="bottom"/>
          </w:tcPr>
          <w:p>
            <w:pPr>
              <w:ind w:left="580"/>
              <w:spacing w:after="0" w:line="202" w:lineRule="exact"/>
              <w:rPr>
                <w:sz w:val="20"/>
                <w:szCs w:val="20"/>
                <w:color w:val="auto"/>
              </w:rPr>
            </w:pPr>
            <w:r>
              <w:rPr>
                <w:rFonts w:ascii="Arial" w:cs="Arial" w:eastAsia="Arial" w:hAnsi="Arial"/>
                <w:sz w:val="18"/>
                <w:szCs w:val="18"/>
                <w:color w:val="auto"/>
              </w:rPr>
              <w:t>Japan</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41,777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36,134</w:t>
            </w:r>
          </w:p>
        </w:tc>
        <w:tc>
          <w:tcPr>
            <w:tcW w:w="680" w:type="dxa"/>
            <w:vAlign w:val="bottom"/>
          </w:tcPr>
          <w:p>
            <w:pPr>
              <w:spacing w:after="0"/>
              <w:rPr>
                <w:sz w:val="17"/>
                <w:szCs w:val="17"/>
                <w:color w:val="auto"/>
              </w:rPr>
            </w:pPr>
          </w:p>
        </w:tc>
      </w:tr>
      <w:tr>
        <w:trPr>
          <w:trHeight w:val="203"/>
        </w:trPr>
        <w:tc>
          <w:tcPr>
            <w:tcW w:w="3780" w:type="dxa"/>
            <w:vAlign w:val="bottom"/>
          </w:tcPr>
          <w:p>
            <w:pPr>
              <w:ind w:left="580"/>
              <w:spacing w:after="0" w:line="202" w:lineRule="exact"/>
              <w:rPr>
                <w:sz w:val="20"/>
                <w:szCs w:val="20"/>
                <w:color w:val="auto"/>
              </w:rPr>
            </w:pPr>
            <w:r>
              <w:rPr>
                <w:rFonts w:ascii="Arial" w:cs="Arial" w:eastAsia="Arial" w:hAnsi="Arial"/>
                <w:sz w:val="18"/>
                <w:szCs w:val="18"/>
                <w:color w:val="auto"/>
              </w:rPr>
              <w:t>Hong Kong/Taiwan</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23,781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20,945</w:t>
            </w:r>
          </w:p>
        </w:tc>
        <w:tc>
          <w:tcPr>
            <w:tcW w:w="680" w:type="dxa"/>
            <w:vAlign w:val="bottom"/>
          </w:tcPr>
          <w:p>
            <w:pPr>
              <w:spacing w:after="0"/>
              <w:rPr>
                <w:sz w:val="17"/>
                <w:szCs w:val="17"/>
                <w:color w:val="auto"/>
              </w:rPr>
            </w:pPr>
          </w:p>
        </w:tc>
      </w:tr>
      <w:tr>
        <w:trPr>
          <w:trHeight w:val="217"/>
        </w:trPr>
        <w:tc>
          <w:tcPr>
            <w:tcW w:w="3780" w:type="dxa"/>
            <w:vAlign w:val="bottom"/>
          </w:tcPr>
          <w:p>
            <w:pPr>
              <w:ind w:left="580"/>
              <w:spacing w:after="0"/>
              <w:rPr>
                <w:sz w:val="20"/>
                <w:szCs w:val="20"/>
                <w:color w:val="auto"/>
              </w:rPr>
            </w:pPr>
            <w:r>
              <w:rPr>
                <w:rFonts w:ascii="Arial" w:cs="Arial" w:eastAsia="Arial" w:hAnsi="Arial"/>
                <w:sz w:val="18"/>
                <w:szCs w:val="18"/>
                <w:color w:val="auto"/>
              </w:rPr>
              <w:t>EMEA</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8,304</w:t>
            </w:r>
          </w:p>
        </w:tc>
        <w:tc>
          <w:tcPr>
            <w:tcW w:w="680" w:type="dxa"/>
            <w:vAlign w:val="bottom"/>
          </w:tcPr>
          <w:p>
            <w:pPr>
              <w:spacing w:after="0"/>
              <w:rPr>
                <w:sz w:val="18"/>
                <w:szCs w:val="18"/>
                <w:color w:val="auto"/>
              </w:rPr>
            </w:pPr>
          </w:p>
        </w:tc>
      </w:tr>
      <w:tr>
        <w:trPr>
          <w:trHeight w:val="569"/>
        </w:trPr>
        <w:tc>
          <w:tcPr>
            <w:tcW w:w="3780" w:type="dxa"/>
            <w:vAlign w:val="bottom"/>
          </w:tcPr>
          <w:p>
            <w:pPr>
              <w:spacing w:after="0"/>
              <w:rPr>
                <w:sz w:val="24"/>
                <w:szCs w:val="24"/>
                <w:color w:val="auto"/>
              </w:rPr>
            </w:pPr>
          </w:p>
        </w:tc>
        <w:tc>
          <w:tcPr>
            <w:tcW w:w="2840" w:type="dxa"/>
            <w:vAlign w:val="bottom"/>
            <w:gridSpan w:val="3"/>
          </w:tcPr>
          <w:p>
            <w:pPr>
              <w:jc w:val="right"/>
              <w:ind w:right="650"/>
              <w:spacing w:after="0"/>
              <w:rPr>
                <w:sz w:val="20"/>
                <w:szCs w:val="20"/>
                <w:color w:val="auto"/>
              </w:rPr>
            </w:pPr>
            <w:r>
              <w:rPr>
                <w:rFonts w:ascii="Arial" w:cs="Arial" w:eastAsia="Arial" w:hAnsi="Arial"/>
                <w:sz w:val="14"/>
                <w:szCs w:val="14"/>
                <w:color w:val="auto"/>
              </w:rPr>
              <w:t>- 23 -</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provides information concerning the number of Customers and Sales Leaders as of September 30, 2018 and 2017. “Customers” are persons who have purchased products directly from the Company during the three months ended as of the date indicated. Our Customer numbers do not include consumers who purchase products directly from members of our sales force. “Sales Leaders” are independent distributors, and sales employees and independent marketers in Mainland China, who achieve certain qualification requirements. Our Velocity sales compensation program enhancements have adjusted the qualification requirements for qualifying and maintaining “Sales Leader” status, which could impact the number of independent distributors under our global compensation program who achieve qualification requirements. For example, the level of sales volume necessary to achieve initial qualification has been increased in some markets and the enhanced program also provides some flexibility to maintain qualification at a lower sales volume for a short time. As of the end of the third quarter of 2018, we had launched Velocity in Japan, Taiwan, our North America and Pacific regions within our Americas/Pacific segment, and most markets within our Southeast Asia segment. Mainland China operates under a different business model and is not impacted by these changes.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520" w:type="dxa"/>
            <w:vAlign w:val="bottom"/>
            <w:gridSpan w:val="3"/>
          </w:tcPr>
          <w:p>
            <w:pPr>
              <w:ind w:left="102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2"/>
        </w:trPr>
        <w:tc>
          <w:tcPr>
            <w:tcW w:w="3200" w:type="dxa"/>
            <w:vAlign w:val="bottom"/>
          </w:tcPr>
          <w:p>
            <w:pPr>
              <w:spacing w:after="0"/>
              <w:rPr>
                <w:sz w:val="20"/>
                <w:szCs w:val="20"/>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 2018</w:t>
            </w:r>
          </w:p>
        </w:tc>
        <w:tc>
          <w:tcPr>
            <w:tcW w:w="26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 2017</w:t>
            </w:r>
          </w:p>
        </w:tc>
        <w:tc>
          <w:tcPr>
            <w:tcW w:w="28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 Increase (Decrease)</w:t>
            </w:r>
          </w:p>
        </w:tc>
      </w:tr>
      <w:tr>
        <w:trPr>
          <w:trHeight w:val="180"/>
        </w:trPr>
        <w:tc>
          <w:tcPr>
            <w:tcW w:w="3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30"/>
              <w:spacing w:after="0" w:line="180" w:lineRule="exact"/>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30"/>
              <w:spacing w:after="0" w:line="180" w:lineRule="exact"/>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51"/>
              <w:spacing w:after="0" w:line="180" w:lineRule="exact"/>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5"/>
                <w:szCs w:val="15"/>
                <w:color w:val="auto"/>
              </w:rPr>
            </w:pPr>
          </w:p>
        </w:tc>
      </w:tr>
      <w:tr>
        <w:trPr>
          <w:trHeight w:val="232"/>
        </w:trPr>
        <w:tc>
          <w:tcPr>
            <w:tcW w:w="320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Customers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Leaders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Customers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Leaders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Customers</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Leaders</w:t>
            </w:r>
          </w:p>
        </w:tc>
        <w:tc>
          <w:tcPr>
            <w:tcW w:w="220" w:type="dxa"/>
            <w:vAlign w:val="bottom"/>
          </w:tcPr>
          <w:p>
            <w:pPr>
              <w:spacing w:after="0"/>
              <w:rPr>
                <w:sz w:val="20"/>
                <w:szCs w:val="20"/>
                <w:color w:val="auto"/>
              </w:rPr>
            </w:pPr>
          </w:p>
        </w:tc>
      </w:tr>
      <w:tr>
        <w:trPr>
          <w:trHeight w:val="391"/>
        </w:trPr>
        <w:tc>
          <w:tcPr>
            <w:tcW w:w="3200" w:type="dxa"/>
            <w:vAlign w:val="bottom"/>
          </w:tcPr>
          <w:p>
            <w:pPr>
              <w:spacing w:after="0"/>
              <w:rPr>
                <w:sz w:val="20"/>
                <w:szCs w:val="20"/>
                <w:color w:val="auto"/>
              </w:rPr>
            </w:pPr>
            <w:r>
              <w:rPr>
                <w:rFonts w:ascii="Arial" w:cs="Arial" w:eastAsia="Arial" w:hAnsi="Arial"/>
                <w:sz w:val="18"/>
                <w:szCs w:val="18"/>
                <w:color w:val="auto"/>
              </w:rPr>
              <w:t>Mainland China</w:t>
            </w:r>
          </w:p>
        </w:tc>
        <w:tc>
          <w:tcPr>
            <w:tcW w:w="1140" w:type="dxa"/>
            <w:vAlign w:val="bottom"/>
          </w:tcPr>
          <w:p>
            <w:pPr>
              <w:jc w:val="right"/>
              <w:spacing w:after="0"/>
              <w:rPr>
                <w:sz w:val="20"/>
                <w:szCs w:val="20"/>
                <w:color w:val="auto"/>
              </w:rPr>
            </w:pPr>
            <w:r>
              <w:rPr>
                <w:rFonts w:ascii="Arial" w:cs="Arial" w:eastAsia="Arial" w:hAnsi="Arial"/>
                <w:sz w:val="18"/>
                <w:szCs w:val="18"/>
                <w:color w:val="auto"/>
              </w:rPr>
              <w:t>210,000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25,600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Americas/Pacific</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277,000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8,500</w:t>
            </w: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237,000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8,000</w:t>
            </w: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South Korea</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7,700</w:t>
            </w: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8,400</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Southeast Asia</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147,000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8,700</w:t>
            </w: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127,000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7,100</w:t>
            </w: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131,000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6,200</w:t>
            </w: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131,000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6,500</w:t>
            </w:r>
          </w:p>
        </w:tc>
        <w:tc>
          <w:tcPr>
            <w:tcW w:w="14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Hong Kong/Taiwan</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4,400</w:t>
            </w: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4,300</w:t>
            </w: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3200" w:type="dxa"/>
            <w:vAlign w:val="bottom"/>
          </w:tcPr>
          <w:p>
            <w:pPr>
              <w:spacing w:after="0" w:line="203" w:lineRule="exact"/>
              <w:rPr>
                <w:sz w:val="20"/>
                <w:szCs w:val="20"/>
                <w:color w:val="auto"/>
              </w:rPr>
            </w:pPr>
            <w:r>
              <w:rPr>
                <w:rFonts w:ascii="Arial" w:cs="Arial" w:eastAsia="Arial" w:hAnsi="Arial"/>
                <w:sz w:val="18"/>
                <w:szCs w:val="18"/>
                <w:color w:val="auto"/>
              </w:rPr>
              <w:t>EMEA</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145,000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4,300</w:t>
            </w:r>
          </w:p>
        </w:tc>
        <w:tc>
          <w:tcPr>
            <w:tcW w:w="13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128,000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4,300</w:t>
            </w:r>
          </w:p>
        </w:tc>
        <w:tc>
          <w:tcPr>
            <w:tcW w:w="14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7"/>
        </w:trPr>
        <w:tc>
          <w:tcPr>
            <w:tcW w:w="3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r>
      <w:tr>
        <w:trPr>
          <w:trHeight w:val="392"/>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1,166,000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73,100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1,069,000</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64,200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
        </w:trPr>
        <w:tc>
          <w:tcPr>
            <w:tcW w:w="3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narrative discussion of our results in each segment, which supplements the tables above.</w:t>
      </w: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u w:val="single" w:color="auto"/>
          <w:color w:val="auto"/>
        </w:rPr>
        <w:t>Mainland China</w:t>
      </w:r>
      <w:r>
        <w:rPr>
          <w:rFonts w:ascii="Arial" w:cs="Arial" w:eastAsia="Arial" w:hAnsi="Arial"/>
          <w:sz w:val="18"/>
          <w:szCs w:val="18"/>
          <w:color w:val="auto"/>
        </w:rPr>
        <w:t xml:space="preserve">. The year-over-year increases in revenue in Mainland China for the three- and nine-month periods ended September 30, 2018 primarily reflect continued interest in </w:t>
      </w:r>
      <w:r>
        <w:rPr>
          <w:rFonts w:ascii="Arial" w:cs="Arial" w:eastAsia="Arial" w:hAnsi="Arial"/>
          <w:sz w:val="18"/>
          <w:szCs w:val="18"/>
          <w:i w:val="1"/>
          <w:iCs w:val="1"/>
          <w:color w:val="auto"/>
        </w:rPr>
        <w:t>LumiSpa</w:t>
      </w:r>
      <w:r>
        <w:rPr>
          <w:rFonts w:ascii="Arial" w:cs="Arial" w:eastAsia="Arial" w:hAnsi="Arial"/>
          <w:sz w:val="18"/>
          <w:szCs w:val="18"/>
          <w:color w:val="auto"/>
        </w:rPr>
        <w:t xml:space="preserve"> and strong growth in Sales Leaders as more people were selling our products. The Sales Leader growth is driven by strong interest in our products, particularly </w:t>
      </w:r>
      <w:r>
        <w:rPr>
          <w:rFonts w:ascii="Arial" w:cs="Arial" w:eastAsia="Arial" w:hAnsi="Arial"/>
          <w:sz w:val="18"/>
          <w:szCs w:val="18"/>
          <w:i w:val="1"/>
          <w:iCs w:val="1"/>
          <w:color w:val="auto"/>
        </w:rPr>
        <w:t>LumiSpa</w:t>
      </w:r>
      <w:r>
        <w:rPr>
          <w:rFonts w:ascii="Arial" w:cs="Arial" w:eastAsia="Arial" w:hAnsi="Arial"/>
          <w:sz w:val="18"/>
          <w:szCs w:val="18"/>
          <w:color w:val="auto"/>
        </w:rPr>
        <w:t>, and successful sales incentives that have driven increases in productivity and the number of independent marketers and sales employees achieving qualification requirements.</w:t>
      </w:r>
    </w:p>
    <w:p>
      <w:pPr>
        <w:spacing w:after="0" w:line="22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The year-over-year increases in segment contribution for both the third quarter and the first nine months of 2018 primarily reflect higher revenue in 2018, as well as decreases in general and administrative expenses as a percentage of revenue of 4.1 percentage points in the third quarter and 2.1 percentage points in the first nine months due to third-quarter efficiency initiatives and the fixed nature of certain expenses as revenue increased. Selling expenses as a percentage of revenue also declined 3.8 percentage points in the third quarter and 1.1 percentage points in the nine-month period. The decline in the third quarter reflects changes in the mix of products sold. These improvements in general and administrative expenses and selling expenses were partially offset by slightly decreased gross margin, primarily reflecting sales of </w:t>
      </w:r>
      <w:r>
        <w:rPr>
          <w:rFonts w:ascii="Arial" w:cs="Arial" w:eastAsia="Arial" w:hAnsi="Arial"/>
          <w:sz w:val="18"/>
          <w:szCs w:val="18"/>
          <w:i w:val="1"/>
          <w:iCs w:val="1"/>
          <w:color w:val="auto"/>
        </w:rPr>
        <w:t xml:space="preserve">LumiSpa </w:t>
      </w:r>
      <w:r>
        <w:rPr>
          <w:rFonts w:ascii="Arial" w:cs="Arial" w:eastAsia="Arial" w:hAnsi="Arial"/>
          <w:sz w:val="18"/>
          <w:szCs w:val="18"/>
          <w:color w:val="auto"/>
        </w:rPr>
        <w:t>in 2018, which has a slightly lower gross margin than other products.</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To date, the recently enacted tariffs and trade dispute between the United States and Mainland China have not materially impacted our business, although we believe it has impacted the foreign currency exchange rates which will have a negative impact on our revenue in Mainland China on a U.S. dollar basis if they do not return to prior levels. In the event the trade disputes between the United States and Mainland China continue or intensify, our business could be negatively impacted in the future. For more information, see Item 1A. Risk Factors —“Recently enacted tariffs, other potential changes to tariff and import/export regulations, and ongoing trade disputes between the United States and other jurisdictions may have a negative effect on global economic conditions and our business, financial results and financial condition.”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u w:val="single" w:color="auto"/>
          <w:color w:val="auto"/>
        </w:rPr>
        <w:t>Americas/Pacific</w:t>
      </w:r>
      <w:r>
        <w:rPr>
          <w:rFonts w:ascii="Arial" w:cs="Arial" w:eastAsia="Arial" w:hAnsi="Arial"/>
          <w:sz w:val="18"/>
          <w:szCs w:val="18"/>
          <w:color w:val="auto"/>
        </w:rPr>
        <w:t>. The year-over-year increases in revenue, Sales Leaders and Customers in our Americas/Pacific segment reflect success with our growth strategy that focuses on platforms, products and programs. In North America, Sales Leaders had continued success with social-selling initiatives and products that are conducive to social selling. We also believe that our Velocity sales compensation program enhancements contributed to our continued growth in the North America and Pacific regions. In Latin America, we generated strong growth during the third quarter, particularly in Mexico, Argentina and Chile. However, revenue declined in Argentina on a sequential basis in the third quarter. The Argentina economy was recently classified as a highly inflationary economy under U.S. accounting standards, and we began to apply highly inflationary accounting treatment in that market in the third quarter. We have implemented price increases in response to inflation in Argentina. Our reported revenue for the third quarter reflects a negative impact of 10% from foreign-currency fluctuations in many markets across this segment. In October 2018, we launched Velocity in Latin America.</w:t>
      </w:r>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year-over-year decrease in segment contribution for the third quarter of 2018 primarily reflects a 5.9 percentage-point increase in selling expenses as a percentage of revenue, partially offset by a 2.2 percentage-point improvement in gross margin. These changes in selling expenses and gross margin reflect the impact of Velocity. As previously disclosed, Velocity includes a new bonus program for our sales force that is funded by slightly increased prices for some of our products, causing both gross margin and selling expenses as a percentage of revenue to increase.</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the first nine months of 2018, the year-over-year increase in segment contribution reflects higher revenue in 2018 and a 1.6 percentage-point improvement in gross margin, partially offset by a 4.0 percentage-point increase in selling expenses as a percentage of revenue. These changes in gross margin and selling expenses similarly reflect the impact of Velocity, which we launched in North America during the second quarter of 2018. The increase in selling expenses for the nine-month period was also impacted by the number of Sales Leaders qualifying for incentive trips and other promotional incentives and the cost of such trips and incentives, which were higher for the first quarter of 2018 in North America and Latin America on a year-over-year basis.</w:t>
      </w:r>
    </w:p>
    <w:p>
      <w:pPr>
        <w:spacing w:after="0" w:line="23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u w:val="single" w:color="auto"/>
          <w:color w:val="auto"/>
        </w:rPr>
        <w:t>South Korea</w:t>
      </w:r>
      <w:r>
        <w:rPr>
          <w:rFonts w:ascii="Arial" w:cs="Arial" w:eastAsia="Arial" w:hAnsi="Arial"/>
          <w:sz w:val="18"/>
          <w:szCs w:val="18"/>
          <w:color w:val="auto"/>
        </w:rPr>
        <w:t>. Our business in the South Korea segment continued to be challenged in the third quarter and first nine months of 2018, with our Sales Leaders and Customers each decreasing and the year-over-year increases in revenue being almost entirely attributable to foreign-currency fluctuations. We believe online competitive pressures have continued to affect our Customer acquisition. In October 2018, we launched Velocity, which is aimed at driving Customer growth, in this segment.</w:t>
      </w:r>
    </w:p>
    <w:p>
      <w:pPr>
        <w:spacing w:after="0" w:line="22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year-over-year increases in segment contribution for both the third quarter and the first nine months of 2018 primarily reflect reductions in general and administrative expenses primarily due to decreased expenses related to distributor events. For the third quarter of 2018, these improvements were partially offset by a 1.4 percentage point increase in selling expenses as a percentage of revenue.</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u w:val="single" w:color="auto"/>
          <w:color w:val="auto"/>
        </w:rPr>
        <w:t>Southeast Asia</w:t>
      </w:r>
      <w:r>
        <w:rPr>
          <w:rFonts w:ascii="Arial" w:cs="Arial" w:eastAsia="Arial" w:hAnsi="Arial"/>
          <w:sz w:val="18"/>
          <w:szCs w:val="18"/>
          <w:color w:val="auto"/>
        </w:rPr>
        <w:t xml:space="preserve">. The year-over-year increases in revenue, Sales Leaders and Customers in our Southeast Asia segment reflect growth in most markets within this segment. The growth was primarily driven by successful social selling initiatives, interest in </w:t>
      </w:r>
      <w:r>
        <w:rPr>
          <w:rFonts w:ascii="Arial" w:cs="Arial" w:eastAsia="Arial" w:hAnsi="Arial"/>
          <w:sz w:val="18"/>
          <w:szCs w:val="18"/>
          <w:i w:val="1"/>
          <w:iCs w:val="1"/>
          <w:color w:val="auto"/>
        </w:rPr>
        <w:t>LumiSpa</w:t>
      </w:r>
      <w:r>
        <w:rPr>
          <w:rFonts w:ascii="Arial" w:cs="Arial" w:eastAsia="Arial" w:hAnsi="Arial"/>
          <w:sz w:val="18"/>
          <w:szCs w:val="18"/>
          <w:color w:val="auto"/>
        </w:rPr>
        <w:t xml:space="preserve"> and distributor events. Ninety-seven percent of our year-over-year revenue growth in this segment in the third quarter was attributable to Vietnam and Malaysia, where social selling initiatives have been particularly successful. In addition, we launched Velocity in most markets within this segment during the third quarter, which we believe benefited Customer acquisition.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year-over-year increases in segment contribution for the third quarter and the first half of 2018 primarily reflect higher revenue in 2018, as well as improvements in gross margin due to changes in product mix.</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u w:val="single" w:color="auto"/>
          <w:color w:val="auto"/>
        </w:rPr>
        <w:t>Japan</w:t>
      </w:r>
      <w:r>
        <w:rPr>
          <w:rFonts w:ascii="Arial" w:cs="Arial" w:eastAsia="Arial" w:hAnsi="Arial"/>
          <w:sz w:val="18"/>
          <w:szCs w:val="18"/>
          <w:color w:val="auto"/>
        </w:rPr>
        <w:t>. Our revenue, Sales Leader and Customer numbers in our Japan segment continued to reflect a soft direct selling market, which we believe is attributable to a challenging regulatory environment and an aging demographic. In this environment, our revenue grew 2% in the third quarter of 2018 compared to the prior-year period. The 1% year-over-year increase in reported revenue for the first nine months of 2018 reflects a favorable foreign-currency impact of 2%. We launched Velocity in this segment during the third quarter, which we believe benefited Customer acquisition.</w:t>
      </w:r>
    </w:p>
    <w:p>
      <w:pPr>
        <w:spacing w:after="0" w:line="23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year-over-year increases in segment contribution for both the third quarter and the first nine months of 2018 reflect decreases in selling expenses as a percentage of revenue and decreases in general and administrative expenses.</w:t>
      </w:r>
    </w:p>
    <w:p>
      <w:pPr>
        <w:spacing w:after="0" w:line="224" w:lineRule="exact"/>
        <w:rPr>
          <w:sz w:val="20"/>
          <w:szCs w:val="20"/>
          <w:color w:val="auto"/>
        </w:rPr>
      </w:pPr>
    </w:p>
    <w:p>
      <w:pPr>
        <w:jc w:val="both"/>
        <w:ind w:right="640"/>
        <w:spacing w:after="0"/>
        <w:rPr>
          <w:sz w:val="20"/>
          <w:szCs w:val="20"/>
          <w:color w:val="auto"/>
        </w:rPr>
      </w:pPr>
      <w:r>
        <w:rPr>
          <w:rFonts w:ascii="Arial" w:cs="Arial" w:eastAsia="Arial" w:hAnsi="Arial"/>
          <w:sz w:val="18"/>
          <w:szCs w:val="18"/>
          <w:u w:val="single" w:color="auto"/>
          <w:color w:val="auto"/>
        </w:rPr>
        <w:t>EMEA</w:t>
      </w:r>
      <w:r>
        <w:rPr>
          <w:rFonts w:ascii="Arial" w:cs="Arial" w:eastAsia="Arial" w:hAnsi="Arial"/>
          <w:sz w:val="18"/>
          <w:szCs w:val="18"/>
          <w:color w:val="auto"/>
        </w:rPr>
        <w:t>. The year-over-year growth in revenue and Customers in this segment reflects continued success of Sales Leader social selling initiatives, as well as successful product initiatives, including products that are conducive to social selling. The 17% increase in reported revenue for the first nine months of 2018 also reflects a favorable foreign-currency impact of 7%.</w:t>
      </w:r>
    </w:p>
    <w:p>
      <w:pPr>
        <w:spacing w:after="0" w:line="23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year-over-year increases in segment contribution for both the third quarter and the first nine months of 2018 primarily reflect higher revenue in 2018. For the nine-month period, segment contribution also benefited from decreased general and administrative expenses as a percentage of revenue due to the fixed nature of certain of our general and administrative expenses as revenue increased.</w:t>
      </w:r>
    </w:p>
    <w:p>
      <w:pPr>
        <w:spacing w:after="0" w:line="23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u w:val="single" w:color="auto"/>
          <w:color w:val="auto"/>
        </w:rPr>
        <w:t>Hong Kong/Taiwan</w:t>
      </w:r>
      <w:r>
        <w:rPr>
          <w:rFonts w:ascii="Arial" w:cs="Arial" w:eastAsia="Arial" w:hAnsi="Arial"/>
          <w:sz w:val="18"/>
          <w:szCs w:val="18"/>
          <w:color w:val="auto"/>
        </w:rPr>
        <w:t xml:space="preserve">. The year-over-year growth in revenue in our Hong Kong/Taiwan segment for both the third quarter and the first nine months of 2018 reflects strong interest in </w:t>
      </w:r>
      <w:r>
        <w:rPr>
          <w:rFonts w:ascii="Arial" w:cs="Arial" w:eastAsia="Arial" w:hAnsi="Arial"/>
          <w:sz w:val="18"/>
          <w:szCs w:val="18"/>
          <w:i w:val="1"/>
          <w:iCs w:val="1"/>
          <w:color w:val="auto"/>
        </w:rPr>
        <w:t>LumiSpa</w:t>
      </w:r>
      <w:r>
        <w:rPr>
          <w:rFonts w:ascii="Arial" w:cs="Arial" w:eastAsia="Arial" w:hAnsi="Arial"/>
          <w:sz w:val="18"/>
          <w:szCs w:val="18"/>
          <w:color w:val="auto"/>
        </w:rPr>
        <w:t>, which also contributed to Sales Leader and Customer growth. In addition, approximately $5.0 million of the revenue growth in the nine-month period is attributable to ticket sales for a regional convention in Hong Kong during the second quarter of 2018.</w:t>
      </w:r>
    </w:p>
    <w:p>
      <w:pPr>
        <w:spacing w:after="0" w:line="229"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The year-over-year increases in segment contribution for both the third quarter and the first nine months of 2018 primarily reflect higher revenue in 2018. Segment contribution for the nine-month period of 2018 also includes increased general and administrative expenses primarily due to the regional convention in Hong Kong during the second quarter of 2018.</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In addition to our seven segments, the manufacturing and product-packaging companies that we acquired during the first quarter of 2018 generated $26.0 million of reported revenue in the third quarter and $65.9 million in the first nine months of 2018. These companies provide products and services both to our company and to external customers. Reported revenue includes only the revenue generated by sales to external customers.</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result of these acquisitions, we incurred $2.4 million of expense associated with the amortization of acquired intangible assets under acquisition accounting in the third quarter and $7.1 million in the first nine months of 2018. We currently expect that we will incur $2.1 million of these charges in the fourth quarter of 2018, after which we expect they will decrease to less than $1.0 million per quarter. For information about these acquisitions, see Note 15 to the consolidated financial statements contained in this report.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61"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Revenue for the three-month period ended September 30, 2018 increased 20% to $675.3 million, compared to $563.7 million in the prior-year period. Revenue for the nine-month period ended September 30, 2018 increased 24% to $2.0 billion, compared to $1.6 billion in the prior-year period. For a discussion and analysis of these increases in revenue, see “Overview” and “Segment Results,”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Gross profit as a percentage of revenue was 76.7% for the third quarter of 2018 compared to 78.6% for the prior-year period, and 76.3% for the first nine months of 2018 compared to 78.1% for the prior-year period. These year-over-year decreases were driven by negative impacts of 2.0 percentage points in the third quarter of 2018 and 1.8 percentage points in the first nine months of 2018 from the businesses we acquired in the first quarter of 2018. As previously disclosed, these businesses have lower gross margins than that of our core business, and therefore, we would expect to report a lower gross margin than we reported prior to the acquisitions. The gross margin of our core business remained relatively even with the prior year, as changes in product mix and other savings offset the impact on our gross margin caused by </w:t>
      </w:r>
      <w:r>
        <w:rPr>
          <w:rFonts w:ascii="Arial" w:cs="Arial" w:eastAsia="Arial" w:hAnsi="Arial"/>
          <w:sz w:val="18"/>
          <w:szCs w:val="18"/>
          <w:i w:val="1"/>
          <w:iCs w:val="1"/>
          <w:color w:val="auto"/>
        </w:rPr>
        <w:t>LumiSpa</w:t>
      </w:r>
      <w:r>
        <w:rPr>
          <w:rFonts w:ascii="Arial" w:cs="Arial" w:eastAsia="Arial" w:hAnsi="Arial"/>
          <w:sz w:val="18"/>
          <w:szCs w:val="18"/>
          <w:color w:val="auto"/>
        </w:rPr>
        <w:t xml:space="preserve">, which we launched during the fourth quarter of 2017 and which has a lower gross margin than other products. </w:t>
      </w:r>
      <w:r>
        <w:rPr>
          <w:rFonts w:ascii="Arial" w:cs="Arial" w:eastAsia="Arial" w:hAnsi="Arial"/>
          <w:sz w:val="21"/>
          <w:szCs w:val="21"/>
          <w:color w:val="auto"/>
        </w:rPr>
        <w:t>Our gross profit in the third</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quarter of 2018 also was negatively impacted by foreign-currency fluctuations.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expenses</w:t>
      </w:r>
    </w:p>
    <w:p>
      <w:pPr>
        <w:spacing w:after="0" w:line="261" w:lineRule="exact"/>
        <w:rPr>
          <w:sz w:val="20"/>
          <w:szCs w:val="20"/>
          <w:color w:val="auto"/>
        </w:rPr>
      </w:pPr>
    </w:p>
    <w:p>
      <w:pPr>
        <w:jc w:val="both"/>
        <w:ind w:right="380"/>
        <w:spacing w:after="0" w:line="239" w:lineRule="auto"/>
        <w:rPr>
          <w:sz w:val="20"/>
          <w:szCs w:val="20"/>
          <w:color w:val="auto"/>
        </w:rPr>
      </w:pPr>
      <w:r>
        <w:rPr>
          <w:rFonts w:ascii="Arial" w:cs="Arial" w:eastAsia="Arial" w:hAnsi="Arial"/>
          <w:sz w:val="18"/>
          <w:szCs w:val="18"/>
          <w:color w:val="auto"/>
        </w:rPr>
        <w:t>Selling expenses as a percentage of revenue decreased to 40.2% for both the third quarter and the first nine months of 2018 compared to 41.7% for both prior-year periods. The revenue from our acquired companies does not carry significant selling expenses; the acquisition of these companies lowered selling expenses as a percentage of revenue by 1.6 percentage points in the third quarter and by 1.3 percentage points in the first nine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26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General and administrative expenses as a percentage of revenue decreased to 24.5% for the third quarter of 2018 from 25.4% for the prior-year period, and to 25.0% for the first nine months of 2018 from 25.5% for the prior-year period, reflecting the fixed nature of certain of our general and administrative expenses as revenue increased. General and administrative expenses increased to $165.7 million in the third quarter of 2018 and $499.0 million in the first nine months of 2018 compared to $ 143.2 million and $411.3 million in the respective prior-year periods, primarily reflecting an increase in labor expenses of $16.9 million for the third quarter of 2018 and $55.7 million for the first nine months of 2018 due to increased employee headcount and the payment of increased employee incentive compensation upon achievement of performance goals.</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October 2018, we hired a chief transformation officer. He has been charged with reviewing and evaluating our information technology infrastructure and organization and our social selling and digital initiatives. The results of this review could alter our strategic direction with respect to some of our systems and tools and could result in impairment or other charges. We expect that this review will conclude in late 2018 or early 2019. At this time, we have not identified any change in strategy or approach that would be construed as an indicator of impairment.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6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Other income (expense), net was $(7.0 million) of expense for the third quarter of 2018 compared to $(1.2 million) of expense for the prior-year period, and $(16.9 million) of expense for the first nine months of 2018 compared to $(8.5 million) of expense for the prior-year period. These increases in expense primarily reflect foreign-currency losses resulting from the strengthening of the U.S. dollar against the China yuan and Argentina peso. We are taking steps to reduce our exposure in Argentina, including decreasing our intercompany balances in this market.</w:t>
      </w:r>
    </w:p>
    <w:p>
      <w:pPr>
        <w:spacing w:after="0" w:line="229"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increase in expense for the nine-month period additionally reflects a non-cash charge of $7.2 million in the first quarter of 2018 related to the conversion of our then-outstanding convertible notes, offset by a non-cash gain of $13.6 million on our step acquisitions in the first quarter of 2018, as the fair value of our pre-acquisition interests in these companies exceeded the book value at the time of the acquisitions. For more information on these items, see Notes 11 and 15 to the consolidated financial statements contained in this report.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Provision for income taxes for the three- and nine-month periods ended September 30, 2018 was $20.5 million and $65.8 million, compared to $21.5 million and $55.7 million for the same periods in 2017. The effective tax rate was 27.9% and 32.0% of pre-tax income during the three-and nine-month periods ended September 30, 2018, respectively, compared to 34.1% and 33.4%, respectively, in the prior-year periods. The decreased rates primarily reflect an 8.2 percentage-point benefit in the third quarter and a 4.3 percentage-point benefit in the nine-month period from a change in accounting method related to capitalization of research and development costs for income tax purposes. This change allowed us to utilize foreign tax credits that previously had a valuation allowance. In addition, in the second quarter of 2018 we designated $60 million of our earnings in Mainland China as permanently reinvested, which allows us to remove a withholding tax liability on those earnings. The year-over-year changes in our tax rates also reflect a benefit that was recorded in the prior year due to a new accounting standard for stock-based compensation in 2017.</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foregoing factors, our tax rate for the first nine months of 2018 also reflects the impact of two items that occurred during the first quarter of 2018: an increase in our income tax reserves following an assessment we received from the Indonesia tax authorities during the first quarter of 2018, and a benefit from a deduction in Japan related to Japan customs assessments that were affirmed by the Tokyo District Court in 2011; in the first quarter of 2018, the Japan and U.S. tax authorities reached resolution as to the amount that would be deductible in each jurisdiction.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foregoing factors, net income for the third quarter of 2018 was $53.1 million compared to $41.7 million in the prior-year period.</w:t>
      </w:r>
    </w:p>
    <w:p>
      <w:pPr>
        <w:spacing w:after="0"/>
        <w:rPr>
          <w:sz w:val="20"/>
          <w:szCs w:val="20"/>
          <w:color w:val="auto"/>
        </w:rPr>
      </w:pPr>
      <w:r>
        <w:rPr>
          <w:rFonts w:ascii="Arial" w:cs="Arial" w:eastAsia="Arial" w:hAnsi="Arial"/>
          <w:sz w:val="18"/>
          <w:szCs w:val="18"/>
          <w:color w:val="auto"/>
        </w:rPr>
        <w:t>Net income for the first nine months of 2018 was $139.6 million, compared to $111.2 million for the first nine months of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Historically, our principal uses of cash have included operating expenses (particularly selling expenses) and working capital (principally inventory purchases), as well as capital expenditures, stock repurchases, dividends, debt repayment and the development of operations in new markets. We have at times incurred long-term debt to fund strategic transactions and stock repurchases. We typically generate positive cash flow from operations due to favorable margins and have generally relied on cash from operations to fund operating activities. In the first nine months of 2018, we generated $ 113.9 million in cash from operations compared to generating $155.8 million in cash from operations during the prior-year period. This decrease in cash flow from operations primarily reflects (1) the payment of significant accruals as of the end of 2017, particularly commissions based on the initial </w:t>
      </w:r>
      <w:r>
        <w:rPr>
          <w:rFonts w:ascii="Arial" w:cs="Arial" w:eastAsia="Arial" w:hAnsi="Arial"/>
          <w:sz w:val="18"/>
          <w:szCs w:val="18"/>
          <w:i w:val="1"/>
          <w:iCs w:val="1"/>
          <w:color w:val="auto"/>
        </w:rPr>
        <w:t>LumiSpa</w:t>
      </w:r>
      <w:r>
        <w:rPr>
          <w:rFonts w:ascii="Arial" w:cs="Arial" w:eastAsia="Arial" w:hAnsi="Arial"/>
          <w:sz w:val="18"/>
          <w:szCs w:val="18"/>
          <w:color w:val="auto"/>
        </w:rPr>
        <w:t xml:space="preserve"> offerings in the fourth quarter of 2017 and taxes; and (2) payments to build up inventory for our increased sales, including of </w:t>
      </w:r>
      <w:r>
        <w:rPr>
          <w:rFonts w:ascii="Arial" w:cs="Arial" w:eastAsia="Arial" w:hAnsi="Arial"/>
          <w:sz w:val="18"/>
          <w:szCs w:val="18"/>
          <w:i w:val="1"/>
          <w:iCs w:val="1"/>
          <w:color w:val="auto"/>
        </w:rPr>
        <w:t>LumiSpa</w:t>
      </w:r>
      <w:r>
        <w:rPr>
          <w:rFonts w:ascii="Arial" w:cs="Arial" w:eastAsia="Arial" w:hAnsi="Arial"/>
          <w:sz w:val="18"/>
          <w:szCs w:val="18"/>
          <w:color w:val="auto"/>
        </w:rPr>
        <w:t>, in 2018. Cash and cash equivalents, including current investments, as of September 30, 2018 and December 31, 2017 were $401.5 million and $438.2 million, respectively.</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As of September 30, 2018, working capital was $398.1 million, compared to $330.4 million as of December 31, 2017. The increase in working capital reflects the inventory and accounts receivable of the companies we acquired during the first quarter of 2018. It also reflects payments on (1) liabilities that were accrued as of December 31, 2017 for commissions and taxes related to </w:t>
      </w:r>
      <w:r>
        <w:rPr>
          <w:rFonts w:ascii="Arial" w:cs="Arial" w:eastAsia="Arial" w:hAnsi="Arial"/>
          <w:sz w:val="18"/>
          <w:szCs w:val="18"/>
          <w:i w:val="1"/>
          <w:iCs w:val="1"/>
          <w:color w:val="auto"/>
        </w:rPr>
        <w:t>LumiSpa</w:t>
      </w:r>
      <w:r>
        <w:rPr>
          <w:rFonts w:ascii="Arial" w:cs="Arial" w:eastAsia="Arial" w:hAnsi="Arial"/>
          <w:sz w:val="18"/>
          <w:szCs w:val="18"/>
          <w:color w:val="auto"/>
        </w:rPr>
        <w:t xml:space="preserve"> sales in the fourth quarter of 2017; and (2) corporate income taxes and distributor events that are treated as prepaid assets as of September 30, 2018.</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in the first nine months of 2018 were $42.3 million. Our 2018 capital expenditures include the following:</w:t>
      </w:r>
    </w:p>
    <w:p>
      <w:pPr>
        <w:spacing w:after="0" w:line="22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expansion and upgrade of facilities in our various markets; and</w:t>
      </w:r>
    </w:p>
    <w:p>
      <w:pPr>
        <w:spacing w:after="0" w:line="238" w:lineRule="exact"/>
        <w:rPr>
          <w:rFonts w:ascii="Arial" w:cs="Arial" w:eastAsia="Arial" w:hAnsi="Arial"/>
          <w:sz w:val="18"/>
          <w:szCs w:val="18"/>
          <w:color w:val="auto"/>
        </w:rPr>
      </w:pPr>
    </w:p>
    <w:p>
      <w:pPr>
        <w:ind w:left="660" w:right="760" w:hanging="328"/>
        <w:spacing w:after="0" w:line="24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and expenditures for computer systems and equipment, software and application development, including for digital experience, social selling and technology modernization initiatives.</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estimate that capital expenditures for the uses listed above will total approximately $15-20 million for the remainder of 2018. In addition, we are also in the planning phase for a new manufacturing plant in Mainland China. We currently expect that our expenditures for this project will be approximately $55 million over the next 2-3 years, with approximately $9–10 million in the fourth quarter of 2018.</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u w:val="single" w:color="auto"/>
          <w:color w:val="auto"/>
        </w:rPr>
        <w:t>Conversion and satisfaction of convertible notes</w:t>
      </w:r>
      <w:r>
        <w:rPr>
          <w:rFonts w:ascii="Arial" w:cs="Arial" w:eastAsia="Arial" w:hAnsi="Arial"/>
          <w:sz w:val="18"/>
          <w:szCs w:val="18"/>
          <w:color w:val="auto"/>
        </w:rPr>
        <w:t>. In June 2016, we issued $210.0 million principal amount of convertible 4.75% senior notes due 2020 (the “Convertible Notes”) to Ping An ZQ China Growth Opportunity Limited (“Ping An ZQ”) at face value. During the first quarter of 2018, Ping An ZQ elected to convert the Convertible Notes pursuant to their terms. In connection with such conversion and pursuant to the terms of the indenture governing the Convertible Notes, we became obligated to deliver shares of Class A common stock and cash to Ping An ZQ. We satisfied our obligation to deliver shares of Class A common stock to Ping An ZQ during the first quarter of 2018 and, in April 2018, satisfied our obligations under the Convertible Notes by paying Ping An ZQ $213.4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credit agreement</w:t>
      </w:r>
      <w:r>
        <w:rPr>
          <w:rFonts w:ascii="Arial" w:cs="Arial" w:eastAsia="Arial" w:hAnsi="Arial"/>
          <w:sz w:val="18"/>
          <w:szCs w:val="18"/>
          <w:color w:val="auto"/>
        </w:rPr>
        <w:t>. In April 2018, we entered into a Credit Agreement (the “New Credit Agreement”) with several financial institutions as</w:t>
      </w:r>
    </w:p>
    <w:p>
      <w:pPr>
        <w:spacing w:after="0" w:line="234" w:lineRule="auto"/>
        <w:rPr>
          <w:sz w:val="20"/>
          <w:szCs w:val="20"/>
          <w:color w:val="auto"/>
        </w:rPr>
      </w:pPr>
      <w:r>
        <w:rPr>
          <w:rFonts w:ascii="Arial" w:cs="Arial" w:eastAsia="Arial" w:hAnsi="Arial"/>
          <w:sz w:val="18"/>
          <w:szCs w:val="18"/>
          <w:color w:val="auto"/>
        </w:rPr>
        <w:t>lenders and Bank of America, N.A., as administrative agent. The New Credit Agreement provides for a $400 million term loan facility and a</w:t>
      </w:r>
    </w:p>
    <w:p>
      <w:pPr>
        <w:spacing w:after="0" w:line="235" w:lineRule="auto"/>
        <w:rPr>
          <w:sz w:val="20"/>
          <w:szCs w:val="20"/>
          <w:color w:val="auto"/>
        </w:rPr>
      </w:pPr>
      <w:r>
        <w:rPr>
          <w:rFonts w:ascii="Arial" w:cs="Arial" w:eastAsia="Arial" w:hAnsi="Arial"/>
          <w:sz w:val="18"/>
          <w:szCs w:val="18"/>
          <w:color w:val="auto"/>
        </w:rPr>
        <w:t>$350 million revolving credit facility, each with a term of five years. Concurrently with the closing of the New Credit Agreement, we drew the full</w:t>
      </w:r>
    </w:p>
    <w:p>
      <w:pPr>
        <w:spacing w:after="0" w:line="235" w:lineRule="auto"/>
        <w:rPr>
          <w:sz w:val="20"/>
          <w:szCs w:val="20"/>
          <w:color w:val="auto"/>
        </w:rPr>
      </w:pPr>
      <w:r>
        <w:rPr>
          <w:rFonts w:ascii="Arial" w:cs="Arial" w:eastAsia="Arial" w:hAnsi="Arial"/>
          <w:sz w:val="18"/>
          <w:szCs w:val="18"/>
          <w:color w:val="auto"/>
        </w:rPr>
        <w:t>amount of the term loan facility and $78.5 million of the revolving facility, each of which initially bear interest at the London Interbank Offered</w:t>
      </w:r>
    </w:p>
    <w:p>
      <w:pPr>
        <w:spacing w:after="0" w:line="235" w:lineRule="auto"/>
        <w:rPr>
          <w:sz w:val="20"/>
          <w:szCs w:val="20"/>
          <w:color w:val="auto"/>
        </w:rPr>
      </w:pPr>
      <w:r>
        <w:rPr>
          <w:rFonts w:ascii="Arial" w:cs="Arial" w:eastAsia="Arial" w:hAnsi="Arial"/>
          <w:sz w:val="18"/>
          <w:szCs w:val="18"/>
          <w:color w:val="auto"/>
        </w:rPr>
        <w:t>Rate (“LIBOR”) plus 2.25%. We used the proceeds of the term loan and the draw on the revolving facility to pay off the Previous Credit</w:t>
      </w:r>
    </w:p>
    <w:p>
      <w:pPr>
        <w:spacing w:after="0" w:line="235" w:lineRule="auto"/>
        <w:rPr>
          <w:sz w:val="20"/>
          <w:szCs w:val="20"/>
          <w:color w:val="auto"/>
        </w:rPr>
      </w:pPr>
      <w:r>
        <w:rPr>
          <w:rFonts w:ascii="Arial" w:cs="Arial" w:eastAsia="Arial" w:hAnsi="Arial"/>
          <w:sz w:val="18"/>
          <w:szCs w:val="18"/>
          <w:color w:val="auto"/>
        </w:rPr>
        <w:t>Agreement, as defined below, and the outstanding balance on the Convertible Notes. The interest rate applicable to the facilities is subject to</w:t>
      </w:r>
    </w:p>
    <w:p>
      <w:pPr>
        <w:spacing w:after="0" w:line="235" w:lineRule="auto"/>
        <w:rPr>
          <w:sz w:val="20"/>
          <w:szCs w:val="20"/>
          <w:color w:val="auto"/>
        </w:rPr>
      </w:pPr>
      <w:r>
        <w:rPr>
          <w:rFonts w:ascii="Arial" w:cs="Arial" w:eastAsia="Arial" w:hAnsi="Arial"/>
          <w:sz w:val="18"/>
          <w:szCs w:val="18"/>
          <w:color w:val="auto"/>
        </w:rPr>
        <w:t>adjustment based on our consolidated leverage ratio. The term loan facility will amortize in quarterly installments in amounts resulting in an</w:t>
      </w:r>
    </w:p>
    <w:p>
      <w:pPr>
        <w:spacing w:after="0" w:line="235" w:lineRule="auto"/>
        <w:rPr>
          <w:sz w:val="20"/>
          <w:szCs w:val="20"/>
          <w:color w:val="auto"/>
        </w:rPr>
      </w:pPr>
      <w:r>
        <w:rPr>
          <w:rFonts w:ascii="Arial" w:cs="Arial" w:eastAsia="Arial" w:hAnsi="Arial"/>
          <w:sz w:val="18"/>
          <w:szCs w:val="18"/>
          <w:color w:val="auto"/>
        </w:rPr>
        <w:t>annual amortization of 5.0% during the first and second years, 7.5% during the third and fourth years and 10.0% during the fifth year after the</w:t>
      </w:r>
    </w:p>
    <w:p>
      <w:pPr>
        <w:spacing w:after="0" w:line="235" w:lineRule="auto"/>
        <w:rPr>
          <w:sz w:val="20"/>
          <w:szCs w:val="20"/>
          <w:color w:val="auto"/>
        </w:rPr>
      </w:pPr>
      <w:r>
        <w:rPr>
          <w:rFonts w:ascii="Arial" w:cs="Arial" w:eastAsia="Arial" w:hAnsi="Arial"/>
          <w:sz w:val="18"/>
          <w:szCs w:val="18"/>
          <w:color w:val="auto"/>
        </w:rPr>
        <w:t>closing date of the New Credit Agreement, with the remainder payable at final maturity. The New Credit Agreement requires us to maintain a</w:t>
      </w:r>
    </w:p>
    <w:p>
      <w:pPr>
        <w:spacing w:after="0" w:line="235" w:lineRule="auto"/>
        <w:rPr>
          <w:sz w:val="20"/>
          <w:szCs w:val="20"/>
          <w:color w:val="auto"/>
        </w:rPr>
      </w:pPr>
      <w:r>
        <w:rPr>
          <w:rFonts w:ascii="Arial" w:cs="Arial" w:eastAsia="Arial" w:hAnsi="Arial"/>
          <w:sz w:val="18"/>
          <w:szCs w:val="18"/>
          <w:color w:val="auto"/>
        </w:rPr>
        <w:t>consolidated leverage ratio not exceeding 2.25 to 1.00 and a consolidated interest coverage ratio of no less than 3.00 to 1.00. We are currently</w:t>
      </w:r>
    </w:p>
    <w:p>
      <w:pPr>
        <w:spacing w:after="0"/>
        <w:rPr>
          <w:sz w:val="20"/>
          <w:szCs w:val="20"/>
          <w:color w:val="auto"/>
        </w:rPr>
      </w:pPr>
      <w:r>
        <w:rPr>
          <w:rFonts w:ascii="Arial" w:cs="Arial" w:eastAsia="Arial" w:hAnsi="Arial"/>
          <w:sz w:val="18"/>
          <w:szCs w:val="18"/>
          <w:color w:val="auto"/>
        </w:rPr>
        <w:t>in compliance with these debt covenants.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Modification of previous credit agreement</w:t>
      </w:r>
      <w:r>
        <w:rPr>
          <w:rFonts w:ascii="Arial" w:cs="Arial" w:eastAsia="Arial" w:hAnsi="Arial"/>
          <w:sz w:val="18"/>
          <w:szCs w:val="18"/>
          <w:color w:val="auto"/>
        </w:rPr>
        <w:t>. In April 2018, we repaid debt that was outstanding under our credit agreement, dated as of October 9, 2014, with several financial institutions as lenders and Bank of America, N.A., as administrative agent (the “Previous Credit Agreement”). We had indebtedness of $257.6 million in principal amount outstanding under the Previous Credit Agreement as of both March 31, 2018 and the repayment date of April 18, 2018. See Note 11 to the consolidated financial statements contained in this report for further information regarding the New Credit Agreement, Convertible Notes and other debt.</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u w:val="single" w:color="auto"/>
          <w:color w:val="auto"/>
        </w:rPr>
        <w:t>Stock repurchase plan</w:t>
      </w:r>
      <w:r>
        <w:rPr>
          <w:rFonts w:ascii="Arial" w:cs="Arial" w:eastAsia="Arial" w:hAnsi="Arial"/>
          <w:sz w:val="18"/>
          <w:szCs w:val="18"/>
          <w:color w:val="auto"/>
        </w:rPr>
        <w:t>. In 2015, our board of directors approved a stock repurchase plan authorizing us to repurchase up to $500 million of our outstanding shares of Class A common stock on the open market or in private transactions, and in July 2018, our board of directors terminated the 2015 stock repurchase plan and approved a new repurchase plan with an initial authorization amount of $500 million. During the first nine months of 2018, we repurchased approximately 0.5 million shares of our Class A common stock under the 2015 plan for $40.6 million and approximately 0.1 million shares under the 2018 plan for $7.6 million. At September 30, 2018, $ 492.4 million was available for repurchases under the 2018 plan. Our stock repurchases are used primarily to offset dilution from our equity incentive plans and for strategic initiatives.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In February, April and July 2018, our board of directors declared a quarterly cash dividend of $ 0.365 per share. These quarterly cash dividends of $19.8 million, $20.3 million and $20.3 million were paid March 14, 2018, June 13, 2018 and September 12, 2018 to stockholders of record on February 26, 2018, May 25, 2018 and August 31, 2018. In October 2018, our board of directors declared a quarterly cash dividend of $0.365 per share to be paid on December 12, 2018 to stockholders of record on November 30, 2018.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u w:val="single" w:color="auto"/>
          <w:color w:val="auto"/>
        </w:rPr>
        <w:t>Cash from foreign subsidiaries</w:t>
      </w:r>
      <w:r>
        <w:rPr>
          <w:rFonts w:ascii="Arial" w:cs="Arial" w:eastAsia="Arial" w:hAnsi="Arial"/>
          <w:sz w:val="18"/>
          <w:szCs w:val="18"/>
          <w:color w:val="auto"/>
        </w:rPr>
        <w:t>. As of September 30, 2018 and December 31, 2017, we held $401.5 million and $438.2 million, respectively, in cash and cash equivalents, including current investments. These amounts include $370.3 million and $ 413.8 million as of September 30, 2018 and December 31, 2017,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typically fund the cash requirements of our operations in the U.S. through intercompany dividends and intercompany charges for products, use of intangible property, and corporate services.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2018, we had $127.9 million in cash denominated in Chinese RMB. We also have intercompany loan arrangements with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10 to the consolidated financial statements contained in this report for information regarding our contingent liabilities.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our critical accounting policies during the third quarter of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2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Prior to making a product generally available for purchase, we often do one or more introductory offerings of the product, such as a preview of the product to our Sales Leaders, a limited-time offer, or other product introduction or promotion. These offerings may generate significant activity and a high level of purchasing, which can result in a higher-than-normal increase in revenue, Sales Leaders and/or Customers during the quarter and can skew year-over-year and sequential comparisons.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 and Exchange Rate Information</w:t>
      </w:r>
    </w:p>
    <w:p>
      <w:pPr>
        <w:spacing w:after="0" w:line="2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subsidiaries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September 30, 2018, Argentina had a small net peso monetary position. Net sales of Argentina were less than 2 percent of our consolidated net sales for the nine months ended September 30, 2018 and 2017.</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2018 and 2017, we did not hold non-designated mark-to-market forward derivative contracts to hedge foreign denominated intercompany positions or third party foreign debt. As of September 30, 2018 we did not hold any forward contracts designated as foreign currency cash flow hedges, compared to 1.4 billion Japanese yen ($12.4 million) as of September 30, 2017, to hedge forecasted foreign-currency-denominated intercompany transactions. We continue to evaluate our foreign currency hedging policy.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Constant-currency revenue growth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this amount to the prior-year period’s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website address is www.nuskin.com. We make available, free of charge on the Investor Relations portion of our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22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also use the Investor Relations portion of our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u w:val="single" w:color="auto"/>
          <w:color w:val="auto"/>
        </w:rPr>
        <w:t>QUANTITATIVE AND QUALITATIVE DISCLOSURES ABOUT MARKET RISK</w:t>
      </w:r>
    </w:p>
    <w:p>
      <w:pPr>
        <w:spacing w:after="0" w:line="2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information required by Item 3 of Part I of Form 10-Q is incorporated herein by reference from the section entitled “Currency Risk and Exchange Rate Information” in “Item 2. Management’s Discussion and Analysis of Financial Condition and Results of Operations” of Part I and also from Note 4 to the consolidated financial statements contained in this report.</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u w:val="single" w:color="auto"/>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the end of the period covered by this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6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made no changes in our internal control over financial reporting (as defined in Rule 13a-15(f) under the Exchange Act) during the fiscal quarter ended September 30, 2018 that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u w:val="single" w:color="auto"/>
          <w:color w:val="auto"/>
        </w:rPr>
        <w:t>LEGAL PROCEEDINGS</w:t>
      </w:r>
    </w:p>
    <w:p>
      <w:pPr>
        <w:spacing w:after="0" w:line="26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There have been no material developments concerning the matters discussed in the “Legal Proceedings” sections of our Annual Report on Form 10-K for the 2017 fiscal year and our Quarterly Report on Form 10-Q for the second quarter of 2018. Please refer to Notes 10 and 14 to the consolidated financial statements contained in this report for certain information regarding our legal proceedings.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6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information presented below supplements and should be read in conjunction with the detailed discussion of risks associated with our business in our recent SEC filings, including our Annual Report on Form 10-K for the 2017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failures and capacity constraints could harm our business.</w:t>
      </w:r>
    </w:p>
    <w:p>
      <w:pPr>
        <w:spacing w:after="0" w:line="2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 global operations and a complex sales compensation plan, our business is highly dependent on efficiently functioning information technology systems, including websites, mobile applications, data centers, databases, networks and other systems. We rely on these systems for accepting and processing sales orders, operating our sales force and customer support operations, tracking and compensating our sales force, conducting our corporate and regional operations, and other aspects of our business. Accordingly, the performance, reliability and availability of our systems are critical to our business, reputation, and ability to attract and retain our sales force and customers.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systems may be damaged or disrupted by fires, floods, earthquakes or other natural disasters, human error, telecommunications failures, power loss, physical or electronic break-ins, computer viruses, cyber attacks, changes in our IT systems or organization, and other events. We have, and may in the future, experienced system failures and outages. We have adopted and implemented a Business Continuity/Disaster Recovery Plan under which our data is archived and stored at third-party secure sites, and we have recovery sites for certain critical data and operations. However, we cannot guarantee that these backup systems, security protocols, network protection mechanisms and other procedures currently in place, or that may be in place in the future, will be adequate to prevent or remedy system failure or interruption, data loss, security breaches or other data security incidents. Furthermore, any mitigation process could take several days or more, thus resulting in a loss of revenue, loss of confidence of our sales force and harm to our reputation.</w:t>
      </w:r>
    </w:p>
    <w:p>
      <w:pPr>
        <w:spacing w:after="0" w:line="2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we make significant expenditures on our IT infrastructure and other technology initiatives, and these items could become obsolete or impaired. In October 2018, we hired a chief transformation officer, who has been charged with reviewing and evaluating our information technology infrastructure and organization and our social selling and digital initiatives. The results of this review, which are expected in late 2018 or early 2019, could alter our strategic direction with respect to some of our systems and tools and could result in impairment or other charges as well as additional cash outlay for execution on new plans and strategy.</w:t>
      </w:r>
    </w:p>
    <w:p>
      <w:pPr>
        <w:spacing w:after="0" w:line="1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systems could also be strained by growth in our business. Although we work to expand and enhance our ecommerce features, network infrastructure and other technologies to accommodate increases in the volume of traffic to our ecommerce channels, we may be unsuccessful in these efforts. Our failure, or our suppliers’ failure, to achieve or maintain system capacity could significantly reduce our ability to fulfill orders and could harm our business, reputation, revenue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Foreign-currency fluctuations and inflation in foreign markets could impact our financial position and results of operations.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2017, approximately 90% of our sales occurred in markets outside of the United States in each market’s respective local currency. We purchase inventory primarily in the United States in U.S. dollars. In preparing our financial statements, we translate revenue and expenses in our markets outside the United States from their local currencies into U.S. dollars using weighted-average exchange rates. If the U.S. dollar strengthens relative to local currencies, our reported revenue, gross profit and net income will likely be reduced. For example, foreign-currency fluctuations negatively impacted our reported revenue by approximately 8% in 2015 compared to 2014. Foreign-currency fluctuations can also cause losses and gains resulting from translation of foreign-currency-denominated balances on our balance sheet.</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high levels of inflation and currency devaluations in any of our markets could negatively impact our balance sheet and results of operations. Gains and losses resulting from the remeasurement of non-U.S. dollar monetary assets and liabilities of our subsidiaries operating in highly inflationary economies are recorded in our net earnings. For example, during 2014 and 2015, we recorded $46.3 million and $10.2 million, respectively, of non-cash foreign-currency charges related to the devaluation of the Venezuela currency after Venezuela was designated as a highly inflationary economy under U.S. generally accepted accounting principles. During the third quarter of 2016, we ceased business operations in Venezuela. Argentina also was recently designated as a highly inflationary economy; accordingly, beginning with the third quarter of 2018, we will apply highly inflationary accounting for our Argentina operations, which could result in additional foreign-currency charges. Other markets, including Ukraine, have experienced weakening currencies, and it is possible that this and other markets may be so designated in the future. Our Venezuela, Argentina and Ukraine subsidiaries’ net sales revenue each represented less than 1.5% of consolidated net sales revenue during each of the periods ended December 31, 2015, 2016 and 2017.</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Although we may engage in transactions intended to reduce our exposure to foreign-currency fluctuations, there can be no assurance that these transactions will be effective. Complex global political and economic dynamics can affect exchange rate fluctuations. For example, significant foreign-currency fluctuations occurred as a result of the June 2016 referendum in the United Kingdom in which voters approved an exit from the European Union. The recent U.S. Tax Cuts and Jobs Act also could affect foreign-currency fluctuations. In addition, members of the current U.S. presidential administration have expressed antipathy toward some international trade agreements and have begun to implement or have suggested the implementation of tariffs, border taxes or other measures that could impact the level of trade between the U.S. and other markets. Any such proposal or measure could impact the value of the U.S. dollar. It is difficult to predict future fluctuations and the effect these fluctuations may have upon future reported results or our overall financial condition.</w:t>
      </w:r>
    </w:p>
    <w:p>
      <w:pPr>
        <w:spacing w:after="0" w:line="21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Recently enacted tariffs, other potential changes to tariff and import/export regulations, and ongoing trade disputes between the United States and other jurisdictions may have a negative effect on global economic conditions and our business, financial results and financial condition.</w:t>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United States recently proposed and enacted additional tariffs on certain items. Further, there have been ongoing discussions and activities regarding changes to other U.S. trade policies and treaties. In response, a number of our markets, including Mainland China, are threatening to impose tariffs on U.S. imports, or have already implemented tariffs on U.S. imports, or to take other measures in response to these U.S. actions. These developments may have a material adverse effect on global economic conditions and the stability of global financial markets, and they may significantly reduce global trade and, in particular, trade between Mainland China and the United States. Any of these factors could depress economic activity, create anti-American consumer sentiment, restrict our access to suppliers or customers and have a material adverse effect on our business, financial condition and results of operations. In addition, any actions by foreign markets to implement further trade policy changes, including limiting foreign investment or trade, increasing regulatory scrutiny or taking other actions which impact U.S. companies’ ability to obtain necessary licenses or approvals could negatively impact our business.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These tariffs have just recently been announced, and they are subject to a number of uncertainties as they are implemented, including future adjustments and changes to the products covered by additional tariffs and to the countries included or excluded from such tariffs. The ultimate reaction of other countries, and the individuals in each of these countries, and the impact of these tariffs or other actions on the United States, Mainland China, the global economy and our business, financial condition and results of operations, cannot be predicted at this time, nor can we predict the impact of any other developments with respect to global trade.</w:t>
      </w: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u w:val="single" w:color="auto"/>
          <w:color w:val="auto"/>
        </w:rPr>
        <w:t>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w:t>
            </w:r>
          </w:p>
        </w:tc>
        <w:tc>
          <w:tcPr>
            <w:tcW w:w="26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(b)</w:t>
            </w:r>
          </w:p>
        </w:tc>
        <w:tc>
          <w:tcPr>
            <w:tcW w:w="1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w:t>
            </w: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(d)</w:t>
            </w:r>
          </w:p>
        </w:tc>
      </w:tr>
      <w:tr>
        <w:trPr>
          <w:trHeight w:val="149"/>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Approximate Dollar Value</w:t>
            </w:r>
          </w:p>
        </w:tc>
        <w:tc>
          <w:tcPr>
            <w:tcW w:w="20" w:type="dxa"/>
            <w:vAlign w:val="bottom"/>
          </w:tcPr>
          <w:p>
            <w:pPr>
              <w:spacing w:after="0"/>
              <w:rPr>
                <w:sz w:val="12"/>
                <w:szCs w:val="12"/>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Purchased as Part of</w:t>
            </w:r>
          </w:p>
        </w:tc>
        <w:tc>
          <w:tcPr>
            <w:tcW w:w="1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 Under the</w:t>
            </w:r>
          </w:p>
        </w:tc>
      </w:t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Shares</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Publicly Announced</w:t>
            </w:r>
          </w:p>
        </w:tc>
        <w:tc>
          <w:tcPr>
            <w:tcW w:w="1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Plans or Programs</w:t>
            </w:r>
          </w:p>
        </w:tc>
      </w:tr>
      <w:tr>
        <w:trPr>
          <w:trHeight w:val="183"/>
        </w:trPr>
        <w:tc>
          <w:tcPr>
            <w:tcW w:w="30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 per Share</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60"/>
              <w:spacing w:after="0" w:line="176" w:lineRule="exact"/>
              <w:rPr>
                <w:sz w:val="20"/>
                <w:szCs w:val="20"/>
                <w:color w:val="auto"/>
              </w:rPr>
            </w:pPr>
            <w:r>
              <w:rPr>
                <w:rFonts w:ascii="Arial" w:cs="Arial" w:eastAsia="Arial" w:hAnsi="Arial"/>
                <w:sz w:val="13"/>
                <w:szCs w:val="13"/>
                <w:color w:val="auto"/>
              </w:rPr>
              <w:t>(in millions)</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r>
      <w:tr>
        <w:trPr>
          <w:trHeight w:val="391"/>
        </w:trPr>
        <w:tc>
          <w:tcPr>
            <w:tcW w:w="3120" w:type="dxa"/>
            <w:vAlign w:val="bottom"/>
            <w:gridSpan w:val="3"/>
          </w:tcPr>
          <w:p>
            <w:pPr>
              <w:spacing w:after="0"/>
              <w:rPr>
                <w:sz w:val="20"/>
                <w:szCs w:val="20"/>
                <w:color w:val="auto"/>
              </w:rPr>
            </w:pPr>
            <w:r>
              <w:rPr>
                <w:rFonts w:ascii="Arial" w:cs="Arial" w:eastAsia="Arial" w:hAnsi="Arial"/>
                <w:sz w:val="18"/>
                <w:szCs w:val="18"/>
                <w:color w:val="auto"/>
              </w:rPr>
              <w:t>July 1 – 31, 2018</w:t>
            </w:r>
          </w:p>
        </w:tc>
        <w:tc>
          <w:tcPr>
            <w:tcW w:w="92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76.25</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68,819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499.6</w:t>
            </w:r>
          </w:p>
        </w:tc>
      </w:tr>
      <w:tr>
        <w:trPr>
          <w:trHeight w:val="203"/>
        </w:trPr>
        <w:tc>
          <w:tcPr>
            <w:tcW w:w="3120" w:type="dxa"/>
            <w:vAlign w:val="bottom"/>
            <w:gridSpan w:val="3"/>
          </w:tcPr>
          <w:p>
            <w:pPr>
              <w:spacing w:after="0" w:line="202" w:lineRule="exact"/>
              <w:rPr>
                <w:sz w:val="20"/>
                <w:szCs w:val="20"/>
                <w:color w:val="auto"/>
              </w:rPr>
            </w:pPr>
            <w:r>
              <w:rPr>
                <w:rFonts w:ascii="Arial" w:cs="Arial" w:eastAsia="Arial" w:hAnsi="Arial"/>
                <w:sz w:val="18"/>
                <w:szCs w:val="18"/>
                <w:color w:val="auto"/>
              </w:rPr>
              <w:t>August 1 – 31, 2018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54,997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79.20</w:t>
            </w:r>
          </w:p>
        </w:tc>
        <w:tc>
          <w:tcPr>
            <w:tcW w:w="1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54,997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495.2</w:t>
            </w:r>
          </w:p>
        </w:tc>
      </w:tr>
      <w:tr>
        <w:trPr>
          <w:trHeight w:val="210"/>
        </w:trPr>
        <w:tc>
          <w:tcPr>
            <w:tcW w:w="3120" w:type="dxa"/>
            <w:vAlign w:val="bottom"/>
            <w:gridSpan w:val="3"/>
          </w:tcPr>
          <w:p>
            <w:pPr>
              <w:spacing w:after="0" w:line="203" w:lineRule="exact"/>
              <w:rPr>
                <w:sz w:val="20"/>
                <w:szCs w:val="20"/>
                <w:color w:val="auto"/>
              </w:rPr>
            </w:pPr>
            <w:r>
              <w:rPr>
                <w:rFonts w:ascii="Arial" w:cs="Arial" w:eastAsia="Arial" w:hAnsi="Arial"/>
                <w:sz w:val="18"/>
                <w:szCs w:val="18"/>
                <w:color w:val="auto"/>
              </w:rPr>
              <w:t>September 1 – 30, 2018</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34,230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81.67</w:t>
            </w:r>
          </w:p>
        </w:tc>
        <w:tc>
          <w:tcPr>
            <w:tcW w:w="18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34,230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492.4</w:t>
            </w:r>
          </w:p>
        </w:tc>
      </w:tr>
      <w:tr>
        <w:trPr>
          <w:trHeight w:val="203"/>
        </w:trPr>
        <w:tc>
          <w:tcPr>
            <w:tcW w:w="31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158,046</w:t>
            </w:r>
          </w:p>
        </w:tc>
        <w:tc>
          <w:tcPr>
            <w:tcW w:w="1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78.45</w:t>
            </w:r>
          </w:p>
        </w:tc>
        <w:tc>
          <w:tcPr>
            <w:tcW w:w="166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158,046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42" w:lineRule="exact"/>
        <w:rPr>
          <w:sz w:val="20"/>
          <w:szCs w:val="20"/>
          <w:color w:val="auto"/>
        </w:rPr>
      </w:pPr>
    </w:p>
    <w:p>
      <w:pPr>
        <w:ind w:left="340" w:right="320" w:hanging="332"/>
        <w:spacing w:after="0" w:line="212" w:lineRule="auto"/>
        <w:tabs>
          <w:tab w:leader="none" w:pos="34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In October 2015, we announced that our board of directors approved a stock repurchase plan. Under this plan, our board of directors authorized the repurchase of up to $500 million of our outstanding Class A common stock on the open market or in privately negotiated transactions. In July 2018, our board terminated the 2015 stock repurchase plan and approved a new repurchase plan with an initial authorization amount of $500 million.</w:t>
      </w:r>
    </w:p>
    <w:p>
      <w:pPr>
        <w:spacing w:after="0" w:line="20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u w:val="single" w:color="auto"/>
          <w:color w:val="auto"/>
        </w:rPr>
        <w:t>DEFAULTS UPON SENIOR SECURITIES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u w:val="single" w:color="auto"/>
          <w:color w:val="auto"/>
        </w:rPr>
        <w:t>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10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17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Regulation S-K</w:t>
            </w:r>
          </w:p>
        </w:tc>
        <w:tc>
          <w:tcPr>
            <w:tcW w:w="10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172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Number</w:t>
            </w:r>
          </w:p>
        </w:tc>
        <w:tc>
          <w:tcPr>
            <w:tcW w:w="9660" w:type="dxa"/>
            <w:vAlign w:val="bottom"/>
            <w:gridSpan w:val="7"/>
          </w:tcPr>
          <w:p>
            <w:pPr>
              <w:spacing w:after="0" w:line="199"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by Ritch N. Wood, Chief Executive Officer, pursuant to Rule 13a-14(a) of the Securities Exchange Act of</w:t>
              </w:r>
            </w:hyperlink>
          </w:p>
        </w:tc>
        <w:tc>
          <w:tcPr>
            <w:tcW w:w="380" w:type="dxa"/>
            <w:vAlign w:val="bottom"/>
            <w:gridSpan w:val="3"/>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1934, as adopted pursuant to Section 302 of the Sarbanes-Oxley Act of 2002.</w:t>
              </w:r>
            </w:hyperlink>
          </w:p>
        </w:tc>
        <w:tc>
          <w:tcPr>
            <w:tcW w:w="3460" w:type="dxa"/>
            <w:vAlign w:val="bottom"/>
            <w:gridSpan w:val="5"/>
          </w:tcPr>
          <w:p>
            <w:pPr>
              <w:spacing w:after="0"/>
              <w:rPr>
                <w:sz w:val="15"/>
                <w:szCs w:val="15"/>
                <w:color w:val="auto"/>
              </w:rPr>
            </w:pPr>
          </w:p>
        </w:tc>
      </w:tr>
      <w:tr>
        <w:trPr>
          <w:trHeight w:val="372"/>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4"/>
                <w:szCs w:val="24"/>
                <w:color w:val="auto"/>
              </w:rPr>
            </w:pPr>
          </w:p>
        </w:tc>
        <w:tc>
          <w:tcPr>
            <w:tcW w:w="95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by Mark H. Lawrence, Chief Financial Officer, pursuant to Rule 13a-14(a) of the Securities Exchange Act of</w:t>
              </w:r>
            </w:hyperlink>
          </w:p>
        </w:tc>
        <w:tc>
          <w:tcPr>
            <w:tcW w:w="140" w:type="dxa"/>
            <w:vAlign w:val="bottom"/>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1934, as adopted pursuant to Section 302 of the Sarbanes-Oxley Act of 2002.</w:t>
              </w:r>
            </w:hyperlink>
          </w:p>
        </w:tc>
        <w:tc>
          <w:tcPr>
            <w:tcW w:w="3460" w:type="dxa"/>
            <w:vAlign w:val="bottom"/>
            <w:gridSpan w:val="5"/>
          </w:tcPr>
          <w:p>
            <w:pPr>
              <w:spacing w:after="0"/>
              <w:rPr>
                <w:sz w:val="15"/>
                <w:szCs w:val="15"/>
                <w:color w:val="auto"/>
              </w:rPr>
            </w:pPr>
          </w:p>
        </w:tc>
      </w:tr>
      <w:tr>
        <w:trPr>
          <w:trHeight w:val="372"/>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4"/>
                <w:szCs w:val="24"/>
                <w:color w:val="auto"/>
              </w:rPr>
            </w:pPr>
          </w:p>
        </w:tc>
        <w:tc>
          <w:tcPr>
            <w:tcW w:w="966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Certification by Ritch N. Wood, Chief Executive Officer, pursuant to Section 1350, Chapter 63 of Title 18, United States</w:t>
              </w:r>
            </w:hyperlink>
          </w:p>
        </w:tc>
      </w:tr>
      <w:tr>
        <w:trPr>
          <w:trHeight w:val="183"/>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Code, as adopted pursuant to Section 906 of the Sarbanes-Oxley Act of 2002.</w:t>
              </w:r>
            </w:hyperlink>
          </w:p>
        </w:tc>
        <w:tc>
          <w:tcPr>
            <w:tcW w:w="240" w:type="dxa"/>
            <w:vAlign w:val="bottom"/>
            <w:gridSpan w:val="2"/>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20" w:type="dxa"/>
            <w:vAlign w:val="bottom"/>
            <w:gridSpan w:val="3"/>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r>
      <w:tr>
        <w:trPr>
          <w:trHeight w:val="372"/>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4"/>
                <w:szCs w:val="24"/>
                <w:color w:val="auto"/>
              </w:rPr>
            </w:pPr>
          </w:p>
        </w:tc>
        <w:tc>
          <w:tcPr>
            <w:tcW w:w="96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Certification by Mark H. Lawrence, Chief Financial Officer, pursuant to Section 1350, Chapter 63 of Title 18, United States</w:t>
              </w:r>
            </w:hyperlink>
          </w:p>
        </w:tc>
      </w:tr>
      <w:tr>
        <w:trPr>
          <w:trHeight w:val="183"/>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60" w:type="dxa"/>
            <w:vAlign w:val="bottom"/>
            <w:gridSpan w:val="7"/>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Code, as adopted pursuant to Section 906 of the Sarbanes-Oxley Act of 2002.</w:t>
              </w:r>
            </w:hyperlink>
          </w:p>
        </w:tc>
      </w:tr>
      <w:tr>
        <w:trPr>
          <w:trHeight w:val="412"/>
        </w:trPr>
        <w:tc>
          <w:tcPr>
            <w:tcW w:w="1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440" w:type="dxa"/>
            <w:vAlign w:val="bottom"/>
            <w:gridSpan w:val="4"/>
          </w:tcPr>
          <w:p>
            <w:pPr>
              <w:spacing w:after="0"/>
              <w:rPr>
                <w:sz w:val="24"/>
                <w:szCs w:val="24"/>
                <w:color w:val="auto"/>
              </w:rPr>
            </w:pP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H. Lawrence</w:t>
      </w:r>
    </w:p>
    <w:p>
      <w:pPr>
        <w:ind w:left="5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(Duly Authorized Officer and Principal Financial and Accounting Officer)</w:t>
      </w: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302 – CERTIFICATION OF CHIEF EXECUTIVE OFFICER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Ritch N. Wood, certify that:</w:t>
      </w:r>
    </w:p>
    <w:p>
      <w:pPr>
        <w:spacing w:after="0" w:line="225" w:lineRule="exact"/>
        <w:rPr>
          <w:sz w:val="20"/>
          <w:szCs w:val="20"/>
          <w:color w:val="auto"/>
        </w:rPr>
      </w:pPr>
    </w:p>
    <w:p>
      <w:pPr>
        <w:ind w:left="1340" w:hanging="684"/>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38" w:lineRule="exact"/>
        <w:rPr>
          <w:rFonts w:ascii="Arial" w:cs="Arial" w:eastAsia="Arial" w:hAnsi="Arial"/>
          <w:sz w:val="18"/>
          <w:szCs w:val="18"/>
          <w:color w:val="auto"/>
        </w:rPr>
      </w:pPr>
    </w:p>
    <w:p>
      <w:pPr>
        <w:ind w:right="20" w:firstLine="656"/>
        <w:spacing w:after="0" w:line="248" w:lineRule="auto"/>
        <w:tabs>
          <w:tab w:leader="none" w:pos="1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right="260" w:firstLine="656"/>
        <w:spacing w:after="0" w:line="248" w:lineRule="auto"/>
        <w:tabs>
          <w:tab w:leader="none" w:pos="1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Arial" w:cs="Arial" w:eastAsia="Arial" w:hAnsi="Arial"/>
          <w:sz w:val="18"/>
          <w:szCs w:val="18"/>
          <w:color w:val="auto"/>
        </w:rPr>
      </w:pPr>
    </w:p>
    <w:p>
      <w:pPr>
        <w:ind w:right="160" w:firstLine="656"/>
        <w:spacing w:after="0" w:line="248" w:lineRule="auto"/>
        <w:tabs>
          <w:tab w:leader="none" w:pos="1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right="260" w:firstLine="1305"/>
        <w:spacing w:after="0" w:line="248"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right="100" w:firstLine="1305"/>
        <w:spacing w:after="0" w:line="248"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firstLine="1305"/>
        <w:spacing w:after="0" w:line="248" w:lineRule="auto"/>
        <w:tabs>
          <w:tab w:leader="none" w:pos="20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Arial" w:cs="Arial" w:eastAsia="Arial" w:hAnsi="Arial"/>
          <w:sz w:val="18"/>
          <w:szCs w:val="18"/>
          <w:color w:val="auto"/>
        </w:rPr>
      </w:pPr>
    </w:p>
    <w:p>
      <w:pPr>
        <w:ind w:right="40" w:firstLine="1305"/>
        <w:spacing w:after="0" w:line="248"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right="280" w:firstLine="656"/>
        <w:spacing w:after="0" w:line="248" w:lineRule="auto"/>
        <w:tabs>
          <w:tab w:leader="none" w:pos="1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Arial" w:cs="Arial" w:eastAsia="Arial" w:hAnsi="Arial"/>
          <w:sz w:val="18"/>
          <w:szCs w:val="18"/>
          <w:color w:val="auto"/>
        </w:rPr>
      </w:pPr>
    </w:p>
    <w:p>
      <w:pPr>
        <w:ind w:right="180" w:firstLine="1305"/>
        <w:spacing w:after="0" w:line="248"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Arial" w:cs="Arial" w:eastAsia="Arial" w:hAnsi="Arial"/>
          <w:sz w:val="18"/>
          <w:szCs w:val="18"/>
          <w:color w:val="auto"/>
        </w:rPr>
      </w:pPr>
    </w:p>
    <w:p>
      <w:pPr>
        <w:ind w:right="160" w:firstLine="1305"/>
        <w:spacing w:after="0" w:line="262"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tabs>
          <w:tab w:leader="none" w:pos="560" w:val="left"/>
          <w:tab w:leader="none" w:pos="342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7"/>
          <w:szCs w:val="17"/>
          <w:color w:val="auto"/>
        </w:rPr>
        <w:t>/s/ Ritch 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-1905</wp:posOffset>
            </wp:positionV>
            <wp:extent cx="18097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8"/>
          <w:szCs w:val="18"/>
          <w:color w:val="auto"/>
        </w:rPr>
        <w:t>Ritch N. Wood</w:t>
      </w:r>
    </w:p>
    <w:p>
      <w:pPr>
        <w:ind w:left="34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302 – CERTIFICATION OF CHIEF FINANCIAL OFFICER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H. Lawrence, certify that:</w:t>
      </w:r>
    </w:p>
    <w:p>
      <w:pPr>
        <w:spacing w:after="0" w:line="225"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38" w:lineRule="exact"/>
        <w:rPr>
          <w:rFonts w:ascii="Arial" w:cs="Arial" w:eastAsia="Arial" w:hAnsi="Arial"/>
          <w:sz w:val="18"/>
          <w:szCs w:val="18"/>
          <w:color w:val="auto"/>
        </w:rPr>
      </w:pPr>
    </w:p>
    <w:p>
      <w:pPr>
        <w:ind w:right="20" w:firstLine="656"/>
        <w:spacing w:after="0" w:line="248" w:lineRule="auto"/>
        <w:tabs>
          <w:tab w:leader="none" w:pos="13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right="260" w:firstLine="656"/>
        <w:spacing w:after="0" w:line="248" w:lineRule="auto"/>
        <w:tabs>
          <w:tab w:leader="none" w:pos="13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Arial" w:cs="Arial" w:eastAsia="Arial" w:hAnsi="Arial"/>
          <w:sz w:val="18"/>
          <w:szCs w:val="18"/>
          <w:color w:val="auto"/>
        </w:rPr>
      </w:pPr>
    </w:p>
    <w:p>
      <w:pPr>
        <w:ind w:right="160" w:firstLine="656"/>
        <w:spacing w:after="0" w:line="248" w:lineRule="auto"/>
        <w:tabs>
          <w:tab w:leader="none" w:pos="13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right="260" w:firstLine="1305"/>
        <w:spacing w:after="0" w:line="248" w:lineRule="auto"/>
        <w:tabs>
          <w:tab w:leader="none" w:pos="20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right="100" w:firstLine="1305"/>
        <w:spacing w:after="0" w:line="248" w:lineRule="auto"/>
        <w:tabs>
          <w:tab w:leader="none" w:pos="20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firstLine="1305"/>
        <w:spacing w:after="0" w:line="248" w:lineRule="auto"/>
        <w:tabs>
          <w:tab w:leader="none" w:pos="20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Arial" w:cs="Arial" w:eastAsia="Arial" w:hAnsi="Arial"/>
          <w:sz w:val="18"/>
          <w:szCs w:val="18"/>
          <w:color w:val="auto"/>
        </w:rPr>
      </w:pPr>
    </w:p>
    <w:p>
      <w:pPr>
        <w:ind w:right="40" w:firstLine="1305"/>
        <w:spacing w:after="0" w:line="248" w:lineRule="auto"/>
        <w:tabs>
          <w:tab w:leader="none" w:pos="20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right="280" w:firstLine="656"/>
        <w:spacing w:after="0" w:line="248" w:lineRule="auto"/>
        <w:tabs>
          <w:tab w:leader="none" w:pos="13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Arial" w:cs="Arial" w:eastAsia="Arial" w:hAnsi="Arial"/>
          <w:sz w:val="18"/>
          <w:szCs w:val="18"/>
          <w:color w:val="auto"/>
        </w:rPr>
      </w:pPr>
    </w:p>
    <w:p>
      <w:pPr>
        <w:ind w:right="180" w:firstLine="1305"/>
        <w:spacing w:after="0" w:line="248" w:lineRule="auto"/>
        <w:tabs>
          <w:tab w:leader="none" w:pos="20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Arial" w:cs="Arial" w:eastAsia="Arial" w:hAnsi="Arial"/>
          <w:sz w:val="18"/>
          <w:szCs w:val="18"/>
          <w:color w:val="auto"/>
        </w:rPr>
      </w:pPr>
    </w:p>
    <w:p>
      <w:pPr>
        <w:ind w:right="160" w:firstLine="1305"/>
        <w:spacing w:after="0" w:line="262" w:lineRule="auto"/>
        <w:tabs>
          <w:tab w:leader="none" w:pos="20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7"/>
          <w:szCs w:val="17"/>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-1905</wp:posOffset>
            </wp:positionV>
            <wp:extent cx="18097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Mark H. Lawrence</w:t>
      </w:r>
    </w:p>
    <w:p>
      <w:pPr>
        <w:ind w:left="34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CERTIFICATION OF CHIEF EXECUTIVE OFFICER</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PURSUANT TO</w:t>
      </w:r>
    </w:p>
    <w:p>
      <w:pPr>
        <w:ind w:left="3380"/>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SECTION 906 OF THE SARBANES-OXLEY ACT OF 2002</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connection with the quarterly report of Nu Skin Enterprises, Inc. (the “Company”) on Form 10-Q for the period ended September 30, 2018 (the “Report”), I, Ritch N. Wood, Chief Executive Officer of the Company, certify, pursuant to 18 U.S.C. §1350, as adopted pursuant to Section 906 of the Sarbanes-Oxley Act of 2002, that to the best of my knowledge:</w:t>
      </w:r>
    </w:p>
    <w:p>
      <w:pPr>
        <w:spacing w:after="0" w:line="257" w:lineRule="exact"/>
        <w:rPr>
          <w:sz w:val="20"/>
          <w:szCs w:val="20"/>
          <w:color w:val="auto"/>
        </w:rPr>
      </w:pPr>
    </w:p>
    <w:p>
      <w:pPr>
        <w:ind w:left="1020" w:hanging="68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right="20" w:firstLine="332"/>
        <w:spacing w:after="0" w:line="262" w:lineRule="auto"/>
        <w:tabs>
          <w:tab w:leader="none" w:pos="10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7,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Ritch 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987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Ritch N. Wood</w:t>
      </w: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79" w:right="3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CERTIFICATION OF CHIEF FINANCIAL OFFICER</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ind w:left="3380"/>
        <w:spacing w:after="0" w:line="234" w:lineRule="auto"/>
        <w:rPr>
          <w:sz w:val="20"/>
          <w:szCs w:val="20"/>
          <w:color w:val="auto"/>
        </w:rPr>
      </w:pPr>
      <w:r>
        <w:rPr>
          <w:rFonts w:ascii="Arial" w:cs="Arial" w:eastAsia="Arial" w:hAnsi="Arial"/>
          <w:sz w:val="18"/>
          <w:szCs w:val="18"/>
          <w:color w:val="auto"/>
        </w:rPr>
        <w:t>18 U.S.C. SECTION 1350, AS ADOPTED PURSUANT TO</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SECTION 906 OF THE SARBANES-OXLEY ACT OF 2002</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Nu Skin Enterprises, Inc. (the “Company”) on Form 10-Q for the period ended September 30,</w:t>
      </w:r>
    </w:p>
    <w:p>
      <w:pPr>
        <w:spacing w:after="0"/>
        <w:rPr>
          <w:sz w:val="20"/>
          <w:szCs w:val="20"/>
          <w:color w:val="auto"/>
        </w:rPr>
      </w:pPr>
      <w:r>
        <w:rPr>
          <w:rFonts w:ascii="Arial" w:cs="Arial" w:eastAsia="Arial" w:hAnsi="Arial"/>
          <w:sz w:val="17"/>
          <w:szCs w:val="17"/>
          <w:color w:val="auto"/>
        </w:rPr>
        <w:t>2018 (the “Report”), I, Mark H. Lawrence, Chief Financial Officer of the Company, certify, pursuant to 18 U.S.C. § 1350, as adopted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6" w:lineRule="exact"/>
        <w:rPr>
          <w:sz w:val="20"/>
          <w:szCs w:val="20"/>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firstLine="494"/>
        <w:spacing w:after="0" w:line="262" w:lineRule="auto"/>
        <w:tabs>
          <w:tab w:leader="none" w:pos="7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7,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987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Mark H. Lawrence</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7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14"/>
    </w:lvl>
  </w:abstractNum>
  <w:abstractNum w:abstractNumId="18">
    <w:nsid w:val="6763845E"/>
    <w:multiLevelType w:val="hybridMultilevel"/>
    <w:lvl w:ilvl="0">
      <w:lvlJc w:val="left"/>
      <w:lvlText w:val="%1."/>
      <w:numFmt w:val="decimal"/>
      <w:start w:val="15"/>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6"/>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2019-12-28T17:52:31Z</dcterms:created>
  <dcterms:modified xsi:type="dcterms:W3CDTF">2019-12-28T17:52:31Z</dcterms:modified>
</cp:coreProperties>
</file>