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 FOR THE QUARTERLY PERIOD ENDED MARCH 31, 2024</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OR</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 FOR THE TRANSITION PERIOD FROM _____________ TO _____________</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Commission File Number: </w:t>
      </w:r>
      <w:r>
        <w:rPr>
          <w:rFonts w:ascii="Times New Roman" w:hAnsi="Times New Roman"/>
          <w:b/>
          <w:color w:val="000000"/>
          <w:sz w:val="20"/>
          <w:shd w:fill="FFFFFF" w:val="clear"/>
        </w:rPr>
        <w:t>001-12421</w:t>
      </w:r>
    </w:p>
    <w:p>
      <w:pPr>
        <w:pStyle w:val="TextBody"/>
        <w:bidi w:val="0"/>
        <w:spacing w:before="0" w:after="0"/>
        <w:jc w:val="left"/>
        <w:rPr/>
      </w:pPr>
      <w:r>
        <w:rPr/>
      </w:r>
    </w:p>
    <w:tbl>
      <w:tblPr>
        <w:tblW w:w="6935" w:type="dxa"/>
        <w:jc w:val="left"/>
        <w:tblInd w:w="0" w:type="dxa"/>
        <w:tblLayout w:type="fixed"/>
        <w:tblCellMar>
          <w:top w:w="0" w:type="dxa"/>
          <w:left w:w="0" w:type="dxa"/>
          <w:bottom w:w="0" w:type="dxa"/>
          <w:right w:w="0" w:type="dxa"/>
        </w:tblCellMar>
      </w:tblPr>
      <w:tblGrid>
        <w:gridCol w:w="75"/>
        <w:gridCol w:w="6785"/>
        <w:gridCol w:w="75"/>
      </w:tblGrid>
      <w:tr>
        <w:trPr/>
        <w:tc>
          <w:tcPr>
            <w:tcW w:w="75" w:type="dxa"/>
            <w:tcBorders/>
            <w:vAlign w:val="center"/>
          </w:tcPr>
          <w:p>
            <w:pPr>
              <w:pStyle w:val="TableContents"/>
              <w:bidi w:val="0"/>
              <w:spacing w:before="0" w:after="283"/>
              <w:jc w:val="left"/>
              <w:rPr/>
            </w:pPr>
            <w:r>
              <w:rPr/>
              <w:t> </w:t>
            </w:r>
          </w:p>
        </w:tc>
        <w:tc>
          <w:tcPr>
            <w:tcW w:w="6785" w:type="dxa"/>
            <w:tcBorders>
              <w:bottom w:val="single" w:sz="12" w:space="0" w:color="000000"/>
            </w:tcBorders>
            <w:tcMar>
              <w:bottom w:w="28" w:type="dxa"/>
            </w:tcMar>
            <w:vAlign w:val="center"/>
          </w:tcPr>
          <w:p>
            <w:pPr>
              <w:pStyle w:val="TableContents"/>
              <w:bidi w:val="0"/>
              <w:spacing w:before="0" w:after="283"/>
              <w:jc w:val="center"/>
              <w:rPr>
                <w:b/>
                <w:sz w:val="48"/>
              </w:rPr>
            </w:pPr>
            <w:r>
              <w:rPr>
                <w:b/>
                <w:sz w:val="48"/>
              </w:rPr>
              <w:t xml:space="preserve">NU SKIN ENTERPRISES, INC.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7690" w:type="dxa"/>
        <w:jc w:val="left"/>
        <w:tblInd w:w="0" w:type="dxa"/>
        <w:tblLayout w:type="fixed"/>
        <w:tblCellMar>
          <w:top w:w="0" w:type="dxa"/>
          <w:left w:w="0" w:type="dxa"/>
          <w:bottom w:w="28" w:type="dxa"/>
          <w:right w:w="0" w:type="dxa"/>
        </w:tblCellMar>
      </w:tblPr>
      <w:tblGrid>
        <w:gridCol w:w="4865"/>
        <w:gridCol w:w="60"/>
        <w:gridCol w:w="2765"/>
      </w:tblGrid>
      <w:tr>
        <w:trPr/>
        <w:tc>
          <w:tcPr>
            <w:tcW w:w="48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87-0565309</w:t>
            </w:r>
          </w:p>
        </w:tc>
      </w:tr>
      <w:tr>
        <w:trPr/>
        <w:tc>
          <w:tcPr>
            <w:tcW w:w="48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pPr>
      <w:r>
        <w:rPr/>
      </w:r>
    </w:p>
    <w:tbl>
      <w:tblPr>
        <w:tblW w:w="4970" w:type="dxa"/>
        <w:jc w:val="left"/>
        <w:tblInd w:w="0" w:type="dxa"/>
        <w:tblLayout w:type="fixed"/>
        <w:tblCellMar>
          <w:top w:w="0" w:type="dxa"/>
          <w:left w:w="0" w:type="dxa"/>
          <w:bottom w:w="0" w:type="dxa"/>
          <w:right w:w="0" w:type="dxa"/>
        </w:tblCellMar>
      </w:tblPr>
      <w:tblGrid>
        <w:gridCol w:w="75"/>
        <w:gridCol w:w="4820"/>
        <w:gridCol w:w="75"/>
      </w:tblGrid>
      <w:tr>
        <w:trPr/>
        <w:tc>
          <w:tcPr>
            <w:tcW w:w="75" w:type="dxa"/>
            <w:tcBorders/>
            <w:vAlign w:val="center"/>
          </w:tcPr>
          <w:p>
            <w:pPr>
              <w:pStyle w:val="TableContents"/>
              <w:bidi w:val="0"/>
              <w:spacing w:before="0" w:after="283"/>
              <w:jc w:val="left"/>
              <w:rPr/>
            </w:pPr>
            <w:r>
              <w:rPr/>
              <w:t> </w:t>
            </w:r>
          </w:p>
        </w:tc>
        <w:tc>
          <w:tcPr>
            <w:tcW w:w="482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75 West Center Street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Provo, Utah 84601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 including zip code)</w:t>
            </w:r>
          </w:p>
        </w:tc>
        <w:tc>
          <w:tcPr>
            <w:tcW w:w="75" w:type="dxa"/>
            <w:tcBorders/>
            <w:vAlign w:val="center"/>
          </w:tcPr>
          <w:p>
            <w:pPr>
              <w:pStyle w:val="TableContents"/>
              <w:bidi w:val="0"/>
              <w:spacing w:before="0" w:after="283"/>
              <w:jc w:val="left"/>
              <w:rPr/>
            </w:pPr>
            <w:r>
              <w:rPr/>
              <w:t> </w:t>
            </w:r>
          </w:p>
        </w:tc>
      </w:tr>
    </w:tbl>
    <w:tbl>
      <w:tblPr>
        <w:tblW w:w="4475" w:type="dxa"/>
        <w:jc w:val="left"/>
        <w:tblInd w:w="0" w:type="dxa"/>
        <w:tblLayout w:type="fixed"/>
        <w:tblCellMar>
          <w:top w:w="0" w:type="dxa"/>
          <w:left w:w="0" w:type="dxa"/>
          <w:bottom w:w="0" w:type="dxa"/>
          <w:right w:w="0" w:type="dxa"/>
        </w:tblCellMar>
      </w:tblPr>
      <w:tblGrid>
        <w:gridCol w:w="75"/>
        <w:gridCol w:w="4325"/>
        <w:gridCol w:w="75"/>
      </w:tblGrid>
      <w:tr>
        <w:trPr/>
        <w:tc>
          <w:tcPr>
            <w:tcW w:w="75" w:type="dxa"/>
            <w:tcBorders/>
            <w:vAlign w:val="center"/>
          </w:tcPr>
          <w:p>
            <w:pPr>
              <w:pStyle w:val="TableContents"/>
              <w:bidi w:val="0"/>
              <w:spacing w:before="0" w:after="283"/>
              <w:jc w:val="left"/>
              <w:rPr/>
            </w:pPr>
            <w:r>
              <w:rPr/>
              <w:t> </w:t>
            </w:r>
          </w:p>
        </w:tc>
        <w:tc>
          <w:tcPr>
            <w:tcW w:w="432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(801) 345-1000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tbl>
      <w:tblPr>
        <w:tblW w:w="8550" w:type="dxa"/>
        <w:jc w:val="left"/>
        <w:tblInd w:w="0" w:type="dxa"/>
        <w:tblLayout w:type="fixed"/>
        <w:tblCellMar>
          <w:top w:w="0" w:type="dxa"/>
          <w:left w:w="0" w:type="dxa"/>
          <w:bottom w:w="28" w:type="dxa"/>
          <w:right w:w="0" w:type="dxa"/>
        </w:tblCellMar>
      </w:tblPr>
      <w:tblGrid>
        <w:gridCol w:w="3305"/>
        <w:gridCol w:w="60"/>
        <w:gridCol w:w="1535"/>
        <w:gridCol w:w="60"/>
        <w:gridCol w:w="3590"/>
      </w:tblGrid>
      <w:tr>
        <w:trPr/>
        <w:tc>
          <w:tcPr>
            <w:tcW w:w="330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305"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Class A Common Stock, $.001 par value</w:t>
            </w:r>
          </w:p>
        </w:tc>
        <w:tc>
          <w:tcPr>
            <w:tcW w:w="60" w:type="dxa"/>
            <w:tcBorders/>
            <w:tcMar>
              <w:bottom w:w="0" w:type="dxa"/>
            </w:tcMar>
            <w:vAlign w:val="center"/>
          </w:tcPr>
          <w:p>
            <w:pPr>
              <w:pStyle w:val="TableContents"/>
              <w:bidi w:val="0"/>
              <w:spacing w:before="0" w:after="283"/>
              <w:jc w:val="left"/>
              <w:rPr/>
            </w:pPr>
            <w:r>
              <w:rPr/>
              <w:t> </w:t>
            </w:r>
          </w:p>
        </w:tc>
        <w:tc>
          <w:tcPr>
            <w:tcW w:w="1535"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NUS</w:t>
            </w:r>
          </w:p>
        </w:tc>
        <w:tc>
          <w:tcPr>
            <w:tcW w:w="60" w:type="dxa"/>
            <w:tcBorders/>
            <w:tcMar>
              <w:bottom w:w="0" w:type="dxa"/>
            </w:tcMar>
            <w:vAlign w:val="center"/>
          </w:tcPr>
          <w:p>
            <w:pPr>
              <w:pStyle w:val="TableContents"/>
              <w:bidi w:val="0"/>
              <w:spacing w:before="0" w:after="283"/>
              <w:jc w:val="left"/>
              <w:rPr/>
            </w:pPr>
            <w:r>
              <w:rPr/>
              <w:t> </w:t>
            </w:r>
          </w:p>
        </w:tc>
        <w:tc>
          <w:tcPr>
            <w:tcW w:w="3590"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705" w:type="dxa"/>
        <w:jc w:val="left"/>
        <w:tblInd w:w="0" w:type="dxa"/>
        <w:tblLayout w:type="fixed"/>
        <w:tblCellMar>
          <w:top w:w="0" w:type="dxa"/>
          <w:left w:w="0" w:type="dxa"/>
          <w:bottom w:w="0" w:type="dxa"/>
          <w:right w:w="0" w:type="dxa"/>
        </w:tblCellMar>
      </w:tblPr>
      <w:tblGrid>
        <w:gridCol w:w="2150"/>
        <w:gridCol w:w="2555"/>
      </w:tblGrid>
      <w:tr>
        <w:trPr/>
        <w:tc>
          <w:tcPr>
            <w:tcW w:w="21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Large accelerated filer   ☑</w:t>
            </w:r>
          </w:p>
        </w:tc>
        <w:tc>
          <w:tcPr>
            <w:tcW w:w="2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Accelerated filer   ☐</w:t>
            </w:r>
          </w:p>
        </w:tc>
      </w:tr>
      <w:tr>
        <w:trPr/>
        <w:tc>
          <w:tcPr>
            <w:tcW w:w="21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Non-accelerated filer   ☐</w:t>
            </w:r>
          </w:p>
        </w:tc>
        <w:tc>
          <w:tcPr>
            <w:tcW w:w="2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Smaller reporting company   ☐</w:t>
            </w:r>
          </w:p>
        </w:tc>
      </w:tr>
      <w:tr>
        <w:trPr/>
        <w:tc>
          <w:tcPr>
            <w:tcW w:w="215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May 1, 2024, 49,667,403 shares of the registrant’s Class A common stock, $.001 par value per share, were outstanding.</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center"/>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QUARTERLY REPORT ON FORM 10-Q – FIRST QUARTER 2024</w:t>
      </w:r>
    </w:p>
    <w:p>
      <w:pPr>
        <w:pStyle w:val="TextBody"/>
        <w:bidi w:val="0"/>
        <w:spacing w:before="0" w:after="0"/>
        <w:jc w:val="center"/>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bookmarkStart w:id="0" w:name="TABLEOFCONTENTS"/>
      <w:bookmarkEnd w:id="0"/>
      <w:r>
        <w:rPr>
          <w:rFonts w:ascii="Times New Roman" w:hAnsi="Times New Roman"/>
          <w:b/>
          <w:color w:val="000000"/>
          <w:sz w:val="20"/>
          <w:shd w:fill="FFFFFF" w:val="clear"/>
        </w:rPr>
        <w:t>TABLE OF CONTENTS</w:t>
      </w:r>
    </w:p>
    <w:p>
      <w:pPr>
        <w:pStyle w:val="TextBody"/>
        <w:bidi w:val="0"/>
        <w:spacing w:before="0" w:after="0"/>
        <w:jc w:val="center"/>
        <w:rPr>
          <w:rFonts w:ascii="Times New Roman" w:hAnsi="Times New Roman"/>
        </w:rPr>
      </w:pPr>
      <w:r>
        <w:rPr>
          <w:rFonts w:ascii="Times New Roman" w:hAnsi="Times New Roman"/>
        </w:rPr>
      </w:r>
    </w:p>
    <w:tbl>
      <w:tblPr>
        <w:tblW w:w="9065" w:type="dxa"/>
        <w:jc w:val="center"/>
        <w:tblInd w:w="0" w:type="dxa"/>
        <w:tblLayout w:type="fixed"/>
        <w:tblCellMar>
          <w:top w:w="0" w:type="dxa"/>
          <w:left w:w="0" w:type="dxa"/>
          <w:bottom w:w="0" w:type="dxa"/>
          <w:right w:w="0" w:type="dxa"/>
        </w:tblCellMar>
      </w:tblPr>
      <w:tblGrid>
        <w:gridCol w:w="650"/>
        <w:gridCol w:w="710"/>
        <w:gridCol w:w="7280"/>
        <w:gridCol w:w="425"/>
      </w:tblGrid>
      <w:tr>
        <w:trPr/>
        <w:tc>
          <w:tcPr>
            <w:tcW w:w="650" w:type="dxa"/>
            <w:tcBorders/>
            <w:vAlign w:val="center"/>
          </w:tcPr>
          <w:p>
            <w:pPr>
              <w:pStyle w:val="TableContents"/>
              <w:bidi w:val="0"/>
              <w:spacing w:before="0" w:after="283"/>
              <w:jc w:val="left"/>
              <w:rPr/>
            </w:pPr>
            <w:r>
              <w:rPr/>
              <w:t> </w:t>
            </w:r>
          </w:p>
        </w:tc>
        <w:tc>
          <w:tcPr>
            <w:tcW w:w="7990" w:type="dxa"/>
            <w:gridSpan w:val="2"/>
            <w:tcBorders/>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Page</w:t>
            </w:r>
          </w:p>
        </w:tc>
      </w:tr>
      <w:tr>
        <w:trPr/>
        <w:tc>
          <w:tcPr>
            <w:tcW w:w="6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Part I.</w:t>
            </w:r>
          </w:p>
        </w:tc>
        <w:tc>
          <w:tcPr>
            <w:tcW w:w="7990" w:type="dxa"/>
            <w:gridSpan w:val="2"/>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Information</w:t>
            </w:r>
          </w:p>
        </w:tc>
        <w:tc>
          <w:tcPr>
            <w:tcW w:w="425" w:type="dxa"/>
            <w:tcBorders/>
            <w:shd w:fill="CCEEFF" w:val="clear"/>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Financial Statements (Unaudited):</w:t>
            </w:r>
          </w:p>
        </w:tc>
        <w:tc>
          <w:tcPr>
            <w:tcW w:w="425" w:type="dxa"/>
            <w:tcBorders/>
            <w:vAlign w:val="center"/>
          </w:tcPr>
          <w:p>
            <w:pPr>
              <w:pStyle w:val="TableContents"/>
              <w:bidi w:val="0"/>
              <w:spacing w:before="0" w:after="283"/>
              <w:jc w:val="left"/>
              <w:rPr/>
            </w:pPr>
            <w:r>
              <w:rPr/>
              <w:t> </w:t>
            </w:r>
          </w:p>
        </w:tc>
      </w:tr>
      <w:tr>
        <w:trPr/>
        <w:tc>
          <w:tcPr>
            <w:tcW w:w="6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BalanceSheets">
              <w:r>
                <w:rPr>
                  <w:rStyle w:val="InternetLink"/>
                  <w:rFonts w:ascii="Times New Roman" w:hAnsi="Times New Roman"/>
                  <w:sz w:val="20"/>
                </w:rPr>
                <w:t>Consolidated Balance Sheets</w:t>
              </w:r>
            </w:hyperlink>
          </w:p>
        </w:tc>
        <w:tc>
          <w:tcPr>
            <w:tcW w:w="42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r>
      <w:tr>
        <w:trPr/>
        <w:tc>
          <w:tcPr>
            <w:tcW w:w="6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StatementsofIncome">
              <w:r>
                <w:rPr>
                  <w:rStyle w:val="InternetLink"/>
                  <w:rFonts w:ascii="Times New Roman" w:hAnsi="Times New Roman"/>
                  <w:sz w:val="20"/>
                </w:rPr>
                <w:t>Consolidated Statements of Income</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w:t>
            </w:r>
          </w:p>
        </w:tc>
      </w:tr>
      <w:tr>
        <w:trPr/>
        <w:tc>
          <w:tcPr>
            <w:tcW w:w="6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StatementsofComprehensive">
              <w:r>
                <w:rPr>
                  <w:rStyle w:val="InternetLink"/>
                  <w:rFonts w:ascii="Times New Roman" w:hAnsi="Times New Roman"/>
                  <w:sz w:val="20"/>
                </w:rPr>
                <w:t>Consolidated Statements of Comprehensive Income</w:t>
              </w:r>
            </w:hyperlink>
          </w:p>
        </w:tc>
        <w:tc>
          <w:tcPr>
            <w:tcW w:w="42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w:t>
            </w:r>
          </w:p>
        </w:tc>
      </w:tr>
      <w:tr>
        <w:trPr/>
        <w:tc>
          <w:tcPr>
            <w:tcW w:w="6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StatementsofStockholdersE">
              <w:r>
                <w:rPr>
                  <w:rStyle w:val="InternetLink"/>
                  <w:rFonts w:ascii="Times New Roman" w:hAnsi="Times New Roman"/>
                  <w:sz w:val="20"/>
                </w:rPr>
                <w:t>Consolidated Statements of Stockholders’ Equity</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w:t>
            </w:r>
          </w:p>
        </w:tc>
      </w:tr>
      <w:tr>
        <w:trPr/>
        <w:tc>
          <w:tcPr>
            <w:tcW w:w="6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CashFlows">
              <w:r>
                <w:rPr>
                  <w:rStyle w:val="InternetLink"/>
                  <w:rFonts w:ascii="Times New Roman" w:hAnsi="Times New Roman"/>
                  <w:sz w:val="20"/>
                </w:rPr>
                <w:t>Consolidated Statements of Cash Flows</w:t>
              </w:r>
            </w:hyperlink>
          </w:p>
        </w:tc>
        <w:tc>
          <w:tcPr>
            <w:tcW w:w="425"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5</w:t>
            </w:r>
          </w:p>
        </w:tc>
      </w:tr>
      <w:tr>
        <w:trPr/>
        <w:tc>
          <w:tcPr>
            <w:tcW w:w="6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Notes">
              <w:r>
                <w:rPr>
                  <w:rStyle w:val="InternetLink"/>
                  <w:rFonts w:ascii="Times New Roman" w:hAnsi="Times New Roman"/>
                  <w:sz w:val="20"/>
                </w:rPr>
                <w:t>Notes to Consolidated Financial Statements</w:t>
              </w:r>
            </w:hyperlink>
          </w:p>
        </w:tc>
        <w:tc>
          <w:tcPr>
            <w:tcW w:w="425" w:type="dxa"/>
            <w:tcBorders/>
            <w:vAlign w:val="center"/>
          </w:tcPr>
          <w:p>
            <w:pPr>
              <w:pStyle w:val="TableContents"/>
              <w:bidi w:val="0"/>
              <w:spacing w:before="0" w:after="283"/>
              <w:jc w:val="center"/>
              <w:rPr>
                <w:rFonts w:ascii="Times New Roman" w:hAnsi="Times New Roman"/>
              </w:rPr>
            </w:pPr>
            <w:r>
              <w:rPr>
                <w:rFonts w:ascii="Times New Roman" w:hAnsi="Times New Roman"/>
              </w:rPr>
              <w:t>6</w:t>
            </w:r>
          </w:p>
        </w:tc>
      </w:tr>
      <w:tr>
        <w:trPr/>
        <w:tc>
          <w:tcPr>
            <w:tcW w:w="6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7280" w:type="dxa"/>
            <w:tcBorders/>
            <w:shd w:fill="CCEEFF" w:val="clear"/>
            <w:vAlign w:val="center"/>
          </w:tcPr>
          <w:p>
            <w:pPr>
              <w:pStyle w:val="TableContents"/>
              <w:bidi w:val="0"/>
              <w:spacing w:before="0" w:after="0"/>
              <w:jc w:val="left"/>
              <w:rPr/>
            </w:pPr>
            <w:hyperlink w:anchor="MANAGEMENTSDISCUSSIONANDA">
              <w:r>
                <w:rPr>
                  <w:rStyle w:val="InternetLink"/>
                  <w:rFonts w:ascii="Times New Roman" w:hAnsi="Times New Roman"/>
                  <w:sz w:val="20"/>
                </w:rPr>
                <w:t>Management’s Discussion and Analysis of Financial Condition and Results of Operations</w:t>
              </w:r>
            </w:hyperlink>
          </w:p>
        </w:tc>
        <w:tc>
          <w:tcPr>
            <w:tcW w:w="425"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18</w:t>
            </w:r>
          </w:p>
        </w:tc>
      </w:tr>
      <w:tr>
        <w:trPr/>
        <w:tc>
          <w:tcPr>
            <w:tcW w:w="6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7280" w:type="dxa"/>
            <w:tcBorders/>
            <w:vAlign w:val="center"/>
          </w:tcPr>
          <w:p>
            <w:pPr>
              <w:pStyle w:val="TableContents"/>
              <w:bidi w:val="0"/>
              <w:spacing w:before="0" w:after="0"/>
              <w:jc w:val="left"/>
              <w:rPr/>
            </w:pPr>
            <w:hyperlink w:anchor="QUANTITATIVEANDQUALITATIV">
              <w:r>
                <w:rPr>
                  <w:rStyle w:val="InternetLink"/>
                  <w:rFonts w:ascii="Times New Roman" w:hAnsi="Times New Roman"/>
                  <w:sz w:val="20"/>
                </w:rPr>
                <w:t>Quantitative and Qualitative Disclosures about Market Risk</w:t>
              </w:r>
            </w:hyperlink>
          </w:p>
        </w:tc>
        <w:tc>
          <w:tcPr>
            <w:tcW w:w="425" w:type="dxa"/>
            <w:tcBorders/>
            <w:vAlign w:val="center"/>
          </w:tcPr>
          <w:p>
            <w:pPr>
              <w:pStyle w:val="TableContents"/>
              <w:bidi w:val="0"/>
              <w:spacing w:before="0" w:after="283"/>
              <w:jc w:val="center"/>
              <w:rPr>
                <w:rFonts w:ascii="Times New Roman" w:hAnsi="Times New Roman"/>
              </w:rPr>
            </w:pPr>
            <w:r>
              <w:rPr>
                <w:rFonts w:ascii="Times New Roman" w:hAnsi="Times New Roman"/>
              </w:rPr>
              <w:t>27</w:t>
            </w:r>
          </w:p>
        </w:tc>
      </w:tr>
      <w:tr>
        <w:trPr/>
        <w:tc>
          <w:tcPr>
            <w:tcW w:w="6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7280" w:type="dxa"/>
            <w:tcBorders/>
            <w:shd w:fill="CCEEFF" w:val="clear"/>
            <w:vAlign w:val="center"/>
          </w:tcPr>
          <w:p>
            <w:pPr>
              <w:pStyle w:val="TableContents"/>
              <w:bidi w:val="0"/>
              <w:spacing w:before="0" w:after="0"/>
              <w:jc w:val="left"/>
              <w:rPr/>
            </w:pPr>
            <w:hyperlink w:anchor="CONTROLSANDPROCEDURES">
              <w:r>
                <w:rPr>
                  <w:rStyle w:val="InternetLink"/>
                  <w:rFonts w:ascii="Times New Roman" w:hAnsi="Times New Roman"/>
                  <w:sz w:val="20"/>
                </w:rPr>
                <w:t>Controls and Procedures</w:t>
              </w:r>
            </w:hyperlink>
          </w:p>
        </w:tc>
        <w:tc>
          <w:tcPr>
            <w:tcW w:w="425"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27</w:t>
            </w:r>
          </w:p>
        </w:tc>
      </w:tr>
      <w:tr>
        <w:trPr/>
        <w:tc>
          <w:tcPr>
            <w:tcW w:w="6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r>
      <w:tr>
        <w:trPr/>
        <w:tc>
          <w:tcPr>
            <w:tcW w:w="6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 </w:t>
            </w:r>
          </w:p>
        </w:tc>
      </w:tr>
      <w:tr>
        <w:trPr/>
        <w:tc>
          <w:tcPr>
            <w:tcW w:w="6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Part II.</w:t>
            </w:r>
          </w:p>
        </w:tc>
        <w:tc>
          <w:tcPr>
            <w:tcW w:w="7990"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425" w:type="dxa"/>
            <w:tcBorders/>
            <w:vAlign w:val="center"/>
          </w:tcPr>
          <w:p>
            <w:pPr>
              <w:pStyle w:val="TableContents"/>
              <w:bidi w:val="0"/>
              <w:spacing w:before="0" w:after="283"/>
              <w:jc w:val="center"/>
              <w:rPr/>
            </w:pPr>
            <w:r>
              <w:rPr/>
              <w:t> </w:t>
            </w:r>
          </w:p>
        </w:tc>
      </w:tr>
      <w:tr>
        <w:trPr/>
        <w:tc>
          <w:tcPr>
            <w:tcW w:w="6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7280" w:type="dxa"/>
            <w:tcBorders/>
            <w:shd w:fill="CCEEFF" w:val="clear"/>
            <w:vAlign w:val="center"/>
          </w:tcPr>
          <w:p>
            <w:pPr>
              <w:pStyle w:val="TableContents"/>
              <w:bidi w:val="0"/>
              <w:spacing w:before="0" w:after="0"/>
              <w:jc w:val="left"/>
              <w:rPr/>
            </w:pPr>
            <w:hyperlink w:anchor="LEGALPROCEEDINGS">
              <w:r>
                <w:rPr>
                  <w:rStyle w:val="InternetLink"/>
                  <w:rFonts w:ascii="Times New Roman" w:hAnsi="Times New Roman"/>
                  <w:sz w:val="20"/>
                </w:rPr>
                <w:t>Legal Proceedings</w:t>
              </w:r>
            </w:hyperlink>
          </w:p>
        </w:tc>
        <w:tc>
          <w:tcPr>
            <w:tcW w:w="425"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28</w:t>
            </w:r>
          </w:p>
        </w:tc>
      </w:tr>
      <w:tr>
        <w:trPr/>
        <w:tc>
          <w:tcPr>
            <w:tcW w:w="6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7280" w:type="dxa"/>
            <w:tcBorders/>
            <w:vAlign w:val="center"/>
          </w:tcPr>
          <w:p>
            <w:pPr>
              <w:pStyle w:val="TableContents"/>
              <w:bidi w:val="0"/>
              <w:spacing w:before="0" w:after="0"/>
              <w:jc w:val="left"/>
              <w:rPr/>
            </w:pPr>
            <w:hyperlink w:anchor="RISKFACTORS">
              <w:r>
                <w:rPr>
                  <w:rStyle w:val="InternetLink"/>
                  <w:rFonts w:ascii="Times New Roman" w:hAnsi="Times New Roman"/>
                  <w:sz w:val="20"/>
                </w:rPr>
                <w:t>Risk Factors</w:t>
              </w:r>
            </w:hyperlink>
          </w:p>
        </w:tc>
        <w:tc>
          <w:tcPr>
            <w:tcW w:w="425" w:type="dxa"/>
            <w:tcBorders/>
            <w:vAlign w:val="center"/>
          </w:tcPr>
          <w:p>
            <w:pPr>
              <w:pStyle w:val="TableContents"/>
              <w:bidi w:val="0"/>
              <w:spacing w:before="0" w:after="283"/>
              <w:jc w:val="center"/>
              <w:rPr>
                <w:rFonts w:ascii="Times New Roman" w:hAnsi="Times New Roman"/>
              </w:rPr>
            </w:pPr>
            <w:r>
              <w:rPr>
                <w:rFonts w:ascii="Times New Roman" w:hAnsi="Times New Roman"/>
              </w:rPr>
              <w:t>28</w:t>
            </w:r>
          </w:p>
        </w:tc>
      </w:tr>
      <w:tr>
        <w:trPr/>
        <w:tc>
          <w:tcPr>
            <w:tcW w:w="6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7280" w:type="dxa"/>
            <w:tcBorders/>
            <w:shd w:fill="CCEEFF" w:val="clear"/>
            <w:vAlign w:val="center"/>
          </w:tcPr>
          <w:p>
            <w:pPr>
              <w:pStyle w:val="TableContents"/>
              <w:bidi w:val="0"/>
              <w:spacing w:before="0" w:after="0"/>
              <w:jc w:val="left"/>
              <w:rPr/>
            </w:pPr>
            <w:hyperlink w:anchor="UNREGISTEREDSALESOFEQUITY">
              <w:r>
                <w:rPr>
                  <w:rStyle w:val="InternetLink"/>
                  <w:rFonts w:ascii="Times New Roman" w:hAnsi="Times New Roman"/>
                  <w:sz w:val="20"/>
                </w:rPr>
                <w:t>Unregistered Sales of Equity Securities and Use of Proceeds</w:t>
              </w:r>
            </w:hyperlink>
          </w:p>
        </w:tc>
        <w:tc>
          <w:tcPr>
            <w:tcW w:w="425"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28</w:t>
            </w:r>
          </w:p>
        </w:tc>
      </w:tr>
      <w:tr>
        <w:trPr/>
        <w:tc>
          <w:tcPr>
            <w:tcW w:w="6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7280" w:type="dxa"/>
            <w:tcBorders/>
            <w:vAlign w:val="center"/>
          </w:tcPr>
          <w:p>
            <w:pPr>
              <w:pStyle w:val="TableContents"/>
              <w:bidi w:val="0"/>
              <w:spacing w:before="0" w:after="0"/>
              <w:jc w:val="left"/>
              <w:rPr/>
            </w:pPr>
            <w:hyperlink w:anchor="DEFAULTSUPONSENIORSECURIT">
              <w:r>
                <w:rPr>
                  <w:rStyle w:val="InternetLink"/>
                  <w:rFonts w:ascii="Times New Roman" w:hAnsi="Times New Roman"/>
                  <w:sz w:val="20"/>
                </w:rPr>
                <w:t>Defaults Upon Senior Securities</w:t>
              </w:r>
            </w:hyperlink>
          </w:p>
        </w:tc>
        <w:tc>
          <w:tcPr>
            <w:tcW w:w="425" w:type="dxa"/>
            <w:tcBorders/>
            <w:vAlign w:val="center"/>
          </w:tcPr>
          <w:p>
            <w:pPr>
              <w:pStyle w:val="TableContents"/>
              <w:bidi w:val="0"/>
              <w:spacing w:before="0" w:after="283"/>
              <w:jc w:val="center"/>
              <w:rPr>
                <w:rFonts w:ascii="Times New Roman" w:hAnsi="Times New Roman"/>
              </w:rPr>
            </w:pPr>
            <w:r>
              <w:rPr>
                <w:rFonts w:ascii="Times New Roman" w:hAnsi="Times New Roman"/>
              </w:rPr>
              <w:t>28</w:t>
            </w:r>
          </w:p>
        </w:tc>
      </w:tr>
      <w:tr>
        <w:trPr/>
        <w:tc>
          <w:tcPr>
            <w:tcW w:w="6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7280" w:type="dxa"/>
            <w:tcBorders/>
            <w:shd w:fill="CCEEFF" w:val="clear"/>
            <w:vAlign w:val="center"/>
          </w:tcPr>
          <w:p>
            <w:pPr>
              <w:pStyle w:val="TableContents"/>
              <w:bidi w:val="0"/>
              <w:spacing w:before="0" w:after="0"/>
              <w:jc w:val="left"/>
              <w:rPr/>
            </w:pPr>
            <w:hyperlink w:anchor="MINESAFETYDISCLOSURES">
              <w:r>
                <w:rPr>
                  <w:rStyle w:val="InternetLink"/>
                  <w:rFonts w:ascii="Times New Roman" w:hAnsi="Times New Roman"/>
                  <w:sz w:val="20"/>
                </w:rPr>
                <w:t>Mine Safety Disclosures</w:t>
              </w:r>
            </w:hyperlink>
          </w:p>
        </w:tc>
        <w:tc>
          <w:tcPr>
            <w:tcW w:w="425"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28</w:t>
            </w:r>
          </w:p>
        </w:tc>
      </w:tr>
      <w:tr>
        <w:trPr/>
        <w:tc>
          <w:tcPr>
            <w:tcW w:w="6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7280" w:type="dxa"/>
            <w:tcBorders/>
            <w:vAlign w:val="center"/>
          </w:tcPr>
          <w:p>
            <w:pPr>
              <w:pStyle w:val="TableContents"/>
              <w:bidi w:val="0"/>
              <w:spacing w:before="0" w:after="0"/>
              <w:jc w:val="left"/>
              <w:rPr/>
            </w:pPr>
            <w:hyperlink w:anchor="OTHERINFORMATION">
              <w:r>
                <w:rPr>
                  <w:rStyle w:val="InternetLink"/>
                  <w:rFonts w:ascii="Times New Roman" w:hAnsi="Times New Roman"/>
                  <w:sz w:val="20"/>
                </w:rPr>
                <w:t>Other Information</w:t>
              </w:r>
            </w:hyperlink>
          </w:p>
        </w:tc>
        <w:tc>
          <w:tcPr>
            <w:tcW w:w="425" w:type="dxa"/>
            <w:tcBorders/>
            <w:vAlign w:val="center"/>
          </w:tcPr>
          <w:p>
            <w:pPr>
              <w:pStyle w:val="TableContents"/>
              <w:bidi w:val="0"/>
              <w:spacing w:before="0" w:after="283"/>
              <w:jc w:val="center"/>
              <w:rPr>
                <w:rFonts w:ascii="Times New Roman" w:hAnsi="Times New Roman"/>
              </w:rPr>
            </w:pPr>
            <w:r>
              <w:rPr>
                <w:rFonts w:ascii="Times New Roman" w:hAnsi="Times New Roman"/>
              </w:rPr>
              <w:t>28</w:t>
            </w:r>
          </w:p>
        </w:tc>
      </w:tr>
      <w:tr>
        <w:trPr/>
        <w:tc>
          <w:tcPr>
            <w:tcW w:w="6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7280" w:type="dxa"/>
            <w:tcBorders/>
            <w:shd w:fill="CCEEFF" w:val="clear"/>
            <w:vAlign w:val="center"/>
          </w:tcPr>
          <w:p>
            <w:pPr>
              <w:pStyle w:val="TableContents"/>
              <w:bidi w:val="0"/>
              <w:spacing w:before="0" w:after="0"/>
              <w:jc w:val="left"/>
              <w:rPr/>
            </w:pPr>
            <w:hyperlink w:anchor="EXHIBITS">
              <w:r>
                <w:rPr>
                  <w:rStyle w:val="InternetLink"/>
                  <w:rFonts w:ascii="Times New Roman" w:hAnsi="Times New Roman"/>
                  <w:sz w:val="20"/>
                </w:rPr>
                <w:t>Exhibits</w:t>
              </w:r>
            </w:hyperlink>
          </w:p>
        </w:tc>
        <w:tc>
          <w:tcPr>
            <w:tcW w:w="42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29</w:t>
            </w:r>
          </w:p>
        </w:tc>
      </w:tr>
      <w:tr>
        <w:trPr/>
        <w:tc>
          <w:tcPr>
            <w:tcW w:w="6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r>
      <w:tr>
        <w:trPr/>
        <w:tc>
          <w:tcPr>
            <w:tcW w:w="650" w:type="dxa"/>
            <w:tcBorders/>
            <w:shd w:fill="CCEEFF" w:val="clear"/>
            <w:vAlign w:val="center"/>
          </w:tcPr>
          <w:p>
            <w:pPr>
              <w:pStyle w:val="TableContents"/>
              <w:bidi w:val="0"/>
              <w:spacing w:before="0" w:after="283"/>
              <w:jc w:val="left"/>
              <w:rPr/>
            </w:pPr>
            <w:r>
              <w:rPr/>
              <w:t> </w:t>
            </w:r>
          </w:p>
        </w:tc>
        <w:tc>
          <w:tcPr>
            <w:tcW w:w="7990" w:type="dxa"/>
            <w:gridSpan w:val="2"/>
            <w:tcBorders/>
            <w:shd w:fill="CCEEFF" w:val="clear"/>
            <w:vAlign w:val="center"/>
          </w:tcPr>
          <w:p>
            <w:pPr>
              <w:pStyle w:val="TableContents"/>
              <w:bidi w:val="0"/>
              <w:spacing w:before="0" w:after="0"/>
              <w:jc w:val="left"/>
              <w:rPr/>
            </w:pPr>
            <w:hyperlink w:anchor="SIGNATURE">
              <w:r>
                <w:rPr>
                  <w:rStyle w:val="InternetLink"/>
                  <w:rFonts w:ascii="Times New Roman" w:hAnsi="Times New Roman"/>
                  <w:sz w:val="20"/>
                </w:rPr>
                <w:t>Signature</w:t>
              </w:r>
            </w:hyperlink>
          </w:p>
        </w:tc>
        <w:tc>
          <w:tcPr>
            <w:tcW w:w="425"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30</w:t>
            </w:r>
          </w:p>
        </w:tc>
      </w:tr>
    </w:tbl>
    <w:p>
      <w:pPr>
        <w:pStyle w:val="TextBody"/>
        <w:bidi w:val="0"/>
        <w:spacing w:before="0" w:after="0"/>
        <w:jc w:val="center"/>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this Quarterly Report on Form 10-Q, references to “dollars” and “$” are to United States (“U.S.”) dollars.</w:t>
      </w:r>
    </w:p>
    <w:p>
      <w:pPr>
        <w:pStyle w:val="TextBody"/>
        <w:bidi w:val="0"/>
        <w:spacing w:before="0" w:after="0"/>
        <w:jc w:val="center"/>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Nu Skin, Pharmanex, and ageLOC are our trademarks. The italicized product names used in this Quarterly Report on Form 10-Q are product names and also, in certain cases, our trademarks.</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288" w:right="0" w:hanging="144"/>
        <w:jc w:val="center"/>
        <w:rPr>
          <w:rFonts w:ascii="Times New Roman" w:hAnsi="Times New Roman"/>
          <w:b/>
          <w:color w:val="000000"/>
          <w:sz w:val="20"/>
          <w:shd w:fill="FFFFFF" w:val="clear"/>
        </w:rPr>
      </w:pPr>
      <w:r>
        <w:rPr>
          <w:rFonts w:ascii="Times New Roman" w:hAnsi="Times New Roman"/>
          <w:b/>
          <w:color w:val="000000"/>
          <w:sz w:val="20"/>
          <w:shd w:fill="FFFFFF" w:val="clear"/>
        </w:rPr>
        <w:t>PART I.  FINANCIAL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 w:name="FINANCIALSTATEMENTS"/>
      <w:bookmarkStart w:id="2" w:name="FINANCIALSTATEMENTS"/>
      <w:bookmarkEnd w:id="2"/>
    </w:p>
    <w:tbl>
      <w:tblPr>
        <w:tblW w:w="3250" w:type="dxa"/>
        <w:jc w:val="left"/>
        <w:tblInd w:w="0" w:type="dxa"/>
        <w:tblLayout w:type="fixed"/>
        <w:tblCellMar>
          <w:top w:w="0" w:type="dxa"/>
          <w:left w:w="0" w:type="dxa"/>
          <w:bottom w:w="0" w:type="dxa"/>
          <w:right w:w="0" w:type="dxa"/>
        </w:tblCellMar>
      </w:tblPr>
      <w:tblGrid>
        <w:gridCol w:w="755"/>
        <w:gridCol w:w="2495"/>
      </w:tblGrid>
      <w:tr>
        <w:trPr/>
        <w:tc>
          <w:tcPr>
            <w:tcW w:w="75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ITEM 1.</w:t>
            </w:r>
          </w:p>
        </w:tc>
        <w:tc>
          <w:tcPr>
            <w:tcW w:w="2495" w:type="dxa"/>
            <w:tcBorders/>
            <w:vAlign w:val="center"/>
          </w:tcPr>
          <w:p>
            <w:pPr>
              <w:pStyle w:val="TableContents"/>
              <w:bidi w:val="0"/>
              <w:spacing w:before="0" w:after="0"/>
              <w:jc w:val="both"/>
              <w:rPr>
                <w:rFonts w:ascii="Times New Roman" w:hAnsi="Times New Roman"/>
                <w:b/>
                <w:color w:val="000000"/>
                <w:sz w:val="20"/>
                <w:u w:val="single"/>
              </w:rPr>
            </w:pPr>
            <w:r>
              <w:rPr>
                <w:rFonts w:ascii="Times New Roman" w:hAnsi="Times New Roman"/>
                <w:b/>
                <w:color w:val="000000"/>
                <w:sz w:val="20"/>
                <w:u w:val="single"/>
              </w:rPr>
              <w:t>FINANCIAL STATEMENTS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3" w:name="BalanceSheets"/>
      <w:bookmarkEnd w:id="3"/>
      <w:r>
        <w:rPr>
          <w:rFonts w:ascii="Times New Roman" w:hAnsi="Times New Roman"/>
          <w:b/>
          <w:color w:val="000000"/>
          <w:sz w:val="20"/>
          <w:shd w:fill="FFFFFF" w:val="clear"/>
        </w:rPr>
        <w:t>Balance Sheets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715"/>
        <w:gridCol w:w="60"/>
        <w:gridCol w:w="125"/>
        <w:gridCol w:w="905"/>
        <w:gridCol w:w="80"/>
        <w:gridCol w:w="60"/>
        <w:gridCol w:w="140"/>
        <w:gridCol w:w="1023"/>
        <w:gridCol w:w="97"/>
      </w:tblGrid>
      <w:tr>
        <w:trPr/>
        <w:tc>
          <w:tcPr>
            <w:tcW w:w="7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97" w:type="dxa"/>
            <w:tcBorders/>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212,532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256,057</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Current investments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8,674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11,759</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67,041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72,879</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Inventories,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265,100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279,978</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93,913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81,198</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647,260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701,871</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Property and equipment,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422,818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432,965</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93,092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90,107</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Goodwill</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230,768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230,768</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intangible assets,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101,933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105,309</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246,044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245,443</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1,741,915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1,806,463</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43,505</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Accrued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247,068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260,366</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Current portion of long-term debt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25,000</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309,305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328,871</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lease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74,198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70,943</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Long-term debt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453,183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478,040</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106,641</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931,709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984,495</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Commitments and contingencies (Notes 5 and 11)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Class A common stock – 500 million shares authorized, $0.001 par value, 90.6 million shares issued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618,706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621,853</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Treasury stock, at cost – 40.9 million and 41.1 million shares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(1,564,942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(1,570,440</w:t>
            </w:r>
          </w:p>
        </w:tc>
        <w:tc>
          <w:tcPr>
            <w:tcW w:w="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(110,607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(100,006</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71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Retained earnings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1,866,958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1,870,470</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810,206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821,968</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1,741,915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1,806,463</w:t>
            </w:r>
          </w:p>
        </w:tc>
        <w:tc>
          <w:tcPr>
            <w:tcW w:w="97"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NU SKIN ENTERPRISES, INC.</w:t>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Consolidated </w:t>
      </w:r>
      <w:bookmarkStart w:id="4" w:name="StatementsofIncome"/>
      <w:bookmarkEnd w:id="4"/>
      <w:r>
        <w:rPr>
          <w:rFonts w:ascii="Times New Roman;Times;serif" w:hAnsi="Times New Roman;Times;serif"/>
          <w:b/>
          <w:color w:val="000000"/>
          <w:sz w:val="20"/>
          <w:shd w:fill="FFFFFF" w:val="clear"/>
        </w:rPr>
        <w:t>Statements of Income (Unaudited)</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(U.S. dollars in thousands, except per share amounts)</w:t>
      </w:r>
    </w:p>
    <w:p>
      <w:pPr>
        <w:pStyle w:val="TextBody"/>
        <w:bidi w:val="0"/>
        <w:spacing w:before="0" w:after="0"/>
        <w:jc w:val="left"/>
        <w:rPr/>
      </w:pPr>
      <w:r>
        <w:rPr/>
      </w:r>
    </w:p>
    <w:tbl>
      <w:tblPr>
        <w:tblW w:w="6546" w:type="dxa"/>
        <w:jc w:val="left"/>
        <w:tblInd w:w="0" w:type="dxa"/>
        <w:tblLayout w:type="fixed"/>
        <w:tblCellMar>
          <w:top w:w="0" w:type="dxa"/>
          <w:left w:w="0" w:type="dxa"/>
          <w:bottom w:w="0" w:type="dxa"/>
          <w:right w:w="0" w:type="dxa"/>
        </w:tblCellMar>
      </w:tblPr>
      <w:tblGrid>
        <w:gridCol w:w="4445"/>
        <w:gridCol w:w="60"/>
        <w:gridCol w:w="125"/>
        <w:gridCol w:w="698"/>
        <w:gridCol w:w="80"/>
        <w:gridCol w:w="60"/>
        <w:gridCol w:w="125"/>
        <w:gridCol w:w="698"/>
        <w:gridCol w:w="255"/>
      </w:tblGrid>
      <w:tr>
        <w:trPr/>
        <w:tc>
          <w:tcPr>
            <w:tcW w:w="4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b/>
                <w:color w:val="000000"/>
                <w:sz w:val="20"/>
              </w:rPr>
              <w:t>March 31</w:t>
            </w:r>
            <w:r>
              <w:rPr>
                <w:rFonts w:ascii="Times New Roman;Times;serif" w:hAnsi="Times New Roman;Times;serif"/>
                <w:color w:val="000000"/>
                <w:sz w:val="20"/>
              </w:rPr>
              <w:t>,</w:t>
            </w:r>
          </w:p>
        </w:tc>
        <w:tc>
          <w:tcPr>
            <w:tcW w:w="255"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25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417,306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481,462</w:t>
            </w:r>
          </w:p>
        </w:tc>
        <w:tc>
          <w:tcPr>
            <w:tcW w:w="25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123,242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133,588</w:t>
            </w:r>
          </w:p>
        </w:tc>
        <w:tc>
          <w:tcPr>
            <w:tcW w:w="25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Gross profit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294,064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347,874</w:t>
            </w:r>
          </w:p>
        </w:tc>
        <w:tc>
          <w:tcPr>
            <w:tcW w:w="25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25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25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Selling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153,542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188,124</w:t>
            </w:r>
          </w:p>
        </w:tc>
        <w:tc>
          <w:tcPr>
            <w:tcW w:w="25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124,566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133,899</w:t>
            </w:r>
          </w:p>
        </w:tc>
        <w:tc>
          <w:tcPr>
            <w:tcW w:w="255" w:type="dxa"/>
            <w:tcBorders/>
            <w:shd w:fill="CCEEFF" w:val="clear"/>
            <w:vAlign w:val="bottom"/>
          </w:tcPr>
          <w:p>
            <w:pPr>
              <w:pStyle w:val="TableContents"/>
              <w:bidi w:val="0"/>
              <w:spacing w:before="0" w:after="283"/>
              <w:ind w:left="0" w:right="0" w:firstLine="180"/>
              <w:jc w:val="left"/>
              <w:rPr/>
            </w:pPr>
            <w:r>
              <w:rPr/>
              <w:t> </w:t>
            </w:r>
          </w:p>
        </w:tc>
      </w:tr>
      <w:tr>
        <w:trPr/>
        <w:tc>
          <w:tcPr>
            <w:tcW w:w="4445" w:type="dxa"/>
            <w:tcBorders/>
            <w:vAlign w:val="bottom"/>
          </w:tcPr>
          <w:p>
            <w:pPr>
              <w:pStyle w:val="TableContents"/>
              <w:bidi w:val="0"/>
              <w:spacing w:before="0" w:after="283"/>
              <w:jc w:val="left"/>
              <w:rPr/>
            </w:pPr>
            <w:r>
              <w:rPr/>
              <w:t>Restructuring and impairment expenses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283"/>
              <w:jc w:val="right"/>
              <w:rPr/>
            </w:pPr>
            <w:r>
              <w:rPr/>
              <w:t>7,134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283"/>
              <w:jc w:val="right"/>
              <w:rPr/>
            </w:pPr>
            <w:r>
              <w:rPr/>
              <w:t>9,787</w:t>
            </w:r>
          </w:p>
        </w:tc>
        <w:tc>
          <w:tcPr>
            <w:tcW w:w="25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285,242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331,810</w:t>
            </w:r>
          </w:p>
        </w:tc>
        <w:tc>
          <w:tcPr>
            <w:tcW w:w="25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25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8,822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16,064</w:t>
            </w:r>
          </w:p>
        </w:tc>
        <w:tc>
          <w:tcPr>
            <w:tcW w:w="25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Interest expense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7,325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4,888</w:t>
            </w:r>
          </w:p>
        </w:tc>
        <w:tc>
          <w:tcPr>
            <w:tcW w:w="25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(396</w:t>
            </w:r>
          </w:p>
        </w:tc>
        <w:tc>
          <w:tcPr>
            <w:tcW w:w="8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3,412</w:t>
            </w:r>
          </w:p>
        </w:tc>
        <w:tc>
          <w:tcPr>
            <w:tcW w:w="25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25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Income before provision for income taxes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14,588</w:t>
            </w:r>
          </w:p>
        </w:tc>
        <w:tc>
          <w:tcPr>
            <w:tcW w:w="25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Provision for income taxes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1,634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3,212</w:t>
            </w:r>
          </w:p>
        </w:tc>
        <w:tc>
          <w:tcPr>
            <w:tcW w:w="25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25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Net (loss) income</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(533</w:t>
            </w:r>
          </w:p>
        </w:tc>
        <w:tc>
          <w:tcPr>
            <w:tcW w:w="80"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11,376</w:t>
            </w:r>
          </w:p>
        </w:tc>
        <w:tc>
          <w:tcPr>
            <w:tcW w:w="25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25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Net (loss) income per share (Note 6):</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25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(0.01</w:t>
            </w:r>
          </w:p>
        </w:tc>
        <w:tc>
          <w:tcPr>
            <w:tcW w:w="8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0.23</w:t>
            </w:r>
          </w:p>
        </w:tc>
        <w:tc>
          <w:tcPr>
            <w:tcW w:w="25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(0.01</w:t>
            </w:r>
          </w:p>
        </w:tc>
        <w:tc>
          <w:tcPr>
            <w:tcW w:w="80"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0.23</w:t>
            </w:r>
          </w:p>
        </w:tc>
        <w:tc>
          <w:tcPr>
            <w:tcW w:w="25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25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Weighted-average common shares outstanding (000s):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25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49,538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49,644</w:t>
            </w:r>
          </w:p>
        </w:tc>
        <w:tc>
          <w:tcPr>
            <w:tcW w:w="25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49,538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50,058</w:t>
            </w:r>
          </w:p>
        </w:tc>
        <w:tc>
          <w:tcPr>
            <w:tcW w:w="2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accompanying notes are an integral part of these consolidated financial statements.</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NU SKIN ENTERPRISES, INC.</w:t>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Consolidated </w:t>
      </w:r>
      <w:bookmarkStart w:id="5" w:name="StatementsofComprehensive"/>
      <w:bookmarkEnd w:id="5"/>
      <w:r>
        <w:rPr>
          <w:rFonts w:ascii="Times New Roman;Times;serif" w:hAnsi="Times New Roman;Times;serif"/>
          <w:b/>
          <w:color w:val="000000"/>
          <w:sz w:val="20"/>
          <w:shd w:fill="FFFFFF" w:val="clear"/>
        </w:rPr>
        <w:t>Statements of Comprehensive Income (Unaudited)</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333"/>
        <w:gridCol w:w="60"/>
        <w:gridCol w:w="131"/>
        <w:gridCol w:w="685"/>
        <w:gridCol w:w="83"/>
        <w:gridCol w:w="62"/>
        <w:gridCol w:w="131"/>
        <w:gridCol w:w="621"/>
        <w:gridCol w:w="99"/>
      </w:tblGrid>
      <w:tr>
        <w:trPr/>
        <w:tc>
          <w:tcPr>
            <w:tcW w:w="8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3"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99" w:type="dxa"/>
            <w:tcBorders/>
            <w:vAlign w:val="bottom"/>
          </w:tcPr>
          <w:p>
            <w:pPr>
              <w:pStyle w:val="TableContents"/>
              <w:bidi w:val="0"/>
              <w:spacing w:before="0" w:after="283"/>
              <w:jc w:val="left"/>
              <w:rPr/>
            </w:pPr>
            <w:r>
              <w:rPr/>
              <w:t> </w:t>
            </w:r>
          </w:p>
        </w:tc>
      </w:tr>
      <w:tr>
        <w:trPr/>
        <w:tc>
          <w:tcPr>
            <w:tcW w:w="83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2024</w:t>
            </w:r>
          </w:p>
        </w:tc>
        <w:tc>
          <w:tcPr>
            <w:tcW w:w="8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5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99" w:type="dxa"/>
            <w:tcBorders/>
            <w:vAlign w:val="bottom"/>
          </w:tcPr>
          <w:p>
            <w:pPr>
              <w:pStyle w:val="TableContents"/>
              <w:bidi w:val="0"/>
              <w:spacing w:before="0" w:after="283"/>
              <w:jc w:val="left"/>
              <w:rPr/>
            </w:pPr>
            <w:r>
              <w:rPr/>
              <w:t> </w:t>
            </w:r>
          </w:p>
        </w:tc>
      </w:tr>
      <w:tr>
        <w:trPr/>
        <w:tc>
          <w:tcPr>
            <w:tcW w:w="8333"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Net (loss) income</w:t>
            </w:r>
          </w:p>
        </w:tc>
        <w:tc>
          <w:tcPr>
            <w:tcW w:w="60" w:type="dxa"/>
            <w:tcBorders/>
            <w:shd w:fill="CCEEFF" w:val="clear"/>
            <w:vAlign w:val="bottom"/>
          </w:tcPr>
          <w:p>
            <w:pPr>
              <w:pStyle w:val="TableContents"/>
              <w:bidi w:val="0"/>
              <w:spacing w:before="0" w:after="283"/>
              <w:jc w:val="righ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(533</w:t>
            </w:r>
          </w:p>
        </w:tc>
        <w:tc>
          <w:tcPr>
            <w:tcW w:w="83"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2" w:type="dxa"/>
            <w:tcBorders/>
            <w:shd w:fill="CCEEFF" w:val="clear"/>
            <w:vAlign w:val="bottom"/>
          </w:tcPr>
          <w:p>
            <w:pPr>
              <w:pStyle w:val="TableContents"/>
              <w:bidi w:val="0"/>
              <w:spacing w:before="0" w:after="283"/>
              <w:jc w:val="righ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2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11,376</w:t>
            </w:r>
          </w:p>
        </w:tc>
        <w:tc>
          <w:tcPr>
            <w:tcW w:w="99" w:type="dxa"/>
            <w:tcBorders/>
            <w:shd w:fill="CCEEFF" w:val="clear"/>
            <w:vAlign w:val="bottom"/>
          </w:tcPr>
          <w:p>
            <w:pPr>
              <w:pStyle w:val="TableContents"/>
              <w:bidi w:val="0"/>
              <w:spacing w:before="0" w:after="283"/>
              <w:jc w:val="left"/>
              <w:rPr/>
            </w:pPr>
            <w:r>
              <w:rPr/>
              <w:t> </w:t>
            </w:r>
          </w:p>
        </w:tc>
      </w:tr>
      <w:tr>
        <w:trPr/>
        <w:tc>
          <w:tcPr>
            <w:tcW w:w="83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8333"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Other comprehensive (loss) income, net of tax:</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8333" w:type="dxa"/>
            <w:tcBorders/>
            <w:vAlign w:val="bottom"/>
          </w:tcPr>
          <w:p>
            <w:pPr>
              <w:pStyle w:val="TableContents"/>
              <w:bidi w:val="0"/>
              <w:spacing w:before="0" w:after="0"/>
              <w:ind w:left="288"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adjustment, net of taxes of $— and $(68) for the three months ended March 31, 2024 and 2023, respectively</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(10,104</w:t>
            </w:r>
          </w:p>
        </w:tc>
        <w:tc>
          <w:tcPr>
            <w:tcW w:w="83"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2"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(2,139</w:t>
            </w:r>
          </w:p>
        </w:tc>
        <w:tc>
          <w:tcPr>
            <w:tcW w:w="99"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8333" w:type="dxa"/>
            <w:tcBorders/>
            <w:shd w:fill="CCEEFF" w:val="clear"/>
            <w:vAlign w:val="bottom"/>
          </w:tcPr>
          <w:p>
            <w:pPr>
              <w:pStyle w:val="TableContents"/>
              <w:bidi w:val="0"/>
              <w:spacing w:before="0" w:after="0"/>
              <w:ind w:left="288" w:right="0" w:hanging="0"/>
              <w:jc w:val="left"/>
              <w:rPr>
                <w:rFonts w:ascii="Times New Roman;Times;serif" w:hAnsi="Times New Roman;Times;serif"/>
                <w:color w:val="000000"/>
                <w:sz w:val="20"/>
              </w:rPr>
            </w:pPr>
            <w:r>
              <w:rPr>
                <w:rFonts w:ascii="Times New Roman;Times;serif" w:hAnsi="Times New Roman;Times;serif"/>
                <w:color w:val="000000"/>
                <w:sz w:val="20"/>
              </w:rPr>
              <w:t>Net unrealized gains/(losses) on cash flow hedges, net of taxes of $(435) and $175 for the three months ended March 31, 2024 and 2023, respectively</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1,574</w:t>
            </w:r>
          </w:p>
        </w:tc>
        <w:tc>
          <w:tcPr>
            <w:tcW w:w="8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(635</w:t>
            </w:r>
          </w:p>
        </w:tc>
        <w:tc>
          <w:tcPr>
            <w:tcW w:w="99"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8333" w:type="dxa"/>
            <w:tcBorders/>
            <w:vAlign w:val="bottom"/>
          </w:tcPr>
          <w:p>
            <w:pPr>
              <w:pStyle w:val="TableContents"/>
              <w:bidi w:val="0"/>
              <w:spacing w:before="0" w:after="0"/>
              <w:ind w:left="288" w:right="0" w:hanging="0"/>
              <w:jc w:val="left"/>
              <w:rPr>
                <w:rFonts w:ascii="Times New Roman;Times;serif" w:hAnsi="Times New Roman;Times;serif"/>
                <w:color w:val="000000"/>
                <w:sz w:val="20"/>
              </w:rPr>
            </w:pPr>
            <w:r>
              <w:rPr>
                <w:rFonts w:ascii="Times New Roman;Times;serif" w:hAnsi="Times New Roman;Times;serif"/>
                <w:color w:val="000000"/>
                <w:sz w:val="20"/>
              </w:rPr>
              <w:t>Reclassification adjustment for realized losses/(gains) in current earnings, net of taxes of $572 and $475 for the three months ended March 31, 2024 and 2023, respectively</w:t>
            </w:r>
          </w:p>
        </w:tc>
        <w:tc>
          <w:tcPr>
            <w:tcW w:w="60"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(2,071</w:t>
            </w:r>
          </w:p>
        </w:tc>
        <w:tc>
          <w:tcPr>
            <w:tcW w:w="83"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2"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62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(1,722</w:t>
            </w:r>
          </w:p>
        </w:tc>
        <w:tc>
          <w:tcPr>
            <w:tcW w:w="99"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83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(10,601</w:t>
            </w:r>
          </w:p>
        </w:tc>
        <w:tc>
          <w:tcPr>
            <w:tcW w:w="83"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2" w:type="dxa"/>
            <w:tcBorders/>
            <w:shd w:fill="CCEEFF" w:val="clear"/>
            <w:vAlign w:val="bottom"/>
          </w:tcPr>
          <w:p>
            <w:pPr>
              <w:pStyle w:val="TableContents"/>
              <w:bidi w:val="0"/>
              <w:spacing w:before="0" w:after="283"/>
              <w:jc w:val="righ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(4,496</w:t>
            </w:r>
          </w:p>
        </w:tc>
        <w:tc>
          <w:tcPr>
            <w:tcW w:w="99"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8333"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Comprehensive (loss) income</w:t>
            </w:r>
          </w:p>
        </w:tc>
        <w:tc>
          <w:tcPr>
            <w:tcW w:w="60" w:type="dxa"/>
            <w:tcBorders/>
            <w:vAlign w:val="bottom"/>
          </w:tcPr>
          <w:p>
            <w:pPr>
              <w:pStyle w:val="TableContents"/>
              <w:bidi w:val="0"/>
              <w:spacing w:before="0" w:after="283"/>
              <w:jc w:val="right"/>
              <w:rPr/>
            </w:pPr>
            <w:r>
              <w:rPr/>
              <w:t> </w:t>
            </w:r>
          </w:p>
        </w:tc>
        <w:tc>
          <w:tcPr>
            <w:tcW w:w="131"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(11,134</w:t>
            </w:r>
          </w:p>
        </w:tc>
        <w:tc>
          <w:tcPr>
            <w:tcW w:w="83"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2" w:type="dxa"/>
            <w:tcBorders/>
            <w:vAlign w:val="bottom"/>
          </w:tcPr>
          <w:p>
            <w:pPr>
              <w:pStyle w:val="TableContents"/>
              <w:bidi w:val="0"/>
              <w:spacing w:before="0" w:after="283"/>
              <w:jc w:val="right"/>
              <w:rPr/>
            </w:pPr>
            <w:r>
              <w:rPr/>
              <w:t> </w:t>
            </w:r>
          </w:p>
        </w:tc>
        <w:tc>
          <w:tcPr>
            <w:tcW w:w="131"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21"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6,880</w:t>
            </w:r>
          </w:p>
        </w:tc>
        <w:tc>
          <w:tcPr>
            <w:tcW w:w="9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NU SKIN ENTERPRISES, INC.</w:t>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Consolidated </w:t>
      </w:r>
      <w:bookmarkStart w:id="6" w:name="StatementsofStockholdersE"/>
      <w:bookmarkEnd w:id="6"/>
      <w:r>
        <w:rPr>
          <w:rFonts w:ascii="Times New Roman;Times;serif" w:hAnsi="Times New Roman;Times;serif"/>
          <w:b/>
          <w:color w:val="000000"/>
          <w:sz w:val="20"/>
          <w:shd w:fill="FFFFFF" w:val="clear"/>
        </w:rPr>
        <w:t>Statements of Stockholders’ Equity (Unaudited)</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490"/>
        <w:gridCol w:w="60"/>
        <w:gridCol w:w="259"/>
        <w:gridCol w:w="541"/>
        <w:gridCol w:w="60"/>
        <w:gridCol w:w="60"/>
        <w:gridCol w:w="140"/>
        <w:gridCol w:w="780"/>
        <w:gridCol w:w="80"/>
        <w:gridCol w:w="60"/>
        <w:gridCol w:w="125"/>
        <w:gridCol w:w="905"/>
        <w:gridCol w:w="80"/>
        <w:gridCol w:w="60"/>
        <w:gridCol w:w="190"/>
        <w:gridCol w:w="1150"/>
        <w:gridCol w:w="80"/>
        <w:gridCol w:w="60"/>
        <w:gridCol w:w="125"/>
        <w:gridCol w:w="845"/>
        <w:gridCol w:w="80"/>
        <w:gridCol w:w="60"/>
        <w:gridCol w:w="125"/>
        <w:gridCol w:w="695"/>
        <w:gridCol w:w="95"/>
      </w:tblGrid>
      <w:tr>
        <w:trPr/>
        <w:tc>
          <w:tcPr>
            <w:tcW w:w="34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0" w:type="dxa"/>
            <w:gridSpan w:val="2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 the Three Months Ended March 31, 2024</w:t>
            </w:r>
          </w:p>
        </w:tc>
        <w:tc>
          <w:tcPr>
            <w:tcW w:w="95"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Class A</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Common</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Additional</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Paid-in</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Treasury</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Accumulated</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Other</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Comprehensive</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Retained</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Total</w:t>
            </w:r>
          </w:p>
        </w:tc>
        <w:tc>
          <w:tcPr>
            <w:tcW w:w="95" w:type="dxa"/>
            <w:tcBorders/>
            <w:vAlign w:val="bottom"/>
          </w:tcPr>
          <w:p>
            <w:pPr>
              <w:pStyle w:val="TableContents"/>
              <w:bidi w:val="0"/>
              <w:spacing w:before="0" w:after="283"/>
              <w:jc w:val="left"/>
              <w:rPr/>
            </w:pPr>
            <w:r>
              <w:rPr/>
              <w:t> </w:t>
            </w:r>
          </w:p>
        </w:tc>
      </w:tr>
      <w:tr>
        <w:trPr/>
        <w:tc>
          <w:tcPr>
            <w:tcW w:w="3490"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Balance at January 1, 2024</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41"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80"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621,853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(1,570,440</w:t>
            </w:r>
          </w:p>
        </w:tc>
        <w:tc>
          <w:tcPr>
            <w:tcW w:w="8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50"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(100,006</w:t>
            </w:r>
          </w:p>
        </w:tc>
        <w:tc>
          <w:tcPr>
            <w:tcW w:w="8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1,870,470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821,968</w:t>
            </w:r>
          </w:p>
        </w:tc>
        <w:tc>
          <w:tcPr>
            <w:tcW w:w="95" w:type="dxa"/>
            <w:tcBorders/>
            <w:shd w:fill="CCEEFF" w:val="clear"/>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490"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(533</w:t>
            </w:r>
          </w:p>
        </w:tc>
        <w:tc>
          <w:tcPr>
            <w:tcW w:w="8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(533</w:t>
            </w:r>
          </w:p>
        </w:tc>
        <w:tc>
          <w:tcPr>
            <w:tcW w:w="9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490"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Other comprehensive loss, net of tax</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(10,601</w:t>
            </w:r>
          </w:p>
        </w:tc>
        <w:tc>
          <w:tcPr>
            <w:tcW w:w="80"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(10,601</w:t>
            </w:r>
          </w:p>
        </w:tc>
        <w:tc>
          <w:tcPr>
            <w:tcW w:w="95"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490" w:type="dxa"/>
            <w:tcBorders/>
            <w:shd w:fill="CCEEFF" w:val="clear"/>
            <w:vAlign w:val="bottom"/>
          </w:tcPr>
          <w:p>
            <w:pPr>
              <w:pStyle w:val="TableContents"/>
              <w:bidi w:val="0"/>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Exercise of employee stock options (0.2 million shares)/vesting of stock awards</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(7,389</w:t>
            </w:r>
          </w:p>
        </w:tc>
        <w:tc>
          <w:tcPr>
            <w:tcW w:w="8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5,498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(1,891</w:t>
            </w:r>
          </w:p>
        </w:tc>
        <w:tc>
          <w:tcPr>
            <w:tcW w:w="9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490"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4,242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4,242</w:t>
            </w:r>
          </w:p>
        </w:tc>
        <w:tc>
          <w:tcPr>
            <w:tcW w:w="95" w:type="dxa"/>
            <w:tcBorders/>
            <w:vAlign w:val="bottom"/>
          </w:tcPr>
          <w:p>
            <w:pPr>
              <w:pStyle w:val="TableContents"/>
              <w:bidi w:val="0"/>
              <w:spacing w:before="0" w:after="283"/>
              <w:jc w:val="left"/>
              <w:rPr/>
            </w:pPr>
            <w:r>
              <w:rPr/>
              <w:t> </w:t>
            </w:r>
          </w:p>
        </w:tc>
      </w:tr>
      <w:tr>
        <w:trPr/>
        <w:tc>
          <w:tcPr>
            <w:tcW w:w="3490"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Cash dividends</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(2,979</w:t>
            </w:r>
          </w:p>
        </w:tc>
        <w:tc>
          <w:tcPr>
            <w:tcW w:w="8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(2,979</w:t>
            </w:r>
          </w:p>
        </w:tc>
        <w:tc>
          <w:tcPr>
            <w:tcW w:w="9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490" w:type="dxa"/>
            <w:tcBorders/>
            <w:vAlign w:val="bottom"/>
          </w:tcPr>
          <w:p>
            <w:pPr>
              <w:pStyle w:val="TableContents"/>
              <w:bidi w:val="0"/>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Balance at March 31, 2024</w:t>
            </w:r>
          </w:p>
        </w:tc>
        <w:tc>
          <w:tcPr>
            <w:tcW w:w="60" w:type="dxa"/>
            <w:tcBorders/>
            <w:vAlign w:val="bottom"/>
          </w:tcPr>
          <w:p>
            <w:pPr>
              <w:pStyle w:val="TableContents"/>
              <w:bidi w:val="0"/>
              <w:spacing w:before="0" w:after="283"/>
              <w:jc w:val="right"/>
              <w:rPr/>
            </w:pPr>
            <w:r>
              <w:rPr/>
              <w:t> </w:t>
            </w:r>
          </w:p>
        </w:tc>
        <w:tc>
          <w:tcPr>
            <w:tcW w:w="259"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41"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618,706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(1,564,942</w:t>
            </w:r>
          </w:p>
        </w:tc>
        <w:tc>
          <w:tcPr>
            <w:tcW w:w="80"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vAlign w:val="bottom"/>
          </w:tcPr>
          <w:p>
            <w:pPr>
              <w:pStyle w:val="TableContents"/>
              <w:bidi w:val="0"/>
              <w:spacing w:before="0" w:after="283"/>
              <w:jc w:val="right"/>
              <w:rPr/>
            </w:pPr>
            <w:r>
              <w:rPr/>
              <w:t> </w:t>
            </w:r>
          </w:p>
        </w:tc>
        <w:tc>
          <w:tcPr>
            <w:tcW w:w="190"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5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(110,607</w:t>
            </w:r>
          </w:p>
        </w:tc>
        <w:tc>
          <w:tcPr>
            <w:tcW w:w="80"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1,866,958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810,206</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490"/>
        <w:gridCol w:w="60"/>
        <w:gridCol w:w="259"/>
        <w:gridCol w:w="541"/>
        <w:gridCol w:w="60"/>
        <w:gridCol w:w="60"/>
        <w:gridCol w:w="140"/>
        <w:gridCol w:w="780"/>
        <w:gridCol w:w="80"/>
        <w:gridCol w:w="60"/>
        <w:gridCol w:w="125"/>
        <w:gridCol w:w="905"/>
        <w:gridCol w:w="80"/>
        <w:gridCol w:w="60"/>
        <w:gridCol w:w="216"/>
        <w:gridCol w:w="1124"/>
        <w:gridCol w:w="80"/>
        <w:gridCol w:w="60"/>
        <w:gridCol w:w="125"/>
        <w:gridCol w:w="845"/>
        <w:gridCol w:w="80"/>
        <w:gridCol w:w="60"/>
        <w:gridCol w:w="125"/>
        <w:gridCol w:w="695"/>
        <w:gridCol w:w="95"/>
      </w:tblGrid>
      <w:tr>
        <w:trPr/>
        <w:tc>
          <w:tcPr>
            <w:tcW w:w="34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0" w:type="dxa"/>
            <w:gridSpan w:val="2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 the Three Months Ended March 31, 2023</w:t>
            </w:r>
          </w:p>
        </w:tc>
        <w:tc>
          <w:tcPr>
            <w:tcW w:w="95"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Class A</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Common</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Additional</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Paid-in</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Treasury</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Accumulated</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Other</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Comprehensive</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Retained</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Total</w:t>
            </w:r>
          </w:p>
        </w:tc>
        <w:tc>
          <w:tcPr>
            <w:tcW w:w="95" w:type="dxa"/>
            <w:tcBorders/>
            <w:vAlign w:val="bottom"/>
          </w:tcPr>
          <w:p>
            <w:pPr>
              <w:pStyle w:val="TableContents"/>
              <w:bidi w:val="0"/>
              <w:spacing w:before="0" w:after="283"/>
              <w:jc w:val="left"/>
              <w:rPr/>
            </w:pPr>
            <w:r>
              <w:rPr/>
              <w:t> </w:t>
            </w:r>
          </w:p>
        </w:tc>
      </w:tr>
      <w:tr>
        <w:trPr/>
        <w:tc>
          <w:tcPr>
            <w:tcW w:w="3490"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Balance at January 1, 2023</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41"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80"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613,278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(1,569,061</w:t>
            </w:r>
          </w:p>
        </w:tc>
        <w:tc>
          <w:tcPr>
            <w:tcW w:w="8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24"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(86,509</w:t>
            </w:r>
          </w:p>
        </w:tc>
        <w:tc>
          <w:tcPr>
            <w:tcW w:w="8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1,939,497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897,296</w:t>
            </w:r>
          </w:p>
        </w:tc>
        <w:tc>
          <w:tcPr>
            <w:tcW w:w="95" w:type="dxa"/>
            <w:tcBorders/>
            <w:shd w:fill="CCEEFF" w:val="clear"/>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490"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11,376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11,376</w:t>
            </w:r>
          </w:p>
        </w:tc>
        <w:tc>
          <w:tcPr>
            <w:tcW w:w="95" w:type="dxa"/>
            <w:tcBorders/>
            <w:shd w:fill="CCEEFF" w:val="clear"/>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Other comprehensive loss, net of tax</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(4,496</w:t>
            </w:r>
          </w:p>
        </w:tc>
        <w:tc>
          <w:tcPr>
            <w:tcW w:w="80"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(4,496</w:t>
            </w:r>
          </w:p>
        </w:tc>
        <w:tc>
          <w:tcPr>
            <w:tcW w:w="95"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490" w:type="dxa"/>
            <w:tcBorders/>
            <w:shd w:fill="CCEEFF" w:val="clear"/>
            <w:vAlign w:val="bottom"/>
          </w:tcPr>
          <w:p>
            <w:pPr>
              <w:pStyle w:val="TableContents"/>
              <w:bidi w:val="0"/>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Exercise of employee stock options (0.4 million shares)/vesting of stock awards</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(5,797</w:t>
            </w:r>
          </w:p>
        </w:tc>
        <w:tc>
          <w:tcPr>
            <w:tcW w:w="8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9,981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4,184</w:t>
            </w:r>
          </w:p>
        </w:tc>
        <w:tc>
          <w:tcPr>
            <w:tcW w:w="95" w:type="dxa"/>
            <w:tcBorders/>
            <w:shd w:fill="CCEEFF" w:val="clear"/>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4,002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4,002</w:t>
            </w:r>
          </w:p>
        </w:tc>
        <w:tc>
          <w:tcPr>
            <w:tcW w:w="95" w:type="dxa"/>
            <w:tcBorders/>
            <w:vAlign w:val="bottom"/>
          </w:tcPr>
          <w:p>
            <w:pPr>
              <w:pStyle w:val="TableContents"/>
              <w:bidi w:val="0"/>
              <w:spacing w:before="0" w:after="283"/>
              <w:jc w:val="left"/>
              <w:rPr/>
            </w:pPr>
            <w:r>
              <w:rPr/>
              <w:t> </w:t>
            </w:r>
          </w:p>
        </w:tc>
      </w:tr>
      <w:tr>
        <w:trPr/>
        <w:tc>
          <w:tcPr>
            <w:tcW w:w="3490"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Cash dividends</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(19,392</w:t>
            </w:r>
          </w:p>
        </w:tc>
        <w:tc>
          <w:tcPr>
            <w:tcW w:w="8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(19,392</w:t>
            </w:r>
          </w:p>
        </w:tc>
        <w:tc>
          <w:tcPr>
            <w:tcW w:w="9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490" w:type="dxa"/>
            <w:tcBorders/>
            <w:vAlign w:val="bottom"/>
          </w:tcPr>
          <w:p>
            <w:pPr>
              <w:pStyle w:val="TableContents"/>
              <w:bidi w:val="0"/>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Balance at March 31, 2023</w:t>
            </w:r>
          </w:p>
        </w:tc>
        <w:tc>
          <w:tcPr>
            <w:tcW w:w="60" w:type="dxa"/>
            <w:tcBorders/>
            <w:vAlign w:val="bottom"/>
          </w:tcPr>
          <w:p>
            <w:pPr>
              <w:pStyle w:val="TableContents"/>
              <w:bidi w:val="0"/>
              <w:spacing w:before="0" w:after="283"/>
              <w:jc w:val="right"/>
              <w:rPr/>
            </w:pPr>
            <w:r>
              <w:rPr/>
              <w:t> </w:t>
            </w:r>
          </w:p>
        </w:tc>
        <w:tc>
          <w:tcPr>
            <w:tcW w:w="259"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41"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611,483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(1,559,080</w:t>
            </w:r>
          </w:p>
        </w:tc>
        <w:tc>
          <w:tcPr>
            <w:tcW w:w="80"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vAlign w:val="bottom"/>
          </w:tcPr>
          <w:p>
            <w:pPr>
              <w:pStyle w:val="TableContents"/>
              <w:bidi w:val="0"/>
              <w:spacing w:before="0" w:after="283"/>
              <w:jc w:val="right"/>
              <w:rPr/>
            </w:pPr>
            <w:r>
              <w:rPr/>
              <w:t> </w:t>
            </w:r>
          </w:p>
        </w:tc>
        <w:tc>
          <w:tcPr>
            <w:tcW w:w="21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2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(91,005</w:t>
            </w:r>
          </w:p>
        </w:tc>
        <w:tc>
          <w:tcPr>
            <w:tcW w:w="80"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1,931,481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892,970</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7" w:name="CashFlows"/>
      <w:bookmarkEnd w:id="7"/>
      <w:r>
        <w:rPr>
          <w:rFonts w:ascii="Times New Roman" w:hAnsi="Times New Roman"/>
          <w:b/>
          <w:color w:val="000000"/>
          <w:sz w:val="20"/>
          <w:shd w:fill="FFFFFF" w:val="clear"/>
        </w:rPr>
        <w:t>Cash Flows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255"/>
        <w:gridCol w:w="60"/>
        <w:gridCol w:w="125"/>
        <w:gridCol w:w="695"/>
        <w:gridCol w:w="95"/>
        <w:gridCol w:w="60"/>
        <w:gridCol w:w="125"/>
        <w:gridCol w:w="695"/>
        <w:gridCol w:w="95"/>
      </w:tblGrid>
      <w:tr>
        <w:trPr/>
        <w:tc>
          <w:tcPr>
            <w:tcW w:w="82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tc>
        <w:tc>
          <w:tcPr>
            <w:tcW w:w="95" w:type="dxa"/>
            <w:tcBorders/>
            <w:vAlign w:val="bottom"/>
          </w:tcPr>
          <w:p>
            <w:pPr>
              <w:pStyle w:val="TableContents"/>
              <w:bidi w:val="0"/>
              <w:spacing w:before="0" w:after="283"/>
              <w:jc w:val="left"/>
              <w:rPr/>
            </w:pPr>
            <w:r>
              <w:rPr/>
              <w:t> </w:t>
            </w:r>
          </w:p>
        </w:tc>
      </w:tr>
      <w:tr>
        <w:trPr/>
        <w:tc>
          <w:tcPr>
            <w:tcW w:w="8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95" w:type="dxa"/>
            <w:tcBorders/>
            <w:vAlign w:val="bottom"/>
          </w:tcPr>
          <w:p>
            <w:pPr>
              <w:pStyle w:val="TableContents"/>
              <w:bidi w:val="0"/>
              <w:spacing w:before="0" w:after="283"/>
              <w:jc w:val="left"/>
              <w:rPr/>
            </w:pPr>
            <w:r>
              <w:rPr/>
              <w:t> </w:t>
            </w:r>
          </w:p>
        </w:tc>
      </w:tr>
      <w:tr>
        <w:trPr/>
        <w:tc>
          <w:tcPr>
            <w:tcW w:w="82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(loss)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11,376</w:t>
            </w:r>
          </w:p>
        </w:tc>
        <w:tc>
          <w:tcPr>
            <w:tcW w:w="95" w:type="dxa"/>
            <w:tcBorders/>
            <w:shd w:fill="CCEEFF" w:val="clear"/>
            <w:vAlign w:val="bottom"/>
          </w:tcPr>
          <w:p>
            <w:pPr>
              <w:pStyle w:val="TableContents"/>
              <w:bidi w:val="0"/>
              <w:spacing w:before="0" w:after="283"/>
              <w:jc w:val="left"/>
              <w:rPr/>
            </w:pPr>
            <w:r>
              <w:rPr/>
              <w:t> </w:t>
            </w:r>
          </w:p>
        </w:tc>
      </w:tr>
      <w:tr>
        <w:trPr/>
        <w:tc>
          <w:tcPr>
            <w:tcW w:w="825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Adjustments to reconcile net (loss) income to cash flows from operating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16,983</w:t>
            </w:r>
          </w:p>
        </w:tc>
        <w:tc>
          <w:tcPr>
            <w:tcW w:w="95" w:type="dxa"/>
            <w:tcBorders/>
            <w:shd w:fill="CCEEFF" w:val="clear"/>
            <w:vAlign w:val="bottom"/>
          </w:tcPr>
          <w:p>
            <w:pPr>
              <w:pStyle w:val="TableContents"/>
              <w:bidi w:val="0"/>
              <w:spacing w:before="0" w:after="283"/>
              <w:jc w:val="left"/>
              <w:rPr/>
            </w:pPr>
            <w:r>
              <w:rPr/>
              <w:t> </w:t>
            </w:r>
          </w:p>
        </w:tc>
      </w:tr>
      <w:tr>
        <w:trPr/>
        <w:tc>
          <w:tcPr>
            <w:tcW w:w="8255" w:type="dxa"/>
            <w:tcBorders/>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Non-cash lease expense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7,987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8,566</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4,002</w:t>
            </w:r>
          </w:p>
        </w:tc>
        <w:tc>
          <w:tcPr>
            <w:tcW w:w="95" w:type="dxa"/>
            <w:tcBorders/>
            <w:shd w:fill="CCEEFF" w:val="clear"/>
            <w:vAlign w:val="bottom"/>
          </w:tcPr>
          <w:p>
            <w:pPr>
              <w:pStyle w:val="TableContents"/>
              <w:bidi w:val="0"/>
              <w:spacing w:before="0" w:after="283"/>
              <w:jc w:val="left"/>
              <w:rPr/>
            </w:pPr>
            <w:r>
              <w:rPr/>
              <w:t> </w:t>
            </w:r>
          </w:p>
        </w:tc>
      </w:tr>
      <w:tr>
        <w:trPr/>
        <w:tc>
          <w:tcPr>
            <w:tcW w:w="8255" w:type="dxa"/>
            <w:tcBorders/>
            <w:vAlign w:val="bottom"/>
          </w:tcPr>
          <w:p>
            <w:pPr>
              <w:pStyle w:val="TableContents"/>
              <w:bidi w:val="0"/>
              <w:spacing w:before="0" w:after="0"/>
              <w:ind w:left="540" w:right="0" w:hanging="0"/>
              <w:jc w:val="left"/>
              <w:rPr/>
            </w:pPr>
            <w:r>
              <w:rPr/>
              <w:t>Inventory write-down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2,003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3,267</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Foreign currency losses / (gains)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Loss / (gain) on disposal of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Deferred taxes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vAlign w:val="bottom"/>
          </w:tcPr>
          <w:p>
            <w:pPr>
              <w:pStyle w:val="TableContents"/>
              <w:bidi w:val="0"/>
              <w:spacing w:before="0" w:after="0"/>
              <w:ind w:left="864" w:right="0" w:hanging="144"/>
              <w:jc w:val="left"/>
              <w:rPr>
                <w:rFonts w:ascii="Times New Roman" w:hAnsi="Times New Roman"/>
                <w:color w:val="000000"/>
                <w:sz w:val="20"/>
              </w:rPr>
            </w:pPr>
            <w:r>
              <w:rPr>
                <w:rFonts w:ascii="Times New Roman" w:hAnsi="Times New Roman"/>
                <w:color w:val="000000"/>
                <w:sz w:val="20"/>
              </w:rPr>
              <w:t>Changes in operating assets and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(15,336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Inventories,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(23,001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(13,352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(12,895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(864</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(10,575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(4,495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Accrued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(4,129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(14,020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(3,360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cash provided by / (used in) operating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(22,077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82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investing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Purchases of property and equipment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(12,281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(11,487</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Proceeds on investment sales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4,986</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Purchases of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(8,195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cash used in investing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(9,262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(14,696</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82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financing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Exercise of employee stock options and taxes paid related to the net shares settlement of stock awards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4,184</w:t>
            </w:r>
          </w:p>
        </w:tc>
        <w:tc>
          <w:tcPr>
            <w:tcW w:w="95" w:type="dxa"/>
            <w:tcBorders/>
            <w:shd w:fill="CCEEFF" w:val="clear"/>
            <w:vAlign w:val="bottom"/>
          </w:tcPr>
          <w:p>
            <w:pPr>
              <w:pStyle w:val="TableContents"/>
              <w:bidi w:val="0"/>
              <w:spacing w:before="0" w:after="283"/>
              <w:jc w:val="left"/>
              <w:rPr/>
            </w:pPr>
            <w:r>
              <w:rPr/>
              <w:t> </w:t>
            </w:r>
          </w:p>
        </w:tc>
      </w:tr>
      <w:tr>
        <w:trPr/>
        <w:tc>
          <w:tcPr>
            <w:tcW w:w="825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Payment of cash dividends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(19,392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Finance lease principal payments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Contingent consideration payments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(6,300</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Payments of debt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(20,000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Proceeds from debt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20,000</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cash (used in) / provided by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(31,955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1,380</w:t>
            </w:r>
          </w:p>
        </w:tc>
        <w:tc>
          <w:tcPr>
            <w:tcW w:w="95" w:type="dxa"/>
            <w:tcBorders/>
            <w:shd w:fill="CCEEFF" w:val="clear"/>
            <w:vAlign w:val="bottom"/>
          </w:tcPr>
          <w:p>
            <w:pPr>
              <w:pStyle w:val="TableContents"/>
              <w:bidi w:val="0"/>
              <w:spacing w:before="0" w:after="283"/>
              <w:jc w:val="left"/>
              <w:rPr/>
            </w:pPr>
            <w:r>
              <w:rPr/>
              <w:t> </w:t>
            </w:r>
          </w:p>
        </w:tc>
      </w:tr>
      <w:tr>
        <w:trPr/>
        <w:tc>
          <w:tcPr>
            <w:tcW w:w="8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Effect of exchange rate changes on cash</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(5,626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609</w:t>
            </w:r>
          </w:p>
        </w:tc>
        <w:tc>
          <w:tcPr>
            <w:tcW w:w="95" w:type="dxa"/>
            <w:tcBorders/>
            <w:shd w:fill="CCEEFF" w:val="clear"/>
            <w:vAlign w:val="bottom"/>
          </w:tcPr>
          <w:p>
            <w:pPr>
              <w:pStyle w:val="TableContents"/>
              <w:bidi w:val="0"/>
              <w:spacing w:before="0" w:after="283"/>
              <w:jc w:val="left"/>
              <w:rPr/>
            </w:pPr>
            <w:r>
              <w:rPr/>
              <w:t> </w:t>
            </w:r>
          </w:p>
        </w:tc>
      </w:tr>
      <w:tr>
        <w:trPr/>
        <w:tc>
          <w:tcPr>
            <w:tcW w:w="8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decrease in 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(43,525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(34,784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256,057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264,725</w:t>
            </w:r>
          </w:p>
        </w:tc>
        <w:tc>
          <w:tcPr>
            <w:tcW w:w="95" w:type="dxa"/>
            <w:tcBorders/>
            <w:shd w:fill="CCEEFF" w:val="clear"/>
            <w:vAlign w:val="bottom"/>
          </w:tcPr>
          <w:p>
            <w:pPr>
              <w:pStyle w:val="TableContents"/>
              <w:bidi w:val="0"/>
              <w:spacing w:before="0" w:after="283"/>
              <w:jc w:val="left"/>
              <w:rPr/>
            </w:pPr>
            <w:r>
              <w:rPr/>
              <w:t> </w:t>
            </w:r>
          </w:p>
        </w:tc>
      </w:tr>
      <w:tr>
        <w:trPr/>
        <w:tc>
          <w:tcPr>
            <w:tcW w:w="8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82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 end of period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212,532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229,941</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color w:val="000000"/>
          <w:sz w:val="20"/>
          <w:shd w:fill="FFFFFF" w:val="clear"/>
        </w:rPr>
      </w:pPr>
      <w:bookmarkStart w:id="8" w:name="Notes"/>
      <w:bookmarkEnd w:id="8"/>
      <w:r>
        <w:rPr>
          <w:rFonts w:ascii="Times New Roman" w:hAnsi="Times New Roman"/>
          <w:color w:val="000000"/>
          <w:sz w:val="20"/>
          <w:shd w:fill="FFFFFF" w:val="clear"/>
        </w:rPr>
        <w:t>Notes to Consolidated Financial Statements</w:t>
      </w:r>
    </w:p>
    <w:p>
      <w:pPr>
        <w:pStyle w:val="TextBody"/>
        <w:bidi w:val="0"/>
        <w:spacing w:before="0" w:after="0"/>
        <w:jc w:val="left"/>
        <w:rPr/>
      </w:pPr>
      <w:r>
        <w:rPr/>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The Company</w:t>
            </w:r>
          </w:p>
        </w:tc>
      </w:tr>
    </w:tbl>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Nu Skin Enterprises, Inc. (the “Company”) is a holding company, with Nu Skin being the primary operating unit.  Nu Skin develops and distributes premium-quality, innovative beauty and wellness products that are sold worldwide under the Nu Skin, Pharmanex and ageLOC brands and a small number of other products and services.  The Company reports revenue from nine segments, consisting of its seven geographic Nu Skin segments</w:t>
      </w:r>
      <w:r>
        <w:rPr>
          <w:rFonts w:ascii="Times New Roman" w:hAnsi="Times New Roman"/>
          <w:caps w:val="false"/>
          <w:smallCaps w:val="false"/>
          <w:color w:val="000000"/>
          <w:spacing w:val="0"/>
          <w:sz w:val="20"/>
          <w:shd w:fill="FFFFFF" w:val="clear"/>
        </w:rPr>
        <w:t>—</w:t>
      </w:r>
      <w:r>
        <w:rPr>
          <w:rFonts w:ascii="Times New Roman" w:hAnsi="Times New Roman"/>
          <w:b w:val="false"/>
          <w:i w:val="false"/>
          <w:caps w:val="false"/>
          <w:smallCaps w:val="false"/>
          <w:color w:val="000000"/>
          <w:spacing w:val="0"/>
          <w:sz w:val="20"/>
          <w:shd w:fill="FFFFFF" w:val="clear"/>
        </w:rPr>
        <w:t>Americas,</w:t>
      </w:r>
      <w:r>
        <w:rPr>
          <w:rFonts w:ascii="Times New Roman" w:hAnsi="Times New Roman"/>
          <w:color w:val="000000"/>
          <w:sz w:val="20"/>
          <w:shd w:fill="FFFFFF" w:val="clear"/>
        </w:rPr>
        <w:t xml:space="preserve"> which includes Canada, Latin America and the United States; Mainland China; Southeast Asia/Pacific, which includes Indonesia, Malaysia, the Philippines, Singapore, Thailand</w:t>
      </w:r>
      <w:r>
        <w:rPr>
          <w:rFonts w:ascii="Times New Roman;Times;serif" w:hAnsi="Times New Roman;Times;serif"/>
          <w:color w:val="000000"/>
          <w:sz w:val="20"/>
          <w:shd w:fill="FFFFFF" w:val="clear"/>
        </w:rPr>
        <w:t>,</w:t>
      </w:r>
      <w:r>
        <w:rPr>
          <w:rFonts w:ascii="Times New Roman" w:hAnsi="Times New Roman"/>
          <w:color w:val="000000"/>
          <w:sz w:val="20"/>
          <w:shd w:fill="FFFFFF" w:val="clear"/>
        </w:rPr>
        <w:t xml:space="preserve"> Vietnam</w:t>
      </w:r>
      <w:r>
        <w:rPr>
          <w:rFonts w:ascii="Times New Roman;Times;serif" w:hAnsi="Times New Roman;Times;serif"/>
          <w:color w:val="000000"/>
          <w:sz w:val="20"/>
          <w:shd w:fill="FFFFFF" w:val="clear"/>
        </w:rPr>
        <w:t xml:space="preserve">, Australia, New Zealand, and other markets; </w:t>
      </w:r>
      <w:r>
        <w:rPr>
          <w:rFonts w:ascii="Times New Roman" w:hAnsi="Times New Roman"/>
          <w:color w:val="000000"/>
          <w:sz w:val="20"/>
          <w:shd w:fill="FFFFFF" w:val="clear"/>
        </w:rPr>
        <w:t xml:space="preserve">Japan; Europe and Africa, which includes markets in Europe as well as South Africa; </w:t>
      </w:r>
      <w:r>
        <w:rPr>
          <w:rFonts w:ascii="Times New Roman;Times;serif" w:hAnsi="Times New Roman;Times;serif"/>
          <w:color w:val="000000"/>
          <w:sz w:val="20"/>
          <w:shd w:fill="FFFFFF" w:val="clear"/>
        </w:rPr>
        <w:t xml:space="preserve">South Korea; </w:t>
      </w:r>
      <w:r>
        <w:rPr>
          <w:rFonts w:ascii="Times New Roman" w:hAnsi="Times New Roman"/>
          <w:color w:val="000000"/>
          <w:sz w:val="20"/>
          <w:shd w:fill="FFFFFF" w:val="clear"/>
        </w:rPr>
        <w:t>and Hong Kong/Taiwan, which also includes Macau—and two Rhyz segments—Manufacturing, which includes manufacturing and packaging subsidiaries it has acquired; and Rhyz other, which includes other investments by its Rhyz business arm (the Company’s subsidiaries operating within each segment are collectively referred to as the “Subsidiaries”).</w:t>
      </w:r>
    </w:p>
    <w:p>
      <w:pPr>
        <w:pStyle w:val="TextBody"/>
        <w:bidi w:val="0"/>
        <w:spacing w:before="0" w:after="0"/>
        <w:jc w:val="left"/>
        <w:rPr/>
      </w:pPr>
      <w:r>
        <w:rPr/>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w:t>
            </w:r>
          </w:p>
        </w:tc>
        <w:tc>
          <w:tcPr>
            <w:tcW w:w="375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Summary of Significant Accounting Policies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March 31, 2024, and for the three-month periods ended March 31, 2024 and 2023. The results of operations of any interim period are not necessarily indicative of the results of operations to be expected for the fiscal year. The consolidated balance sheet as of December 31, 2023 has been prepared using information from the audited financial statements at that date. For further information, refer to the consolidated financial statements and accompanying footnotes included in the Company’s Annual Report on Form 10-K for the year ended December 31, 2023.</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i/>
          <w:color w:val="000000"/>
          <w:sz w:val="20"/>
          <w:shd w:fill="FFFFFF" w:val="clear"/>
        </w:rPr>
      </w:pPr>
      <w:r>
        <w:rPr>
          <w:rFonts w:ascii="Times New Roman" w:hAnsi="Times New Roman"/>
          <w:i/>
          <w:color w:val="000000"/>
          <w:sz w:val="20"/>
          <w:shd w:fill="FFFFFF" w:val="clear"/>
        </w:rPr>
        <w:t>Accounting Pronouncements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November 2023, the Financial Accounting Standards Board (“FASB”) issued ASU 2023-07, </w:t>
      </w:r>
      <w:r>
        <w:rPr>
          <w:rFonts w:ascii="Times New Roman;Times;serif" w:hAnsi="Times New Roman;Times;serif"/>
          <w:i/>
          <w:color w:val="000000"/>
          <w:sz w:val="20"/>
          <w:shd w:fill="FFFFFF" w:val="clear"/>
        </w:rPr>
        <w:t xml:space="preserve">Segment Reporting (Topic 280). </w:t>
      </w:r>
      <w:r>
        <w:rPr>
          <w:rFonts w:ascii="Times New Roman;Times;serif" w:hAnsi="Times New Roman;Times;serif"/>
          <w:color w:val="000000"/>
          <w:sz w:val="20"/>
          <w:shd w:fill="FFFFFF" w:val="clear"/>
        </w:rPr>
        <w:t>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This amendment is effective for fiscal years beginning after December 15, 2023, and interim periods within fiscal years beginning after December 15, 2024, and requires retrospective adoption. Early adoption is permitted. The Company will adopt this standard with its fiscal 2024 annual filing. The Company is currently evaluating these new disclosure requirements and the impact of adoption.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720" w:right="0" w:hanging="72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Reclassifications</w:t>
      </w:r>
    </w:p>
    <w:p>
      <w:pPr>
        <w:pStyle w:val="TextBody"/>
        <w:bidi w:val="0"/>
        <w:spacing w:before="0" w:after="0"/>
        <w:jc w:val="left"/>
        <w:rPr/>
      </w:pPr>
      <w:r>
        <w:rPr/>
      </w:r>
    </w:p>
    <w:p>
      <w:pPr>
        <w:pStyle w:val="TextBody"/>
        <w:bidi w:val="0"/>
        <w:spacing w:before="0" w:after="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Certain prior period amounts have been reclassified to conform with current presentation. The Company reclassified $4.9 million of interest expense from other income (expense), net to the interest expense line on the consolidated statement of income for the first quarter of 2023. The reclassification had no impact on net income for the first quarter of 2023.</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Inventory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Inventories consist of the following (U.S. dollars in thousands):</w:t>
      </w:r>
    </w:p>
    <w:p>
      <w:pPr>
        <w:pStyle w:val="TextBody"/>
        <w:bidi w:val="0"/>
        <w:spacing w:before="0" w:after="0"/>
        <w:jc w:val="left"/>
        <w:rPr/>
      </w:pPr>
      <w:r>
        <w:rPr/>
      </w:r>
    </w:p>
    <w:tbl>
      <w:tblPr>
        <w:tblW w:w="3973" w:type="dxa"/>
        <w:jc w:val="left"/>
        <w:tblInd w:w="0" w:type="dxa"/>
        <w:tblLayout w:type="fixed"/>
        <w:tblCellMar>
          <w:top w:w="0" w:type="dxa"/>
          <w:left w:w="0" w:type="dxa"/>
          <w:bottom w:w="0" w:type="dxa"/>
          <w:right w:w="0" w:type="dxa"/>
        </w:tblCellMar>
      </w:tblPr>
      <w:tblGrid>
        <w:gridCol w:w="1655"/>
        <w:gridCol w:w="60"/>
        <w:gridCol w:w="135"/>
        <w:gridCol w:w="754"/>
        <w:gridCol w:w="60"/>
        <w:gridCol w:w="60"/>
        <w:gridCol w:w="178"/>
        <w:gridCol w:w="996"/>
        <w:gridCol w:w="75"/>
      </w:tblGrid>
      <w:tr>
        <w:trPr/>
        <w:tc>
          <w:tcPr>
            <w:tcW w:w="1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Raw materials</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140,133</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Finished goods</w:t>
            </w:r>
          </w:p>
        </w:tc>
        <w:tc>
          <w:tcPr>
            <w:tcW w:w="60"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139,845</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 Inventory, net</w:t>
            </w:r>
          </w:p>
        </w:tc>
        <w:tc>
          <w:tcPr>
            <w:tcW w:w="60" w:type="dxa"/>
            <w:tcBorders/>
            <w:shd w:fill="CCEEFF" w:val="clear"/>
            <w:vAlign w:val="bottom"/>
          </w:tcPr>
          <w:p>
            <w:pPr>
              <w:pStyle w:val="TableContents"/>
              <w:bidi w:val="0"/>
              <w:spacing w:before="0" w:after="283"/>
              <w:jc w:val="left"/>
              <w:rPr/>
            </w:pPr>
            <w:r>
              <w:rPr/>
              <w:t> </w:t>
            </w:r>
          </w:p>
        </w:tc>
        <w:tc>
          <w:tcPr>
            <w:tcW w:w="13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279,978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Reserves of inventories consist of the following (U.S. dollars in thousands):</w:t>
      </w:r>
    </w:p>
    <w:p>
      <w:pPr>
        <w:pStyle w:val="TextBody"/>
        <w:bidi w:val="0"/>
        <w:spacing w:before="0" w:after="0"/>
        <w:jc w:val="left"/>
        <w:rPr/>
      </w:pPr>
      <w:r>
        <w:rPr/>
      </w:r>
    </w:p>
    <w:tbl>
      <w:tblPr>
        <w:tblW w:w="3522" w:type="dxa"/>
        <w:jc w:val="left"/>
        <w:tblInd w:w="0" w:type="dxa"/>
        <w:tblLayout w:type="fixed"/>
        <w:tblCellMar>
          <w:top w:w="0" w:type="dxa"/>
          <w:left w:w="0" w:type="dxa"/>
          <w:bottom w:w="0" w:type="dxa"/>
          <w:right w:w="0" w:type="dxa"/>
        </w:tblCellMar>
      </w:tblPr>
      <w:tblGrid>
        <w:gridCol w:w="1580"/>
        <w:gridCol w:w="60"/>
        <w:gridCol w:w="142"/>
        <w:gridCol w:w="672"/>
        <w:gridCol w:w="91"/>
        <w:gridCol w:w="68"/>
        <w:gridCol w:w="142"/>
        <w:gridCol w:w="672"/>
        <w:gridCol w:w="95"/>
      </w:tblGrid>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March 31,</w:t>
            </w:r>
          </w:p>
        </w:tc>
        <w:tc>
          <w:tcPr>
            <w:tcW w:w="95" w:type="dxa"/>
            <w:tcBorders/>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9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83,378</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37,267</w:t>
            </w:r>
          </w:p>
        </w:tc>
        <w:tc>
          <w:tcPr>
            <w:tcW w:w="95"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Additions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2,003</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3,267</w:t>
            </w:r>
          </w:p>
        </w:tc>
        <w:tc>
          <w:tcPr>
            <w:tcW w:w="9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Write-offs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(4,862</w:t>
            </w:r>
          </w:p>
        </w:tc>
        <w:tc>
          <w:tcPr>
            <w:tcW w:w="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(4,518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80,519</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36,016</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Revenue Recognition</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 Liabilities – Customer Loyalty Programs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balance of deferred revenue related to contract liabilities as of March 31, 2024 and December 31, 2023 was $11.9 million and $12.6 million, respectively. The contract liabilities impact to revenue for the three-month periods ended March 31, 2024, and 2023 was an increase of $0.7 million and an increase of $1.3 million, respecti</w:t>
      </w:r>
      <w:r>
        <w:rPr>
          <w:rFonts w:ascii="Times New Roman" w:hAnsi="Times New Roman"/>
          <w:b w:val="false"/>
          <w:i w:val="false"/>
          <w:caps w:val="false"/>
          <w:smallCaps w:val="false"/>
          <w:color w:val="000000"/>
          <w:sz w:val="20"/>
          <w:shd w:fill="FFFFFF" w:val="clear"/>
        </w:rPr>
        <w:t>vely.</w:t>
      </w:r>
    </w:p>
    <w:p>
      <w:pPr>
        <w:pStyle w:val="TextBody"/>
        <w:bidi w:val="0"/>
        <w:spacing w:before="0" w:after="0"/>
        <w:jc w:val="left"/>
        <w:rPr/>
      </w:pPr>
      <w:r>
        <w:rPr/>
      </w:r>
    </w:p>
    <w:tbl>
      <w:tblPr>
        <w:tblW w:w="1000" w:type="dxa"/>
        <w:jc w:val="left"/>
        <w:tblInd w:w="0" w:type="dxa"/>
        <w:tblLayout w:type="fixed"/>
        <w:tblCellMar>
          <w:top w:w="0" w:type="dxa"/>
          <w:left w:w="0" w:type="dxa"/>
          <w:bottom w:w="0" w:type="dxa"/>
          <w:right w:w="0" w:type="dxa"/>
        </w:tblCellMar>
      </w:tblPr>
      <w:tblGrid>
        <w:gridCol w:w="185"/>
        <w:gridCol w:w="81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w:t>
            </w:r>
          </w:p>
        </w:tc>
        <w:tc>
          <w:tcPr>
            <w:tcW w:w="8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Goodwill</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Company’s reporting units for goodwill are its operating segments, which are also its reportable segments, with the exception of Rhyz other. The Company’s Rhyz other segment consists of three reporting units, which as of both March 31, 2024 and December 31, 2023 had goodwill of $12.6 million, $19.6 million and $4.7 million.</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three months ended March 31, 2024, the Company determined that the recent decline in the Company’s stock price and corresponding market capitalization was a triggering event that required the Company to perform a quantitative impairment analysis for all reporting units. Based on the analysis, the Company concluded the fair value of all reporting units were in excess of their carrying amounts and no impairment charge was required.  For goodwill, the estimated fair value of all reporting units exceeded the carrying value by approximately 1% - 7%; therefore the reporting units are considered to be at risk of future impairment. The reporting units’ fair values remain sensitive to unfavorable changes in assumptions utilized including revenue growth rates, profitability margins, estimated future cash flows, and the discount rates that could result in impairment charges in a future period.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goodwill allocated to the Company’s reportable segments for the periods ended March 31, 2024 and December 31, 2023 (U.S. dollars in thousands):</w:t>
      </w:r>
    </w:p>
    <w:p>
      <w:pPr>
        <w:pStyle w:val="TextBody"/>
        <w:bidi w:val="0"/>
        <w:spacing w:before="0" w:after="0"/>
        <w:jc w:val="left"/>
        <w:rPr/>
      </w:pPr>
      <w:r>
        <w:rPr/>
      </w:r>
    </w:p>
    <w:tbl>
      <w:tblPr>
        <w:tblW w:w="4168" w:type="dxa"/>
        <w:jc w:val="left"/>
        <w:tblInd w:w="0" w:type="dxa"/>
        <w:tblLayout w:type="fixed"/>
        <w:tblCellMar>
          <w:top w:w="0" w:type="dxa"/>
          <w:left w:w="0" w:type="dxa"/>
          <w:bottom w:w="0" w:type="dxa"/>
          <w:right w:w="0" w:type="dxa"/>
        </w:tblCellMar>
      </w:tblPr>
      <w:tblGrid>
        <w:gridCol w:w="1850"/>
        <w:gridCol w:w="60"/>
        <w:gridCol w:w="135"/>
        <w:gridCol w:w="754"/>
        <w:gridCol w:w="60"/>
        <w:gridCol w:w="60"/>
        <w:gridCol w:w="178"/>
        <w:gridCol w:w="996"/>
        <w:gridCol w:w="75"/>
      </w:tblGrid>
      <w:tr>
        <w:trPr/>
        <w:tc>
          <w:tcPr>
            <w:tcW w:w="1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75"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 xml:space="preserve">Americas </w:t>
            </w:r>
          </w:p>
        </w:tc>
        <w:tc>
          <w:tcPr>
            <w:tcW w:w="6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9,449</w:t>
            </w:r>
          </w:p>
        </w:tc>
        <w:tc>
          <w:tcPr>
            <w:tcW w:w="7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Mainland China</w:t>
            </w:r>
          </w:p>
        </w:tc>
        <w:tc>
          <w:tcPr>
            <w:tcW w:w="6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32,179</w:t>
            </w:r>
          </w:p>
        </w:tc>
        <w:tc>
          <w:tcPr>
            <w:tcW w:w="7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18,537</w:t>
            </w:r>
          </w:p>
        </w:tc>
        <w:tc>
          <w:tcPr>
            <w:tcW w:w="7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Japan</w:t>
            </w:r>
          </w:p>
        </w:tc>
        <w:tc>
          <w:tcPr>
            <w:tcW w:w="6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16,019</w:t>
            </w:r>
          </w:p>
        </w:tc>
        <w:tc>
          <w:tcPr>
            <w:tcW w:w="7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Europe &amp; Africa</w:t>
            </w:r>
          </w:p>
        </w:tc>
        <w:tc>
          <w:tcPr>
            <w:tcW w:w="6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2,875</w:t>
            </w:r>
          </w:p>
        </w:tc>
        <w:tc>
          <w:tcPr>
            <w:tcW w:w="7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540" w:right="0" w:hanging="180"/>
              <w:jc w:val="left"/>
              <w:rPr/>
            </w:pPr>
            <w:r>
              <w:rPr/>
              <w:t>South Korea</w:t>
            </w:r>
          </w:p>
        </w:tc>
        <w:tc>
          <w:tcPr>
            <w:tcW w:w="6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29,261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29,261</w:t>
            </w:r>
          </w:p>
        </w:tc>
        <w:tc>
          <w:tcPr>
            <w:tcW w:w="7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6,634</w:t>
            </w:r>
          </w:p>
        </w:tc>
        <w:tc>
          <w:tcPr>
            <w:tcW w:w="7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Rhyz Investments</w:t>
            </w:r>
          </w:p>
        </w:tc>
        <w:tc>
          <w:tcPr>
            <w:tcW w:w="6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Manufacturing</w:t>
            </w:r>
          </w:p>
        </w:tc>
        <w:tc>
          <w:tcPr>
            <w:tcW w:w="6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78,875</w:t>
            </w:r>
          </w:p>
        </w:tc>
        <w:tc>
          <w:tcPr>
            <w:tcW w:w="7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Rhyz other</w:t>
            </w:r>
          </w:p>
        </w:tc>
        <w:tc>
          <w:tcPr>
            <w:tcW w:w="60" w:type="dxa"/>
            <w:tcBorders/>
            <w:vAlign w:val="bottom"/>
          </w:tcPr>
          <w:p>
            <w:pPr>
              <w:pStyle w:val="TableContents"/>
              <w:bidi w:val="0"/>
              <w:spacing w:before="0" w:after="283"/>
              <w:jc w:val="righ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36,939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36,939</w:t>
            </w:r>
          </w:p>
        </w:tc>
        <w:tc>
          <w:tcPr>
            <w:tcW w:w="7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3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230,768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230,768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610" w:type="dxa"/>
        <w:jc w:val="left"/>
        <w:tblInd w:w="0" w:type="dxa"/>
        <w:tblLayout w:type="fixed"/>
        <w:tblCellMar>
          <w:top w:w="0" w:type="dxa"/>
          <w:left w:w="0" w:type="dxa"/>
          <w:bottom w:w="0" w:type="dxa"/>
          <w:right w:w="0" w:type="dxa"/>
        </w:tblCellMar>
      </w:tblPr>
      <w:tblGrid>
        <w:gridCol w:w="185"/>
        <w:gridCol w:w="42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4.</w:t>
            </w:r>
          </w:p>
        </w:tc>
        <w:tc>
          <w:tcPr>
            <w:tcW w:w="42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Debt</w:t>
            </w:r>
          </w:p>
        </w:tc>
      </w:tr>
    </w:tbl>
    <w:p>
      <w:pPr>
        <w:pStyle w:val="TextBody"/>
        <w:bidi w:val="0"/>
        <w:spacing w:before="0" w:after="0"/>
        <w:jc w:val="both"/>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Credit Agreement</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March 31, 2024, the Company was in compliance with all covenants under the Credit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Company’s debt facilities as of March 31, 2024 and December 31, 2023:</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729"/>
        <w:gridCol w:w="60"/>
        <w:gridCol w:w="913"/>
        <w:gridCol w:w="60"/>
        <w:gridCol w:w="833"/>
        <w:gridCol w:w="60"/>
        <w:gridCol w:w="969"/>
        <w:gridCol w:w="60"/>
        <w:gridCol w:w="1008"/>
        <w:gridCol w:w="60"/>
        <w:gridCol w:w="4453"/>
      </w:tblGrid>
      <w:tr>
        <w:trPr/>
        <w:tc>
          <w:tcPr>
            <w:tcW w:w="1729"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Facility or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Arrangement</w:t>
            </w:r>
          </w:p>
        </w:tc>
        <w:tc>
          <w:tcPr>
            <w:tcW w:w="60" w:type="dxa"/>
            <w:tcBorders/>
            <w:tcMar>
              <w:bottom w:w="0" w:type="dxa"/>
            </w:tcMar>
            <w:vAlign w:val="center"/>
          </w:tcPr>
          <w:p>
            <w:pPr>
              <w:pStyle w:val="TableContents"/>
              <w:bidi w:val="0"/>
              <w:spacing w:before="0" w:after="283"/>
              <w:jc w:val="left"/>
              <w:rPr/>
            </w:pPr>
            <w:r>
              <w:rPr/>
              <w:t> </w:t>
            </w:r>
          </w:p>
        </w:tc>
        <w:tc>
          <w:tcPr>
            <w:tcW w:w="913"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Original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Principal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Amount</w:t>
            </w:r>
          </w:p>
        </w:tc>
        <w:tc>
          <w:tcPr>
            <w:tcW w:w="60" w:type="dxa"/>
            <w:tcBorders/>
            <w:tcMar>
              <w:bottom w:w="0" w:type="dxa"/>
            </w:tcMar>
            <w:vAlign w:val="center"/>
          </w:tcPr>
          <w:p>
            <w:pPr>
              <w:pStyle w:val="TableContents"/>
              <w:bidi w:val="0"/>
              <w:spacing w:before="0" w:after="283"/>
              <w:jc w:val="left"/>
              <w:rPr/>
            </w:pPr>
            <w:r>
              <w:rPr/>
              <w:t> </w:t>
            </w:r>
          </w:p>
        </w:tc>
        <w:tc>
          <w:tcPr>
            <w:tcW w:w="833"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 as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2024</w:t>
            </w:r>
            <w:r>
              <w:rPr>
                <w:rFonts w:ascii="Times New Roman" w:hAnsi="Times New Roman"/>
                <w:color w:val="000000"/>
                <w:position w:val="7"/>
                <w:sz w:val="16"/>
                <w:sz w:val="20"/>
              </w:rPr>
              <w:t>(1)(2)</w:t>
            </w:r>
          </w:p>
        </w:tc>
        <w:tc>
          <w:tcPr>
            <w:tcW w:w="60" w:type="dxa"/>
            <w:tcBorders/>
            <w:tcMar>
              <w:bottom w:w="0" w:type="dxa"/>
            </w:tcMar>
            <w:vAlign w:val="center"/>
          </w:tcPr>
          <w:p>
            <w:pPr>
              <w:pStyle w:val="TableContents"/>
              <w:bidi w:val="0"/>
              <w:spacing w:before="0" w:after="283"/>
              <w:jc w:val="left"/>
              <w:rPr/>
            </w:pPr>
            <w:r>
              <w:rPr/>
              <w:t> </w:t>
            </w:r>
          </w:p>
        </w:tc>
        <w:tc>
          <w:tcPr>
            <w:tcW w:w="969"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 as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2023</w:t>
            </w:r>
            <w:r>
              <w:rPr>
                <w:rFonts w:ascii="Times New Roman" w:hAnsi="Times New Roman"/>
                <w:color w:val="000000"/>
                <w:position w:val="7"/>
                <w:sz w:val="16"/>
                <w:sz w:val="20"/>
              </w:rPr>
              <w:t>(1)(2)</w:t>
            </w:r>
          </w:p>
        </w:tc>
        <w:tc>
          <w:tcPr>
            <w:tcW w:w="60" w:type="dxa"/>
            <w:tcBorders/>
            <w:tcMar>
              <w:bottom w:w="0" w:type="dxa"/>
            </w:tcMar>
            <w:vAlign w:val="center"/>
          </w:tcPr>
          <w:p>
            <w:pPr>
              <w:pStyle w:val="TableContents"/>
              <w:bidi w:val="0"/>
              <w:spacing w:before="0" w:after="283"/>
              <w:jc w:val="left"/>
              <w:rPr/>
            </w:pPr>
            <w:r>
              <w:rPr/>
              <w:t> </w:t>
            </w:r>
          </w:p>
        </w:tc>
        <w:tc>
          <w:tcPr>
            <w:tcW w:w="1008"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Rate</w:t>
            </w:r>
          </w:p>
        </w:tc>
        <w:tc>
          <w:tcPr>
            <w:tcW w:w="60" w:type="dxa"/>
            <w:tcBorders/>
            <w:tcMar>
              <w:bottom w:w="0" w:type="dxa"/>
            </w:tcMar>
            <w:vAlign w:val="center"/>
          </w:tcPr>
          <w:p>
            <w:pPr>
              <w:pStyle w:val="TableContents"/>
              <w:bidi w:val="0"/>
              <w:spacing w:before="0" w:after="283"/>
              <w:jc w:val="left"/>
              <w:rPr/>
            </w:pPr>
            <w:r>
              <w:rPr/>
              <w:t> </w:t>
            </w:r>
          </w:p>
        </w:tc>
        <w:tc>
          <w:tcPr>
            <w:tcW w:w="4453"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Repayment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Terms</w:t>
            </w:r>
          </w:p>
        </w:tc>
      </w:tr>
      <w:tr>
        <w:trPr/>
        <w:tc>
          <w:tcPr>
            <w:tcW w:w="1729"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Credit Agreement term loan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$400.0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$375.0 million</w:t>
            </w:r>
          </w:p>
          <w:p>
            <w:pPr>
              <w:pStyle w:val="TableContents"/>
              <w:bidi w:val="0"/>
              <w:spacing w:before="0" w:after="0"/>
              <w:jc w:val="right"/>
              <w:rPr/>
            </w:pPr>
            <w:r>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xml:space="preserve">$385.0 million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Variable 30 day: 7.43%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53" w:type="dxa"/>
            <w:tcBorders/>
            <w:shd w:fill="CCEEFF" w:val="clear"/>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21% of the principal amount is payable in increasing quarterly installments over a five-year period that began on September 30, 2022, with the remainder payable at the end of the five-year term.</w:t>
            </w:r>
          </w:p>
        </w:tc>
      </w:tr>
      <w:tr>
        <w:trPr/>
        <w:tc>
          <w:tcPr>
            <w:tcW w:w="1729" w:type="dxa"/>
            <w:tcBorders/>
            <w:tcMar>
              <w:bottom w:w="0" w:type="dxa"/>
            </w:tcMar>
            <w:vAlign w:val="center"/>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Credit Agreement revolving credit facility</w:t>
            </w:r>
          </w:p>
        </w:tc>
        <w:tc>
          <w:tcPr>
            <w:tcW w:w="60" w:type="dxa"/>
            <w:tcBorders/>
            <w:tcMar>
              <w:bottom w:w="0" w:type="dxa"/>
            </w:tcMar>
            <w:vAlign w:val="center"/>
          </w:tcPr>
          <w:p>
            <w:pPr>
              <w:pStyle w:val="TableContents"/>
              <w:bidi w:val="0"/>
              <w:spacing w:before="0" w:after="283"/>
              <w:jc w:val="left"/>
              <w:rPr/>
            </w:pPr>
            <w:r>
              <w:rPr/>
              <w:t> </w:t>
            </w:r>
          </w:p>
        </w:tc>
        <w:tc>
          <w:tcPr>
            <w:tcW w:w="9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$110.0 million</w:t>
            </w:r>
          </w:p>
        </w:tc>
        <w:tc>
          <w:tcPr>
            <w:tcW w:w="60" w:type="dxa"/>
            <w:tcBorders/>
            <w:tcMar>
              <w:bottom w:w="0" w:type="dxa"/>
            </w:tcMar>
            <w:vAlign w:val="center"/>
          </w:tcPr>
          <w:p>
            <w:pPr>
              <w:pStyle w:val="TableContents"/>
              <w:bidi w:val="0"/>
              <w:spacing w:before="0" w:after="283"/>
              <w:jc w:val="left"/>
              <w:rPr/>
            </w:pPr>
            <w:r>
              <w:rPr/>
              <w:t> </w:t>
            </w:r>
          </w:p>
        </w:tc>
        <w:tc>
          <w:tcPr>
            <w:tcW w:w="969" w:type="dxa"/>
            <w:tcBorders/>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xml:space="preserve">$120.0 million </w:t>
            </w:r>
          </w:p>
        </w:tc>
        <w:tc>
          <w:tcPr>
            <w:tcW w:w="60"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Variable 30 day: 7.43%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Revolving line of credit expires June 14, 2027.</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8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As of March 31, 2024 and December 31, 2023, the current portion of the Company’s debt (i.e., becoming due in the next 12 months) included $20.0 million and $25.0 million, respectively, of the balance of its term loan under the Credit Agreement and $10.0 million and zero, respectively, of the balance under the revolving line of credit.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79"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carrying value of the debt reflects the amounts stated in the above table, less debt issuance costs of $1.8 million and $2.0 million as of March 31, 2024 and December 31, 2023, respectively, related to the Credit Agreement, which are not reflected in this table.</w:t>
            </w:r>
          </w:p>
        </w:tc>
      </w:tr>
    </w:tbl>
    <w:p>
      <w:pPr>
        <w:pStyle w:val="TextBody"/>
        <w:bidi w:val="0"/>
        <w:spacing w:before="0" w:after="0"/>
        <w:jc w:val="left"/>
        <w:rPr/>
      </w:pPr>
      <w:r>
        <w:rPr/>
      </w:r>
    </w:p>
    <w:tbl>
      <w:tblPr>
        <w:tblW w:w="790" w:type="dxa"/>
        <w:jc w:val="left"/>
        <w:tblInd w:w="0" w:type="dxa"/>
        <w:tblLayout w:type="fixed"/>
        <w:tblCellMar>
          <w:top w:w="0" w:type="dxa"/>
          <w:left w:w="0" w:type="dxa"/>
          <w:bottom w:w="0" w:type="dxa"/>
          <w:right w:w="0" w:type="dxa"/>
        </w:tblCellMar>
      </w:tblPr>
      <w:tblGrid>
        <w:gridCol w:w="185"/>
        <w:gridCol w:w="605"/>
      </w:tblGrid>
      <w:tr>
        <w:trPr/>
        <w:tc>
          <w:tcPr>
            <w:tcW w:w="185"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605"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Leases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March 31, 2024, the weighted average remaining lease term was 8.2 and 3.5 years for operating and finance leases, respectively. As of March 31, 2024, the weighted average discount rate was 3.8% and 3.7% for operating and finance leases, respectively.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components of lease expense were as follows (U.S. dollars in thousands):</w:t>
      </w:r>
    </w:p>
    <w:p>
      <w:pPr>
        <w:pStyle w:val="TextBody"/>
        <w:bidi w:val="0"/>
        <w:spacing w:before="0" w:after="0"/>
        <w:jc w:val="left"/>
        <w:rPr/>
      </w:pPr>
      <w:r>
        <w:rPr/>
      </w:r>
    </w:p>
    <w:tbl>
      <w:tblPr>
        <w:tblW w:w="4746" w:type="dxa"/>
        <w:jc w:val="left"/>
        <w:tblInd w:w="0" w:type="dxa"/>
        <w:tblLayout w:type="fixed"/>
        <w:tblCellMar>
          <w:top w:w="0" w:type="dxa"/>
          <w:left w:w="0" w:type="dxa"/>
          <w:bottom w:w="0" w:type="dxa"/>
          <w:right w:w="0" w:type="dxa"/>
        </w:tblCellMar>
      </w:tblPr>
      <w:tblGrid>
        <w:gridCol w:w="2825"/>
        <w:gridCol w:w="60"/>
        <w:gridCol w:w="154"/>
        <w:gridCol w:w="600"/>
        <w:gridCol w:w="74"/>
        <w:gridCol w:w="74"/>
        <w:gridCol w:w="154"/>
        <w:gridCol w:w="730"/>
        <w:gridCol w:w="75"/>
      </w:tblGrid>
      <w:tr>
        <w:trPr/>
        <w:tc>
          <w:tcPr>
            <w:tcW w:w="28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ind w:left="0" w:right="0" w:hanging="14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75" w:type="dxa"/>
            <w:tcBorders/>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2024</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4"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75" w:type="dxa"/>
            <w:tcBorders/>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Operating lease expense</w:t>
            </w:r>
          </w:p>
        </w:tc>
        <w:tc>
          <w:tcPr>
            <w:tcW w:w="60"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721" w:right="0" w:hanging="548"/>
              <w:jc w:val="left"/>
              <w:rPr>
                <w:rFonts w:ascii="Times New Roman;Times;serif" w:hAnsi="Times New Roman;Times;serif"/>
                <w:color w:val="000000"/>
                <w:sz w:val="20"/>
              </w:rPr>
            </w:pPr>
            <w:r>
              <w:rPr>
                <w:rFonts w:ascii="Times New Roman;Times;serif" w:hAnsi="Times New Roman;Times;serif"/>
                <w:color w:val="000000"/>
                <w:sz w:val="20"/>
              </w:rPr>
              <w:t>Operating lease cost</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0"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6,066</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30"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8,161</w:t>
            </w:r>
          </w:p>
        </w:tc>
        <w:tc>
          <w:tcPr>
            <w:tcW w:w="75" w:type="dxa"/>
            <w:tcBorders/>
            <w:shd w:fill="CCEEFF" w:val="cle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ind w:left="721" w:right="0" w:hanging="548"/>
              <w:jc w:val="left"/>
              <w:rPr>
                <w:rFonts w:ascii="Times New Roman;Times;serif" w:hAnsi="Times New Roman;Times;serif"/>
                <w:color w:val="000000"/>
                <w:sz w:val="20"/>
              </w:rPr>
            </w:pPr>
            <w:r>
              <w:rPr>
                <w:rFonts w:ascii="Times New Roman;Times;serif" w:hAnsi="Times New Roman;Times;serif"/>
                <w:color w:val="000000"/>
                <w:sz w:val="20"/>
              </w:rPr>
              <w:t>Variable lease cost</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1,776</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1,075</w:t>
            </w:r>
          </w:p>
        </w:tc>
        <w:tc>
          <w:tcPr>
            <w:tcW w:w="7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Finance lease expense</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ind w:left="721" w:right="0" w:hanging="548"/>
              <w:jc w:val="left"/>
              <w:rPr>
                <w:rFonts w:ascii="Times New Roman;Times;serif" w:hAnsi="Times New Roman;Times;serif"/>
                <w:color w:val="000000"/>
                <w:sz w:val="20"/>
              </w:rPr>
            </w:pPr>
            <w:r>
              <w:rPr>
                <w:rFonts w:ascii="Times New Roman;Times;serif" w:hAnsi="Times New Roman;Times;serif"/>
                <w:color w:val="000000"/>
                <w:sz w:val="20"/>
              </w:rPr>
              <w:t>Amortization of right-of-use assets</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758</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1,000</w:t>
            </w:r>
          </w:p>
        </w:tc>
        <w:tc>
          <w:tcPr>
            <w:tcW w:w="7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721" w:right="0" w:hanging="548"/>
              <w:jc w:val="left"/>
              <w:rPr>
                <w:rFonts w:ascii="Times New Roman;Times;serif" w:hAnsi="Times New Roman;Times;serif"/>
                <w:color w:val="000000"/>
                <w:sz w:val="20"/>
              </w:rPr>
            </w:pPr>
            <w:r>
              <w:rPr>
                <w:rFonts w:ascii="Times New Roman;Times;serif" w:hAnsi="Times New Roman;Times;serif"/>
                <w:color w:val="000000"/>
                <w:sz w:val="20"/>
              </w:rPr>
              <w:t>Interest on lease liabilities</w:t>
            </w:r>
          </w:p>
        </w:tc>
        <w:tc>
          <w:tcPr>
            <w:tcW w:w="60" w:type="dxa"/>
            <w:tcBorders/>
            <w:shd w:fill="CCEEFF" w:val="clear"/>
            <w:vAlign w:val="bottom"/>
          </w:tcPr>
          <w:p>
            <w:pPr>
              <w:pStyle w:val="TableContents"/>
              <w:bidi w:val="0"/>
              <w:spacing w:before="0" w:after="283"/>
              <w:jc w:val="righ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109</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righ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134</w:t>
            </w:r>
          </w:p>
        </w:tc>
        <w:tc>
          <w:tcPr>
            <w:tcW w:w="75" w:type="dxa"/>
            <w:tcBorders/>
            <w:shd w:fill="CCEEFF" w:val="cle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ind w:left="144" w:right="0" w:hanging="144"/>
              <w:jc w:val="left"/>
              <w:rPr>
                <w:rFonts w:ascii="Times New Roman;Times;serif" w:hAnsi="Times New Roman;Times;serif"/>
                <w:b/>
                <w:sz w:val="20"/>
              </w:rPr>
            </w:pPr>
            <w:r>
              <w:rPr>
                <w:rFonts w:ascii="Times New Roman;Times;serif" w:hAnsi="Times New Roman;Times;serif"/>
                <w:b/>
                <w:sz w:val="20"/>
              </w:rPr>
              <w:t>Total lease expense</w:t>
            </w:r>
          </w:p>
        </w:tc>
        <w:tc>
          <w:tcPr>
            <w:tcW w:w="60" w:type="dxa"/>
            <w:tcBorders/>
            <w:vAlign w:val="bottom"/>
          </w:tcPr>
          <w:p>
            <w:pPr>
              <w:pStyle w:val="TableContents"/>
              <w:bidi w:val="0"/>
              <w:spacing w:before="0" w:after="283"/>
              <w:jc w:val="righ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8,709</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righ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3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10,370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Supplemental cash flow information related to leases was as follows (U.S. dollars in thousands):</w:t>
      </w:r>
    </w:p>
    <w:p>
      <w:pPr>
        <w:pStyle w:val="TextBody"/>
        <w:bidi w:val="0"/>
        <w:spacing w:before="0" w:after="0"/>
        <w:jc w:val="left"/>
        <w:rPr/>
      </w:pPr>
      <w:r>
        <w:rPr/>
      </w:r>
    </w:p>
    <w:tbl>
      <w:tblPr>
        <w:tblW w:w="7806" w:type="dxa"/>
        <w:jc w:val="left"/>
        <w:tblInd w:w="0" w:type="dxa"/>
        <w:tblLayout w:type="fixed"/>
        <w:tblCellMar>
          <w:top w:w="0" w:type="dxa"/>
          <w:left w:w="0" w:type="dxa"/>
          <w:bottom w:w="0" w:type="dxa"/>
          <w:right w:w="0" w:type="dxa"/>
        </w:tblCellMar>
      </w:tblPr>
      <w:tblGrid>
        <w:gridCol w:w="5885"/>
        <w:gridCol w:w="60"/>
        <w:gridCol w:w="154"/>
        <w:gridCol w:w="730"/>
        <w:gridCol w:w="74"/>
        <w:gridCol w:w="74"/>
        <w:gridCol w:w="154"/>
        <w:gridCol w:w="600"/>
        <w:gridCol w:w="75"/>
      </w:tblGrid>
      <w:tr>
        <w:trPr/>
        <w:tc>
          <w:tcPr>
            <w:tcW w:w="58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75" w:type="dxa"/>
            <w:tcBorders/>
            <w:vAlign w:val="bottom"/>
          </w:tcPr>
          <w:p>
            <w:pPr>
              <w:pStyle w:val="TableContents"/>
              <w:bidi w:val="0"/>
              <w:spacing w:before="0" w:after="283"/>
              <w:jc w:val="left"/>
              <w:rPr/>
            </w:pPr>
            <w:r>
              <w:rPr/>
              <w:t> </w:t>
            </w:r>
          </w:p>
        </w:tc>
      </w:tr>
      <w:tr>
        <w:trPr/>
        <w:tc>
          <w:tcPr>
            <w:tcW w:w="58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bottom"/>
          </w:tcPr>
          <w:p>
            <w:pPr>
              <w:pStyle w:val="TableContents"/>
              <w:bidi w:val="0"/>
              <w:spacing w:before="0" w:after="283"/>
              <w:jc w:val="left"/>
              <w:rPr/>
            </w:pPr>
            <w:r>
              <w:rPr/>
              <w:t> </w:t>
            </w:r>
          </w:p>
        </w:tc>
      </w:tr>
      <w:tr>
        <w:trPr/>
        <w:tc>
          <w:tcPr>
            <w:tcW w:w="5885"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Operating cash outflow from operating leases</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6,371</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8,150</w:t>
            </w:r>
          </w:p>
        </w:tc>
        <w:tc>
          <w:tcPr>
            <w:tcW w:w="75" w:type="dxa"/>
            <w:tcBorders/>
            <w:shd w:fill="CCEEFF" w:val="clear"/>
            <w:vAlign w:val="bottom"/>
          </w:tcPr>
          <w:p>
            <w:pPr>
              <w:pStyle w:val="TableContents"/>
              <w:bidi w:val="0"/>
              <w:spacing w:before="0" w:after="283"/>
              <w:jc w:val="left"/>
              <w:rPr/>
            </w:pPr>
            <w:r>
              <w:rPr/>
              <w:t> </w:t>
            </w:r>
          </w:p>
        </w:tc>
      </w:tr>
      <w:tr>
        <w:trPr/>
        <w:tc>
          <w:tcPr>
            <w:tcW w:w="5885"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Operating cash outflow from finance leases</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132</w:t>
            </w:r>
          </w:p>
        </w:tc>
        <w:tc>
          <w:tcPr>
            <w:tcW w:w="75" w:type="dxa"/>
            <w:tcBorders/>
            <w:vAlign w:val="bottom"/>
          </w:tcPr>
          <w:p>
            <w:pPr>
              <w:pStyle w:val="TableContents"/>
              <w:bidi w:val="0"/>
              <w:spacing w:before="0" w:after="283"/>
              <w:jc w:val="left"/>
              <w:rPr/>
            </w:pPr>
            <w:r>
              <w:rPr/>
              <w:t> </w:t>
            </w:r>
          </w:p>
        </w:tc>
      </w:tr>
      <w:tr>
        <w:trPr/>
        <w:tc>
          <w:tcPr>
            <w:tcW w:w="5885"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Financing cash outflow from finance leases</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785</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912</w:t>
            </w:r>
          </w:p>
        </w:tc>
        <w:tc>
          <w:tcPr>
            <w:tcW w:w="75" w:type="dxa"/>
            <w:tcBorders/>
            <w:shd w:fill="CCEEFF" w:val="clear"/>
            <w:vAlign w:val="bottom"/>
          </w:tcPr>
          <w:p>
            <w:pPr>
              <w:pStyle w:val="TableContents"/>
              <w:bidi w:val="0"/>
              <w:spacing w:before="0" w:after="283"/>
              <w:jc w:val="left"/>
              <w:rPr/>
            </w:pPr>
            <w:r>
              <w:rPr/>
              <w:t> </w:t>
            </w:r>
          </w:p>
        </w:tc>
      </w:tr>
      <w:tr>
        <w:trPr/>
        <w:tc>
          <w:tcPr>
            <w:tcW w:w="5885"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Right-of-use assets obtained in exchange for operating lease obligations</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13,034</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7,981</w:t>
            </w:r>
          </w:p>
        </w:tc>
        <w:tc>
          <w:tcPr>
            <w:tcW w:w="75" w:type="dxa"/>
            <w:tcBorders/>
            <w:vAlign w:val="bottom"/>
          </w:tcPr>
          <w:p>
            <w:pPr>
              <w:pStyle w:val="TableContents"/>
              <w:bidi w:val="0"/>
              <w:spacing w:before="0" w:after="283"/>
              <w:jc w:val="left"/>
              <w:rPr/>
            </w:pPr>
            <w:r>
              <w:rPr/>
              <w:t> </w:t>
            </w:r>
          </w:p>
        </w:tc>
      </w:tr>
      <w:tr>
        <w:trPr/>
        <w:tc>
          <w:tcPr>
            <w:tcW w:w="5885"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Right-of-use assets obtained in exchange for finance lease obligations</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Maturities of lease liabilities were as follows (U.S. dollars in thousands):</w:t>
      </w:r>
    </w:p>
    <w:p>
      <w:pPr>
        <w:pStyle w:val="TextBody"/>
        <w:bidi w:val="0"/>
        <w:spacing w:before="0" w:after="0"/>
        <w:jc w:val="left"/>
        <w:rPr/>
      </w:pPr>
      <w:r>
        <w:rPr/>
      </w:r>
    </w:p>
    <w:tbl>
      <w:tblPr>
        <w:tblW w:w="4130" w:type="dxa"/>
        <w:jc w:val="left"/>
        <w:tblInd w:w="0" w:type="dxa"/>
        <w:tblLayout w:type="fixed"/>
        <w:tblCellMar>
          <w:top w:w="0" w:type="dxa"/>
          <w:left w:w="0" w:type="dxa"/>
          <w:bottom w:w="0" w:type="dxa"/>
          <w:right w:w="0" w:type="dxa"/>
        </w:tblCellMar>
      </w:tblPr>
      <w:tblGrid>
        <w:gridCol w:w="2270"/>
        <w:gridCol w:w="60"/>
        <w:gridCol w:w="135"/>
        <w:gridCol w:w="755"/>
        <w:gridCol w:w="60"/>
        <w:gridCol w:w="60"/>
        <w:gridCol w:w="125"/>
        <w:gridCol w:w="590"/>
        <w:gridCol w:w="75"/>
      </w:tblGrid>
      <w:tr>
        <w:trPr/>
        <w:tc>
          <w:tcPr>
            <w:tcW w:w="2270" w:type="dxa"/>
            <w:tcBorders/>
            <w:vAlign w:val="bottom"/>
          </w:tcPr>
          <w:p>
            <w:pPr>
              <w:pStyle w:val="TableContents"/>
              <w:bidi w:val="0"/>
              <w:spacing w:before="0" w:after="0"/>
              <w:ind w:left="144" w:right="0" w:hanging="144"/>
              <w:jc w:val="left"/>
              <w:rPr>
                <w:rFonts w:ascii="Times New Roman;Times;serif" w:hAnsi="Times New Roman;Times;serif"/>
                <w:b/>
                <w:color w:val="000000"/>
                <w:sz w:val="20"/>
              </w:rPr>
            </w:pPr>
            <w:r>
              <w:rPr>
                <w:rFonts w:ascii="Times New Roman;Times;serif" w:hAnsi="Times New Roman;Times;serif"/>
                <w:b/>
                <w:color w:val="000000"/>
                <w:sz w:val="20"/>
              </w:rPr>
              <w:t>Year Ending December 31</w:t>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Operating</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Leases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Finance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Leases</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18,576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2,541</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19,920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3,305</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15,170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3,213</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11,496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2,882</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8,531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47</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60"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36,730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144"/>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110,423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11,988</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Less: Finance charges</w:t>
            </w:r>
          </w:p>
        </w:tc>
        <w:tc>
          <w:tcPr>
            <w:tcW w:w="60"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15,306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795</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144"/>
              <w:jc w:val="left"/>
              <w:rPr>
                <w:rFonts w:ascii="Times New Roman;Times;serif" w:hAnsi="Times New Roman;Times;serif"/>
                <w:b/>
                <w:color w:val="000000"/>
                <w:sz w:val="20"/>
              </w:rPr>
            </w:pPr>
            <w:r>
              <w:rPr>
                <w:rFonts w:ascii="Times New Roman;Times;serif" w:hAnsi="Times New Roman;Times;serif"/>
                <w:b/>
                <w:color w:val="000000"/>
                <w:sz w:val="20"/>
              </w:rPr>
              <w:t>Total principal liability</w:t>
            </w:r>
          </w:p>
        </w:tc>
        <w:tc>
          <w:tcPr>
            <w:tcW w:w="60" w:type="dxa"/>
            <w:tcBorders/>
            <w:shd w:fill="CCEEFF" w:val="clear"/>
            <w:vAlign w:val="bottom"/>
          </w:tcPr>
          <w:p>
            <w:pPr>
              <w:pStyle w:val="TableContents"/>
              <w:bidi w:val="0"/>
              <w:spacing w:before="0" w:after="283"/>
              <w:jc w:val="left"/>
              <w:rPr/>
            </w:pPr>
            <w:r>
              <w:rPr/>
              <w:t> </w:t>
            </w:r>
          </w:p>
        </w:tc>
        <w:tc>
          <w:tcPr>
            <w:tcW w:w="13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95,117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11,193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360" w:type="dxa"/>
        <w:jc w:val="left"/>
        <w:tblInd w:w="0" w:type="dxa"/>
        <w:tblLayout w:type="fixed"/>
        <w:tblCellMar>
          <w:top w:w="0" w:type="dxa"/>
          <w:left w:w="0" w:type="dxa"/>
          <w:bottom w:w="0" w:type="dxa"/>
          <w:right w:w="0" w:type="dxa"/>
        </w:tblCellMar>
      </w:tblPr>
      <w:tblGrid>
        <w:gridCol w:w="185"/>
        <w:gridCol w:w="117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w:t>
            </w:r>
          </w:p>
        </w:tc>
        <w:tc>
          <w:tcPr>
            <w:tcW w:w="117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Capital Stock</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Net income per share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March 31, 2024 and 2023, the only dilutive common shares outstanding relate to the Company’s outstanding stock awards and options. For the three-month periods ended March 31, 2024 and 2023, stock awards and options of 1.8 million and 0.1 million, respectively, were excluded from the calculation of diluted earnings per share because they were anti-dilutive.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Dividends</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February 2024, the Company’s board of directors declared a quarterly cash dividend of $0.06 per share. This quarterly cash dividend of $3.0 million was paid on March 6, 2024 to stockholders of record on February 26, 2024. In May 2024, the board of directors declared a quarterly cash dividend of $0.06 per share to be paid on June 12, 2024 to stockholders of record on May 31, 2024.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Repurchase of common stock</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three-month periods ended March 31, 2024 and 2023, the Company repurchased zero shares of its Class A common stock under its stock repurchase plans.  As of March 31, 2024, $162.4 million was available for repurchases under the Company’s stock repurchase plan.</w:t>
      </w:r>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r>
    </w:p>
    <w:tbl>
      <w:tblPr>
        <w:tblW w:w="3160" w:type="dxa"/>
        <w:jc w:val="left"/>
        <w:tblInd w:w="0" w:type="dxa"/>
        <w:tblLayout w:type="fixed"/>
        <w:tblCellMar>
          <w:top w:w="0" w:type="dxa"/>
          <w:left w:w="0" w:type="dxa"/>
          <w:bottom w:w="0" w:type="dxa"/>
          <w:right w:w="0" w:type="dxa"/>
        </w:tblCellMar>
      </w:tblPr>
      <w:tblGrid>
        <w:gridCol w:w="185"/>
        <w:gridCol w:w="297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7.</w:t>
            </w:r>
          </w:p>
        </w:tc>
        <w:tc>
          <w:tcPr>
            <w:tcW w:w="2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Fair Value and Equity Investments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Fair Value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pStyle w:val="TextBody"/>
        <w:bidi w:val="0"/>
        <w:spacing w:before="0" w:after="0"/>
        <w:jc w:val="left"/>
        <w:rPr/>
      </w:pPr>
      <w:r>
        <w:rPr/>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60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1 – quoted prices in active markets for identical assets or liabilities;</w:t>
            </w:r>
          </w:p>
        </w:tc>
      </w:tr>
    </w:tbl>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93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2 – inputs, other than the quoted prices in active markets, that are observable either directly or indirectly; and</w:t>
            </w:r>
          </w:p>
        </w:tc>
      </w:tr>
    </w:tbl>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60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3 – unobservable inputs based on the Company’s own assumptions.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the fair value hierarchy for those assets and liabilities measured at fair value on a recurring basis (U.S. dollars in thousands):</w:t>
      </w:r>
    </w:p>
    <w:p>
      <w:pPr>
        <w:pStyle w:val="TextBody"/>
        <w:bidi w:val="0"/>
        <w:spacing w:before="0" w:after="0"/>
        <w:jc w:val="left"/>
        <w:rPr/>
      </w:pPr>
      <w:r>
        <w:rPr/>
      </w:r>
    </w:p>
    <w:tbl>
      <w:tblPr>
        <w:tblW w:w="6765" w:type="dxa"/>
        <w:jc w:val="left"/>
        <w:tblInd w:w="0" w:type="dxa"/>
        <w:tblLayout w:type="fixed"/>
        <w:tblCellMar>
          <w:top w:w="0" w:type="dxa"/>
          <w:left w:w="0" w:type="dxa"/>
          <w:bottom w:w="0" w:type="dxa"/>
          <w:right w:w="0" w:type="dxa"/>
        </w:tblCellMar>
      </w:tblPr>
      <w:tblGrid>
        <w:gridCol w:w="3410"/>
        <w:gridCol w:w="60"/>
        <w:gridCol w:w="125"/>
        <w:gridCol w:w="590"/>
        <w:gridCol w:w="60"/>
        <w:gridCol w:w="60"/>
        <w:gridCol w:w="125"/>
        <w:gridCol w:w="590"/>
        <w:gridCol w:w="60"/>
        <w:gridCol w:w="60"/>
        <w:gridCol w:w="125"/>
        <w:gridCol w:w="590"/>
        <w:gridCol w:w="60"/>
        <w:gridCol w:w="60"/>
        <w:gridCol w:w="125"/>
        <w:gridCol w:w="590"/>
        <w:gridCol w:w="75"/>
      </w:tblGrid>
      <w:tr>
        <w:trPr/>
        <w:tc>
          <w:tcPr>
            <w:tcW w:w="3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20"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Fair Value at March 31, 2024</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Financial assets (liabilities):</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equivalents and current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34,571</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Derivative financial instruments asset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12,054</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Life insurance contracts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48,414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48,414</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Contingent consideration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sz w:val="4"/>
                <w:szCs w:val="4"/>
              </w:rPr>
            </w:pPr>
            <w:r>
              <w:rPr>
                <w:sz w:val="4"/>
                <w:szCs w:val="4"/>
              </w:rPr>
            </w:r>
          </w:p>
        </w:tc>
      </w:tr>
      <w:tr>
        <w:trPr/>
        <w:tc>
          <w:tcPr>
            <w:tcW w:w="341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48,414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95,039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805" w:type="dxa"/>
        <w:jc w:val="left"/>
        <w:tblInd w:w="0" w:type="dxa"/>
        <w:tblLayout w:type="fixed"/>
        <w:tblCellMar>
          <w:top w:w="0" w:type="dxa"/>
          <w:left w:w="0" w:type="dxa"/>
          <w:bottom w:w="0" w:type="dxa"/>
          <w:right w:w="0" w:type="dxa"/>
        </w:tblCellMar>
      </w:tblPr>
      <w:tblGrid>
        <w:gridCol w:w="3410"/>
        <w:gridCol w:w="60"/>
        <w:gridCol w:w="125"/>
        <w:gridCol w:w="590"/>
        <w:gridCol w:w="60"/>
        <w:gridCol w:w="60"/>
        <w:gridCol w:w="125"/>
        <w:gridCol w:w="590"/>
        <w:gridCol w:w="60"/>
        <w:gridCol w:w="60"/>
        <w:gridCol w:w="125"/>
        <w:gridCol w:w="590"/>
        <w:gridCol w:w="80"/>
        <w:gridCol w:w="60"/>
        <w:gridCol w:w="125"/>
        <w:gridCol w:w="590"/>
        <w:gridCol w:w="95"/>
      </w:tblGrid>
      <w:tr>
        <w:trPr/>
        <w:tc>
          <w:tcPr>
            <w:tcW w:w="3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0"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Fair Value at December 31, 2023</w:t>
            </w:r>
          </w:p>
        </w:tc>
        <w:tc>
          <w:tcPr>
            <w:tcW w:w="9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9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Financial assets (liabilities):</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equivalents and current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42,916</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Derivative financial instruments asset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12,689</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Life insurance contracts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45,041</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Contingent consideration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94,346</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summary of changes in fair value of the Company’s Level 3 life insurance contracts (U.S. dollars in thousands):</w:t>
      </w:r>
    </w:p>
    <w:p>
      <w:pPr>
        <w:pStyle w:val="TextBody"/>
        <w:bidi w:val="0"/>
        <w:spacing w:before="0" w:after="0"/>
        <w:jc w:val="left"/>
        <w:rPr/>
      </w:pPr>
      <w:r>
        <w:rPr/>
      </w:r>
    </w:p>
    <w:tbl>
      <w:tblPr>
        <w:tblW w:w="4285" w:type="dxa"/>
        <w:jc w:val="left"/>
        <w:tblInd w:w="0" w:type="dxa"/>
        <w:tblLayout w:type="fixed"/>
        <w:tblCellMar>
          <w:top w:w="0" w:type="dxa"/>
          <w:left w:w="0" w:type="dxa"/>
          <w:bottom w:w="0" w:type="dxa"/>
          <w:right w:w="0" w:type="dxa"/>
        </w:tblCellMar>
      </w:tblPr>
      <w:tblGrid>
        <w:gridCol w:w="2600"/>
        <w:gridCol w:w="60"/>
        <w:gridCol w:w="125"/>
        <w:gridCol w:w="590"/>
        <w:gridCol w:w="60"/>
        <w:gridCol w:w="60"/>
        <w:gridCol w:w="125"/>
        <w:gridCol w:w="590"/>
        <w:gridCol w:w="75"/>
      </w:tblGrid>
      <w:tr>
        <w:trPr/>
        <w:tc>
          <w:tcPr>
            <w:tcW w:w="26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7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Beginning balance at January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40,055</w:t>
            </w:r>
          </w:p>
        </w:tc>
        <w:tc>
          <w:tcPr>
            <w:tcW w:w="75"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Actual return on plan assets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1,998</w:t>
            </w:r>
          </w:p>
        </w:tc>
        <w:tc>
          <w:tcPr>
            <w:tcW w:w="75" w:type="dxa"/>
            <w:tcBorders/>
            <w:vAlign w:val="bottom"/>
          </w:tcPr>
          <w:p>
            <w:pPr>
              <w:pStyle w:val="TableContents"/>
              <w:bidi w:val="0"/>
              <w:spacing w:before="0" w:after="283"/>
              <w:jc w:val="left"/>
              <w:rPr>
                <w:sz w:val="4"/>
                <w:szCs w:val="4"/>
              </w:rPr>
            </w:pPr>
            <w:r>
              <w:rPr>
                <w:sz w:val="4"/>
                <w:szCs w:val="4"/>
              </w:rPr>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Ending balance at March 31</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48,414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42,053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Life insurance contracts:</w:t>
      </w:r>
      <w:r>
        <w:rPr>
          <w:rFonts w:ascii="Times New Roman" w:hAnsi="Times New Roman"/>
          <w:color w:val="000000"/>
          <w:sz w:val="20"/>
          <w:shd w:fill="FFFFFF" w:val="clear"/>
        </w:rPr>
        <w:t xml:space="preserve"> Accounting Standards Codification (“ASC”) 820 preserves practicability exceptions to fair value measurements provided by other 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summary of changes in fair value of the Company’s Level 3 contingent consideration (U.S. dollars in thousands):</w:t>
      </w:r>
    </w:p>
    <w:p>
      <w:pPr>
        <w:pStyle w:val="TextBody"/>
        <w:bidi w:val="0"/>
        <w:spacing w:before="0" w:after="0"/>
        <w:jc w:val="left"/>
        <w:rPr/>
      </w:pPr>
      <w:r>
        <w:rPr/>
      </w:r>
    </w:p>
    <w:tbl>
      <w:tblPr>
        <w:tblW w:w="5705" w:type="dxa"/>
        <w:jc w:val="left"/>
        <w:tblInd w:w="0" w:type="dxa"/>
        <w:tblLayout w:type="fixed"/>
        <w:tblCellMar>
          <w:top w:w="0" w:type="dxa"/>
          <w:left w:w="0" w:type="dxa"/>
          <w:bottom w:w="0" w:type="dxa"/>
          <w:right w:w="0" w:type="dxa"/>
        </w:tblCellMar>
      </w:tblPr>
      <w:tblGrid>
        <w:gridCol w:w="4055"/>
        <w:gridCol w:w="60"/>
        <w:gridCol w:w="125"/>
        <w:gridCol w:w="560"/>
        <w:gridCol w:w="80"/>
        <w:gridCol w:w="60"/>
        <w:gridCol w:w="125"/>
        <w:gridCol w:w="545"/>
        <w:gridCol w:w="95"/>
      </w:tblGrid>
      <w:tr>
        <w:trPr/>
        <w:tc>
          <w:tcPr>
            <w:tcW w:w="4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95" w:type="dxa"/>
            <w:tcBorders/>
            <w:vAlign w:val="bottom"/>
          </w:tcPr>
          <w:p>
            <w:pPr>
              <w:pStyle w:val="TableContents"/>
              <w:bidi w:val="0"/>
              <w:spacing w:before="0" w:after="283"/>
              <w:jc w:val="left"/>
              <w:rPr/>
            </w:pPr>
            <w:r>
              <w:rPr/>
              <w:t> </w:t>
            </w:r>
          </w:p>
        </w:tc>
      </w:tr>
      <w:tr>
        <w:trPr/>
        <w:tc>
          <w:tcPr>
            <w:tcW w:w="40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Beginning balance at January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(6,364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5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Changes in fair value of contingent consideration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w:t>
            </w:r>
          </w:p>
        </w:tc>
        <w:tc>
          <w:tcPr>
            <w:tcW w:w="95" w:type="dxa"/>
            <w:tcBorders/>
            <w:vAlign w:val="bottom"/>
          </w:tcPr>
          <w:p>
            <w:pPr>
              <w:pStyle w:val="TableContents"/>
              <w:bidi w:val="0"/>
              <w:spacing w:before="0" w:after="283"/>
              <w:jc w:val="left"/>
              <w:rPr/>
            </w:pPr>
            <w:r>
              <w:rPr/>
              <w:t> </w:t>
            </w:r>
          </w:p>
        </w:tc>
      </w:tr>
      <w:tr>
        <w:trPr/>
        <w:tc>
          <w:tcPr>
            <w:tcW w:w="4055" w:type="dxa"/>
            <w:tcBorders/>
            <w:shd w:fill="CCEEFF" w:val="clear"/>
            <w:vAlign w:val="bottom"/>
          </w:tcPr>
          <w:p>
            <w:pPr>
              <w:pStyle w:val="TableContents"/>
              <w:bidi w:val="0"/>
              <w:spacing w:before="0" w:after="0"/>
              <w:ind w:left="180" w:right="0" w:hanging="0"/>
              <w:jc w:val="left"/>
              <w:rPr/>
            </w:pPr>
            <w:r>
              <w:rPr/>
              <w:t>Payments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283"/>
              <w:jc w:val="right"/>
              <w:rPr/>
            </w:pPr>
            <w:r>
              <w:rPr/>
              <w:t>6,300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0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Ending balance at March 31</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(6,271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Contingent consideration: </w:t>
      </w:r>
      <w:r>
        <w:rPr>
          <w:rFonts w:ascii="Times New Roman" w:hAnsi="Times New Roman"/>
          <w:color w:val="000000"/>
          <w:sz w:val="20"/>
          <w:shd w:fill="FFFFFF" w:val="clear"/>
        </w:rPr>
        <w:t>Contingent consideration represents the obligations incurred in connection with acquisitions. The estimate of fair value of the 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Equity Investments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maintains equity investments in companies which are accounted for under the measurement alternative described in ASC 321-10-35-2 for equity securities that lack readily determinable fair values. The carrying amount of equity securities held by the Company without readily determinable fair values was $28.1 million at each of March 31, 2024 and December 31, 2023. During the three months ended September 30, 2021 the Company recognized $18.1 million upward fair value adjustments, based on the valuation of additional equity issued by the investee which was deemed to be an observable transaction of a similar investment under ASC 321. The third quarter of 2021 gain was recorded within Other income (expense), net on the Consolidated Statement of Income. The upward fair value adjustment represents a nonrecurring fair value measurement based on observable price changes and is classified as a Level 3 fair value measurement.</w:t>
      </w:r>
    </w:p>
    <w:p>
      <w:pPr>
        <w:pStyle w:val="TextBody"/>
        <w:bidi w:val="0"/>
        <w:spacing w:before="0" w:after="0"/>
        <w:jc w:val="left"/>
        <w:rPr/>
      </w:pPr>
      <w:r>
        <w:rPr/>
      </w:r>
    </w:p>
    <w:tbl>
      <w:tblPr>
        <w:tblW w:w="1405" w:type="dxa"/>
        <w:jc w:val="left"/>
        <w:tblInd w:w="0" w:type="dxa"/>
        <w:tblLayout w:type="fixed"/>
        <w:tblCellMar>
          <w:top w:w="0" w:type="dxa"/>
          <w:left w:w="0" w:type="dxa"/>
          <w:bottom w:w="0" w:type="dxa"/>
          <w:right w:w="0" w:type="dxa"/>
        </w:tblCellMar>
      </w:tblPr>
      <w:tblGrid>
        <w:gridCol w:w="185"/>
        <w:gridCol w:w="1220"/>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8.</w:t>
            </w:r>
          </w:p>
        </w:tc>
        <w:tc>
          <w:tcPr>
            <w:tcW w:w="122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Income Taxes</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Provision for income taxes for the first quarter of 2024 was $1.6 million, compared to $3.2 million for the prior-year period. The effective tax rate for the first quarter 2024 was 148.4% of pre-tax income compared to 22.0% in the prior-year period.</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$105.6 million and $105.0 million as of March 31, 2024 and December 31, 2023,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2023. If the amount designated as indefinitely reinvested as of December 31, 2023 was repatriated to the United States, the amount of incremental taxes would be approximately $6.0 million.  The Company intends to utilize the indefinitely reinvested offshore earnings to fund foreign investments, specifically capital expenditures.</w:t>
      </w:r>
    </w:p>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December 31, 2023, tax years through 2020 and 2022 have been audited and are effectively closed to further examination. For tax year 2021, the Company was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For tax years 2023 and 2024, the Company has been accepted in the IRS’s Bridge Plus program. The Company may elect to continue participating in CAP for future tax years; the Company may withdraw from the program at any time. With a few exceptions, the Company is no longer subject to state and local income tax examination by tax authorities for the years before 2020.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  The Company’s unrecognized tax benefits relate to multiple jurisdictions. Due to potential increases in unrecognized tax benefits from the multiple jurisdictions in which the Company operates, as well as the expiration of various statutes of limitations, it is reasonably possible that the Company’s gross unrecognized tax benefits, net of foreign currency adjustments, may increase in the next 12 months by approximately $2.0 to $3.0 million.</w:t>
      </w:r>
    </w:p>
    <w:p>
      <w:pPr>
        <w:pStyle w:val="TextBody"/>
        <w:bidi w:val="0"/>
        <w:spacing w:before="0" w:after="0"/>
        <w:jc w:val="both"/>
        <w:rPr>
          <w:rFonts w:ascii="Times New Roman;serif" w:hAnsi="Times New Roman;serif"/>
          <w:sz w:val="20"/>
        </w:rPr>
      </w:pPr>
      <w:r>
        <w:rPr>
          <w:rFonts w:ascii="Times New Roman;serif" w:hAnsi="Times New Roman;serif"/>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2021, as part of the Organization for Economic Co-operation and Development’s (“OECD”) Inclusive Framework, 140 member countries agreed to the implementation of the Pillar Two Global Minimum Tax (“Pillar Two”) of 15%. The OECD continues to release additional guidance, including administrative guidance on how Pillar Two rules should be interpreted and applied by jurisdictions as they adopt Pillar Two. A number of countries have utilized the administrative guidance as a starting point for legislation that went into effect January 1, 2024. Based on current enacted legislation, the Company anticipates the impact of Pillar Two to be immaterial for 2024.</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3160" w:type="dxa"/>
        <w:jc w:val="left"/>
        <w:tblInd w:w="0" w:type="dxa"/>
        <w:tblLayout w:type="fixed"/>
        <w:tblCellMar>
          <w:top w:w="0" w:type="dxa"/>
          <w:left w:w="0" w:type="dxa"/>
          <w:bottom w:w="0" w:type="dxa"/>
          <w:right w:w="0" w:type="dxa"/>
        </w:tblCellMar>
      </w:tblPr>
      <w:tblGrid>
        <w:gridCol w:w="185"/>
        <w:gridCol w:w="2975"/>
      </w:tblGrid>
      <w:tr>
        <w:trPr/>
        <w:tc>
          <w:tcPr>
            <w:tcW w:w="185"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2975"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Derivatives and Hedging Activities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Risk Management Objective of Using Derivatives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Cash Flow Hedges of Interest Rate Risk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2024, such derivatives were used to hedge the variable cash flows associated with existing variable-rate debt.</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$9.5 million will be reclassified as a reduction to interest expense.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March 31, 2024 and December 31, 2023, the Company had four outstanding interest rate derivatives that were designated as cash flow hedges of interest rate risk with a total notional amount of $200 million.</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Fair Values of Derivative Instruments on the Balance Sheet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table below presents the fair value of the Company’s derivative financial instruments as well as their classification on the Balance Sheet:</w:t>
      </w:r>
    </w:p>
    <w:p>
      <w:pPr>
        <w:pStyle w:val="TextBody"/>
        <w:bidi w:val="0"/>
        <w:spacing w:before="0" w:after="0"/>
        <w:jc w:val="left"/>
        <w:rPr/>
      </w:pPr>
      <w:r>
        <w:rPr/>
      </w:r>
    </w:p>
    <w:tbl>
      <w:tblPr>
        <w:tblW w:w="6932" w:type="dxa"/>
        <w:jc w:val="left"/>
        <w:tblInd w:w="0" w:type="dxa"/>
        <w:tblLayout w:type="fixed"/>
        <w:tblCellMar>
          <w:top w:w="0" w:type="dxa"/>
          <w:left w:w="0" w:type="dxa"/>
          <w:bottom w:w="0" w:type="dxa"/>
          <w:right w:w="0" w:type="dxa"/>
        </w:tblCellMar>
      </w:tblPr>
      <w:tblGrid>
        <w:gridCol w:w="2193"/>
        <w:gridCol w:w="60"/>
        <w:gridCol w:w="2313"/>
        <w:gridCol w:w="60"/>
        <w:gridCol w:w="183"/>
        <w:gridCol w:w="713"/>
        <w:gridCol w:w="88"/>
        <w:gridCol w:w="88"/>
        <w:gridCol w:w="239"/>
        <w:gridCol w:w="935"/>
        <w:gridCol w:w="60"/>
      </w:tblGrid>
      <w:tr>
        <w:trPr/>
        <w:tc>
          <w:tcPr>
            <w:tcW w:w="21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6"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Fair Values of</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Derivative Instruments</w:t>
            </w:r>
          </w:p>
        </w:tc>
        <w:tc>
          <w:tcPr>
            <w:tcW w:w="60" w:type="dxa"/>
            <w:tcBorders/>
            <w:vAlign w:val="bottom"/>
          </w:tcPr>
          <w:p>
            <w:pPr>
              <w:pStyle w:val="TableContents"/>
              <w:bidi w:val="0"/>
              <w:spacing w:before="0" w:after="283"/>
              <w:jc w:val="left"/>
              <w:rPr/>
            </w:pPr>
            <w:r>
              <w:rPr/>
              <w:t> </w:t>
            </w:r>
          </w:p>
        </w:tc>
      </w:tr>
      <w:tr>
        <w:trPr/>
        <w:tc>
          <w:tcPr>
            <w:tcW w:w="2193" w:type="dxa"/>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Derivatives in Cash flow</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Hedging Relationships:</w:t>
            </w:r>
          </w:p>
        </w:tc>
        <w:tc>
          <w:tcPr>
            <w:tcW w:w="60" w:type="dxa"/>
            <w:tcBorders/>
            <w:vAlign w:val="bottom"/>
          </w:tcPr>
          <w:p>
            <w:pPr>
              <w:pStyle w:val="TableContents"/>
              <w:bidi w:val="0"/>
              <w:spacing w:before="0" w:after="283"/>
              <w:jc w:val="left"/>
              <w:rPr/>
            </w:pPr>
            <w:r>
              <w:rPr/>
              <w:t> </w:t>
            </w:r>
          </w:p>
        </w:tc>
        <w:tc>
          <w:tcPr>
            <w:tcW w:w="2313" w:type="dxa"/>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Balance Sheet</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Location</w:t>
            </w:r>
          </w:p>
        </w:tc>
        <w:tc>
          <w:tcPr>
            <w:tcW w:w="60" w:type="dxa"/>
            <w:tcBorders/>
            <w:vAlign w:val="bottom"/>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2024</w:t>
            </w:r>
          </w:p>
        </w:tc>
        <w:tc>
          <w:tcPr>
            <w:tcW w:w="88" w:type="dxa"/>
            <w:tcBorders>
              <w:bottom w:val="single" w:sz="12" w:space="0" w:color="000000"/>
            </w:tcBorders>
            <w:tcMar>
              <w:bottom w:w="28" w:type="dxa"/>
            </w:tcMar>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December 31,</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2193" w:type="dxa"/>
            <w:tcBorders/>
            <w:shd w:fill="CCEEFF" w:val="clear"/>
            <w:vAlign w:val="bottom"/>
          </w:tcPr>
          <w:p>
            <w:pPr>
              <w:pStyle w:val="TableContents"/>
              <w:bidi w:val="0"/>
              <w:spacing w:before="0" w:after="0"/>
              <w:ind w:left="0" w:right="88" w:hanging="0"/>
              <w:jc w:val="left"/>
              <w:rPr>
                <w:rFonts w:ascii="Times New Roman;Times;serif" w:hAnsi="Times New Roman;Times;serif"/>
                <w:color w:val="000000"/>
                <w:sz w:val="20"/>
              </w:rPr>
            </w:pPr>
            <w:r>
              <w:rPr>
                <w:rFonts w:ascii="Times New Roman;Times;serif" w:hAnsi="Times New Roman;Times;serif"/>
                <w:color w:val="000000"/>
                <w:sz w:val="20"/>
              </w:rPr>
              <w:t>Interest Rate Swap - Asset</w:t>
            </w:r>
          </w:p>
        </w:tc>
        <w:tc>
          <w:tcPr>
            <w:tcW w:w="60" w:type="dxa"/>
            <w:tcBorders/>
            <w:shd w:fill="CCEEFF" w:val="clear"/>
            <w:vAlign w:val="bottom"/>
          </w:tcPr>
          <w:p>
            <w:pPr>
              <w:pStyle w:val="TableContents"/>
              <w:bidi w:val="0"/>
              <w:spacing w:before="0" w:after="283"/>
              <w:jc w:val="left"/>
              <w:rPr/>
            </w:pPr>
            <w:r>
              <w:rPr/>
              <w:t> </w:t>
            </w:r>
          </w:p>
        </w:tc>
        <w:tc>
          <w:tcPr>
            <w:tcW w:w="2313" w:type="dxa"/>
            <w:tcBorders/>
            <w:shd w:fill="CCEEFF" w:val="clear"/>
            <w:vAlign w:val="bottom"/>
          </w:tcPr>
          <w:p>
            <w:pPr>
              <w:pStyle w:val="TableContents"/>
              <w:bidi w:val="0"/>
              <w:spacing w:before="0" w:after="0"/>
              <w:ind w:left="0" w:right="88" w:hanging="0"/>
              <w:jc w:val="center"/>
              <w:rPr>
                <w:rFonts w:ascii="Times New Roman;Times;serif" w:hAnsi="Times New Roman;Times;serif"/>
                <w:color w:val="000000"/>
                <w:sz w:val="20"/>
              </w:rPr>
            </w:pPr>
            <w:r>
              <w:rPr>
                <w:rFonts w:ascii="Times New Roman;Times;serif" w:hAnsi="Times New Roman;Times;serif"/>
                <w:color w:val="000000"/>
                <w:sz w:val="20"/>
              </w:rPr>
              <w:t>Prepaid expenses and other</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3"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9,451</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3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8,955</w:t>
            </w:r>
          </w:p>
        </w:tc>
        <w:tc>
          <w:tcPr>
            <w:tcW w:w="60" w:type="dxa"/>
            <w:tcBorders/>
            <w:shd w:fill="CCEEFF" w:val="clear"/>
            <w:vAlign w:val="bottom"/>
          </w:tcPr>
          <w:p>
            <w:pPr>
              <w:pStyle w:val="TableContents"/>
              <w:bidi w:val="0"/>
              <w:spacing w:before="0" w:after="283"/>
              <w:jc w:val="left"/>
              <w:rPr/>
            </w:pPr>
            <w:r>
              <w:rPr/>
              <w:t> </w:t>
            </w:r>
          </w:p>
        </w:tc>
      </w:tr>
      <w:tr>
        <w:trPr/>
        <w:tc>
          <w:tcPr>
            <w:tcW w:w="2193" w:type="dxa"/>
            <w:tcBorders/>
            <w:vAlign w:val="bottom"/>
          </w:tcPr>
          <w:p>
            <w:pPr>
              <w:pStyle w:val="TableContents"/>
              <w:bidi w:val="0"/>
              <w:spacing w:before="0" w:after="0"/>
              <w:ind w:left="0" w:right="88" w:hanging="0"/>
              <w:jc w:val="left"/>
              <w:rPr>
                <w:rFonts w:ascii="Times New Roman;Times;serif" w:hAnsi="Times New Roman;Times;serif"/>
                <w:color w:val="000000"/>
                <w:sz w:val="20"/>
              </w:rPr>
            </w:pPr>
            <w:r>
              <w:rPr>
                <w:rFonts w:ascii="Times New Roman;Times;serif" w:hAnsi="Times New Roman;Times;serif"/>
                <w:color w:val="000000"/>
                <w:sz w:val="20"/>
              </w:rPr>
              <w:t>Interest Rate Swap - Asset</w:t>
            </w:r>
          </w:p>
        </w:tc>
        <w:tc>
          <w:tcPr>
            <w:tcW w:w="60" w:type="dxa"/>
            <w:tcBorders/>
            <w:vAlign w:val="bottom"/>
          </w:tcPr>
          <w:p>
            <w:pPr>
              <w:pStyle w:val="TableContents"/>
              <w:bidi w:val="0"/>
              <w:spacing w:before="0" w:after="283"/>
              <w:jc w:val="left"/>
              <w:rPr/>
            </w:pPr>
            <w:r>
              <w:rPr/>
              <w:t> </w:t>
            </w:r>
          </w:p>
        </w:tc>
        <w:tc>
          <w:tcPr>
            <w:tcW w:w="2313" w:type="dxa"/>
            <w:tcBorders/>
            <w:vAlign w:val="bottom"/>
          </w:tcPr>
          <w:p>
            <w:pPr>
              <w:pStyle w:val="TableContents"/>
              <w:bidi w:val="0"/>
              <w:spacing w:before="0" w:after="0"/>
              <w:ind w:left="0" w:right="88" w:hanging="0"/>
              <w:jc w:val="center"/>
              <w:rPr>
                <w:rFonts w:ascii="Times New Roman;Times;serif" w:hAnsi="Times New Roman;Times;serif"/>
                <w:color w:val="000000"/>
                <w:sz w:val="20"/>
              </w:rPr>
            </w:pPr>
            <w:r>
              <w:rPr>
                <w:rFonts w:ascii="Times New Roman;Times;serif" w:hAnsi="Times New Roman;Times;serif"/>
                <w:color w:val="000000"/>
                <w:sz w:val="20"/>
              </w:rPr>
              <w:t>Other assets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3"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2,603</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35"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3,734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Effect of Cash Flow Hedge Accounting on Accumulated Other Comprehensive Loss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tables below present the effect of cash flow hedge accounting on Accumulated Other Comprehensive Loss.</w:t>
      </w:r>
    </w:p>
    <w:p>
      <w:pPr>
        <w:pStyle w:val="TextBody"/>
        <w:bidi w:val="0"/>
        <w:spacing w:before="0" w:after="0"/>
        <w:jc w:val="left"/>
        <w:rPr/>
      </w:pPr>
      <w:r>
        <w:rPr/>
      </w:r>
    </w:p>
    <w:tbl>
      <w:tblPr>
        <w:tblW w:w="5157" w:type="dxa"/>
        <w:jc w:val="left"/>
        <w:tblInd w:w="0" w:type="dxa"/>
        <w:tblLayout w:type="fixed"/>
        <w:tblCellMar>
          <w:top w:w="0" w:type="dxa"/>
          <w:left w:w="0" w:type="dxa"/>
          <w:bottom w:w="0" w:type="dxa"/>
          <w:right w:w="0" w:type="dxa"/>
        </w:tblCellMar>
      </w:tblPr>
      <w:tblGrid>
        <w:gridCol w:w="2075"/>
        <w:gridCol w:w="60"/>
        <w:gridCol w:w="60"/>
        <w:gridCol w:w="288"/>
        <w:gridCol w:w="1119"/>
        <w:gridCol w:w="138"/>
        <w:gridCol w:w="138"/>
        <w:gridCol w:w="288"/>
        <w:gridCol w:w="911"/>
        <w:gridCol w:w="80"/>
      </w:tblGrid>
      <w:tr>
        <w:trPr/>
        <w:tc>
          <w:tcPr>
            <w:tcW w:w="20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Amount of Gain (Loss) </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Recognized in OCI on Derivatives</w:t>
            </w:r>
          </w:p>
        </w:tc>
        <w:tc>
          <w:tcPr>
            <w:tcW w:w="8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2" w:type="dxa"/>
            <w:gridSpan w:val="6"/>
            <w:tcBorders/>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tc>
        <w:tc>
          <w:tcPr>
            <w:tcW w:w="8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Derivatives in Cash flow</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80" w:type="dxa"/>
            <w:tcBorders/>
            <w:vAlign w:val="bottom"/>
          </w:tcPr>
          <w:p>
            <w:pPr>
              <w:pStyle w:val="TableContents"/>
              <w:bidi w:val="0"/>
              <w:spacing w:before="0" w:after="283"/>
              <w:jc w:val="left"/>
              <w:rPr/>
            </w:pPr>
            <w:r>
              <w:rPr/>
              <w:t> </w:t>
            </w:r>
          </w:p>
        </w:tc>
      </w:tr>
      <w:tr>
        <w:trPr/>
        <w:tc>
          <w:tcPr>
            <w:tcW w:w="2075" w:type="dxa"/>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Hedging Relationships: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7"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2024</w:t>
            </w:r>
          </w:p>
        </w:tc>
        <w:tc>
          <w:tcPr>
            <w:tcW w:w="138" w:type="dxa"/>
            <w:tcBorders/>
            <w:vAlign w:val="bottom"/>
          </w:tcPr>
          <w:p>
            <w:pPr>
              <w:pStyle w:val="TableContents"/>
              <w:bidi w:val="0"/>
              <w:spacing w:before="0" w:after="283"/>
              <w:jc w:val="lef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80"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0" w:right="88" w:hanging="0"/>
              <w:jc w:val="left"/>
              <w:rPr>
                <w:rFonts w:ascii="Times New Roman;Times;serif" w:hAnsi="Times New Roman;Times;serif"/>
                <w:color w:val="000000"/>
                <w:sz w:val="20"/>
              </w:rPr>
            </w:pPr>
            <w:r>
              <w:rPr>
                <w:rFonts w:ascii="Times New Roman;Times;serif" w:hAnsi="Times New Roman;Times;serif"/>
                <w:color w:val="000000"/>
                <w:sz w:val="20"/>
              </w:rPr>
              <w:t>Interest Rate Swaps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8"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19"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2,009</w:t>
            </w:r>
          </w:p>
        </w:tc>
        <w:tc>
          <w:tcPr>
            <w:tcW w:w="138"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right"/>
              <w:rPr/>
            </w:pPr>
            <w:r>
              <w:rPr/>
              <w:t> </w:t>
            </w:r>
          </w:p>
        </w:tc>
        <w:tc>
          <w:tcPr>
            <w:tcW w:w="288"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11"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(810</w:t>
            </w:r>
          </w:p>
        </w:tc>
        <w:tc>
          <w:tcPr>
            <w:tcW w:w="8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bl>
    <w:p>
      <w:pPr>
        <w:pStyle w:val="TextBody"/>
        <w:bidi w:val="0"/>
        <w:spacing w:before="0" w:after="0"/>
        <w:jc w:val="left"/>
        <w:rPr/>
      </w:pPr>
      <w:r>
        <w:rPr/>
      </w:r>
    </w:p>
    <w:tbl>
      <w:tblPr>
        <w:tblW w:w="7988" w:type="dxa"/>
        <w:jc w:val="left"/>
        <w:tblInd w:w="0" w:type="dxa"/>
        <w:tblLayout w:type="fixed"/>
        <w:tblCellMar>
          <w:top w:w="0" w:type="dxa"/>
          <w:left w:w="0" w:type="dxa"/>
          <w:bottom w:w="0" w:type="dxa"/>
          <w:right w:w="0" w:type="dxa"/>
        </w:tblCellMar>
      </w:tblPr>
      <w:tblGrid>
        <w:gridCol w:w="2075"/>
        <w:gridCol w:w="60"/>
        <w:gridCol w:w="2373"/>
        <w:gridCol w:w="60"/>
        <w:gridCol w:w="313"/>
        <w:gridCol w:w="1217"/>
        <w:gridCol w:w="150"/>
        <w:gridCol w:w="150"/>
        <w:gridCol w:w="313"/>
        <w:gridCol w:w="1217"/>
        <w:gridCol w:w="60"/>
      </w:tblGrid>
      <w:tr>
        <w:trPr/>
        <w:tc>
          <w:tcPr>
            <w:tcW w:w="20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Amount of Gain</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Reclassified from Accumulated</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Other Comprehensive Loss into Income</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0" w:type="dxa"/>
            <w:gridSpan w:val="6"/>
            <w:tcBorders/>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Derivatives in Cash flow</w:t>
            </w:r>
          </w:p>
        </w:tc>
        <w:tc>
          <w:tcPr>
            <w:tcW w:w="60" w:type="dxa"/>
            <w:tcBorders/>
            <w:vAlign w:val="bottom"/>
          </w:tcPr>
          <w:p>
            <w:pPr>
              <w:pStyle w:val="TableContents"/>
              <w:bidi w:val="0"/>
              <w:spacing w:before="0" w:after="283"/>
              <w:jc w:val="left"/>
              <w:rPr/>
            </w:pPr>
            <w:r>
              <w:rPr/>
              <w:t> </w:t>
            </w:r>
          </w:p>
        </w:tc>
        <w:tc>
          <w:tcPr>
            <w:tcW w:w="2373" w:type="dxa"/>
            <w:tcBorders/>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Income Statement</w:t>
            </w:r>
          </w:p>
        </w:tc>
        <w:tc>
          <w:tcPr>
            <w:tcW w:w="60" w:type="dxa"/>
            <w:tcBorders/>
            <w:vAlign w:val="bottom"/>
          </w:tcPr>
          <w:p>
            <w:pPr>
              <w:pStyle w:val="TableContents"/>
              <w:bidi w:val="0"/>
              <w:spacing w:before="0" w:after="283"/>
              <w:jc w:val="left"/>
              <w:rPr/>
            </w:pPr>
            <w:r>
              <w:rPr/>
              <w:t> </w:t>
            </w:r>
          </w:p>
        </w:tc>
        <w:tc>
          <w:tcPr>
            <w:tcW w:w="336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60" w:type="dxa"/>
            <w:tcBorders/>
            <w:vAlign w:val="bottom"/>
          </w:tcPr>
          <w:p>
            <w:pPr>
              <w:pStyle w:val="TableContents"/>
              <w:bidi w:val="0"/>
              <w:spacing w:before="0" w:after="283"/>
              <w:jc w:val="left"/>
              <w:rPr/>
            </w:pPr>
            <w:r>
              <w:rPr/>
              <w:t> </w:t>
            </w:r>
          </w:p>
        </w:tc>
      </w:tr>
      <w:tr>
        <w:trPr/>
        <w:tc>
          <w:tcPr>
            <w:tcW w:w="2075" w:type="dxa"/>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Hedging Relationships:</w:t>
            </w:r>
          </w:p>
        </w:tc>
        <w:tc>
          <w:tcPr>
            <w:tcW w:w="60" w:type="dxa"/>
            <w:tcBorders/>
            <w:vAlign w:val="bottom"/>
          </w:tcPr>
          <w:p>
            <w:pPr>
              <w:pStyle w:val="TableContents"/>
              <w:bidi w:val="0"/>
              <w:spacing w:before="0" w:after="283"/>
              <w:jc w:val="left"/>
              <w:rPr/>
            </w:pPr>
            <w:r>
              <w:rPr/>
              <w:t> </w:t>
            </w:r>
          </w:p>
        </w:tc>
        <w:tc>
          <w:tcPr>
            <w:tcW w:w="2373" w:type="dxa"/>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Location</w:t>
            </w:r>
          </w:p>
        </w:tc>
        <w:tc>
          <w:tcPr>
            <w:tcW w:w="60" w:type="dxa"/>
            <w:tcBorders/>
            <w:vAlign w:val="bottom"/>
          </w:tcPr>
          <w:p>
            <w:pPr>
              <w:pStyle w:val="TableContents"/>
              <w:bidi w:val="0"/>
              <w:spacing w:before="0" w:after="283"/>
              <w:jc w:val="left"/>
              <w:rPr/>
            </w:pPr>
            <w:r>
              <w:rPr/>
              <w:t> </w:t>
            </w:r>
          </w:p>
        </w:tc>
        <w:tc>
          <w:tcPr>
            <w:tcW w:w="15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2024</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0" w:right="88" w:hanging="0"/>
              <w:jc w:val="left"/>
              <w:rPr>
                <w:rFonts w:ascii="Times New Roman;Times;serif" w:hAnsi="Times New Roman;Times;serif"/>
                <w:color w:val="000000"/>
                <w:sz w:val="20"/>
              </w:rPr>
            </w:pPr>
            <w:r>
              <w:rPr>
                <w:rFonts w:ascii="Times New Roman;Times;serif" w:hAnsi="Times New Roman;Times;serif"/>
                <w:color w:val="000000"/>
                <w:sz w:val="20"/>
              </w:rPr>
              <w:t>Interest Rate Swaps</w:t>
            </w:r>
          </w:p>
        </w:tc>
        <w:tc>
          <w:tcPr>
            <w:tcW w:w="60" w:type="dxa"/>
            <w:tcBorders/>
            <w:shd w:fill="CCEEFF" w:val="clear"/>
            <w:vAlign w:val="bottom"/>
          </w:tcPr>
          <w:p>
            <w:pPr>
              <w:pStyle w:val="TableContents"/>
              <w:bidi w:val="0"/>
              <w:spacing w:before="0" w:after="283"/>
              <w:jc w:val="left"/>
              <w:rPr/>
            </w:pPr>
            <w:r>
              <w:rPr/>
              <w:t> </w:t>
            </w:r>
          </w:p>
        </w:tc>
        <w:tc>
          <w:tcPr>
            <w:tcW w:w="2373" w:type="dxa"/>
            <w:tcBorders/>
            <w:shd w:fill="CCEEFF" w:val="clear"/>
            <w:vAlign w:val="bottom"/>
          </w:tcPr>
          <w:p>
            <w:pPr>
              <w:pStyle w:val="TableContents"/>
              <w:bidi w:val="0"/>
              <w:spacing w:before="0" w:after="0"/>
              <w:ind w:left="0" w:right="88" w:hanging="0"/>
              <w:jc w:val="center"/>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217"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2,643</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217"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2,197</w:t>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1835"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Segment Information</w:t>
            </w:r>
          </w:p>
        </w:tc>
      </w:tr>
    </w:tbl>
    <w:p>
      <w:pPr>
        <w:pStyle w:val="TextBody"/>
        <w:bidi w:val="0"/>
        <w:spacing w:before="0" w:after="0"/>
        <w:jc w:val="left"/>
        <w:rPr/>
      </w:pPr>
      <w:r>
        <w:rPr/>
      </w:r>
    </w:p>
    <w:p>
      <w:pPr>
        <w:pStyle w:val="TextBody"/>
        <w:widowControl/>
        <w:bidi w:val="0"/>
        <w:spacing w:before="0" w:after="0"/>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reports revenue from nine segments, consisting of its seven geographic Nu Skin segments—</w:t>
      </w:r>
      <w:r>
        <w:rPr>
          <w:rFonts w:ascii="Times New Roman;Times;serif" w:hAnsi="Times New Roman;Times;serif"/>
          <w:b w:val="false"/>
          <w:i w:val="false"/>
          <w:caps w:val="false"/>
          <w:smallCaps w:val="false"/>
          <w:color w:val="000000"/>
          <w:spacing w:val="0"/>
          <w:sz w:val="20"/>
          <w:shd w:fill="FFFFFF" w:val="clear"/>
        </w:rPr>
        <w:t>Americas, Mainland China,  Southeast Asia/Pacific, South Korea, Japan, Europe &amp; Africa, and Hong Kong/Taiwan</w:t>
      </w:r>
      <w:r>
        <w:rPr>
          <w:rFonts w:ascii="Times New Roman;Times;serif" w:hAnsi="Times New Roman;Times;serif"/>
          <w:color w:val="000000"/>
          <w:sz w:val="20"/>
          <w:shd w:fill="FFFFFF" w:val="clear"/>
        </w:rPr>
        <w:t xml:space="preserve">—and two Rhyz Investments segments—Manufacturing and Rhyz other. The Nu Skin other category includes miscellaneous corporate revenue and related adjustments. The Rhyz other segment includes other investments by our Rhyz business arm. These segments reflect the way the chief operating decision maker evaluates the </w:t>
      </w:r>
      <w:r>
        <w:rPr>
          <w:rFonts w:ascii="Times New Roman;Times;serif" w:hAnsi="Times New Roman;Times;serif"/>
          <w:b w:val="false"/>
          <w:i w:val="false"/>
          <w:caps w:val="false"/>
          <w:smallCaps w:val="false"/>
          <w:color w:val="000000"/>
          <w:spacing w:val="0"/>
          <w:sz w:val="20"/>
          <w:shd w:fill="FFFFFF" w:val="clear"/>
        </w:rPr>
        <w:t>Company’s</w:t>
      </w:r>
      <w:r>
        <w:rPr>
          <w:rFonts w:ascii="Times New Roman;Times;serif" w:hAnsi="Times New Roman;Times;serif"/>
          <w:color w:val="000000"/>
          <w:sz w:val="20"/>
          <w:shd w:fill="FFFFFF" w:val="clear"/>
        </w:rPr>
        <w:t xml:space="preserve"> business performance and allocates resources. Reported revenue includes only the revenue generated by sales to external customers.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Effective June 2023, the Company closed its Israel market. As a result the EMEA segment has been renamed Europe &amp; Africa.</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accounting policies of the segments are the same as those described in Note 2 – Summary of Significant Accounting Policies. The Company evaluates the performance of its segments based on revenue and segment contribution. Each segment records direct expenses related to its employees and its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Revenue by Segment</w:t>
      </w:r>
    </w:p>
    <w:p>
      <w:pPr>
        <w:pStyle w:val="TextBody"/>
        <w:bidi w:val="0"/>
        <w:spacing w:before="0" w:after="0"/>
        <w:jc w:val="left"/>
        <w:rPr/>
      </w:pPr>
      <w:r>
        <w:rPr/>
      </w:r>
    </w:p>
    <w:tbl>
      <w:tblPr>
        <w:tblW w:w="4108" w:type="dxa"/>
        <w:jc w:val="left"/>
        <w:tblInd w:w="0" w:type="dxa"/>
        <w:tblLayout w:type="fixed"/>
        <w:tblCellMar>
          <w:top w:w="0" w:type="dxa"/>
          <w:left w:w="0" w:type="dxa"/>
          <w:bottom w:w="0" w:type="dxa"/>
          <w:right w:w="0" w:type="dxa"/>
        </w:tblCellMar>
      </w:tblPr>
      <w:tblGrid>
        <w:gridCol w:w="2165"/>
        <w:gridCol w:w="60"/>
        <w:gridCol w:w="127"/>
        <w:gridCol w:w="706"/>
        <w:gridCol w:w="61"/>
        <w:gridCol w:w="61"/>
        <w:gridCol w:w="127"/>
        <w:gridCol w:w="706"/>
        <w:gridCol w:w="95"/>
      </w:tblGrid>
      <w:tr>
        <w:trPr/>
        <w:tc>
          <w:tcPr>
            <w:tcW w:w="2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8"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9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(U.S. dollars in thousands)</w:t>
            </w:r>
          </w:p>
        </w:tc>
        <w:tc>
          <w:tcPr>
            <w:tcW w:w="60" w:type="dxa"/>
            <w:tcBorders/>
            <w:vAlign w:val="bottom"/>
          </w:tcPr>
          <w:p>
            <w:pPr>
              <w:pStyle w:val="TableContents"/>
              <w:bidi w:val="0"/>
              <w:spacing w:before="0" w:after="283"/>
              <w:jc w:val="left"/>
              <w:rPr/>
            </w:pPr>
            <w:r>
              <w:rPr/>
              <w:t> </w:t>
            </w:r>
          </w:p>
        </w:tc>
        <w:tc>
          <w:tcPr>
            <w:tcW w:w="83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2024</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3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9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Nu Skin</w:t>
            </w:r>
          </w:p>
        </w:tc>
        <w:tc>
          <w:tcPr>
            <w:tcW w:w="60" w:type="dxa"/>
            <w:tcBorders/>
            <w:vAlign w:val="bottom"/>
          </w:tcPr>
          <w:p>
            <w:pPr>
              <w:pStyle w:val="TableContents"/>
              <w:bidi w:val="0"/>
              <w:spacing w:before="0" w:after="283"/>
              <w:jc w:val="left"/>
              <w:rPr/>
            </w:pPr>
            <w:r>
              <w:rPr/>
              <w:t> </w:t>
            </w:r>
          </w:p>
        </w:tc>
        <w:tc>
          <w:tcPr>
            <w:tcW w:w="833"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33"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Americas</w:t>
            </w:r>
          </w:p>
        </w:tc>
        <w:tc>
          <w:tcPr>
            <w:tcW w:w="60"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06"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75,031</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06"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101,157</w:t>
            </w:r>
          </w:p>
        </w:tc>
        <w:tc>
          <w:tcPr>
            <w:tcW w:w="9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widowControl/>
              <w:bidi w:val="0"/>
              <w:spacing w:before="0" w:after="0"/>
              <w:ind w:left="360" w:right="0" w:hanging="135"/>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Mainland China</w:t>
            </w:r>
          </w:p>
        </w:tc>
        <w:tc>
          <w:tcPr>
            <w:tcW w:w="60"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61,067</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67,976</w:t>
            </w:r>
          </w:p>
        </w:tc>
        <w:tc>
          <w:tcPr>
            <w:tcW w:w="9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widowControl/>
              <w:bidi w:val="0"/>
              <w:spacing w:before="0" w:after="0"/>
              <w:ind w:left="360" w:right="0" w:hanging="135"/>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Southeast Asia/Pacific</w:t>
            </w:r>
          </w:p>
        </w:tc>
        <w:tc>
          <w:tcPr>
            <w:tcW w:w="60"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60,065</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67,810</w:t>
            </w:r>
          </w:p>
        </w:tc>
        <w:tc>
          <w:tcPr>
            <w:tcW w:w="9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Japan</w:t>
            </w:r>
          </w:p>
        </w:tc>
        <w:tc>
          <w:tcPr>
            <w:tcW w:w="60"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44,236</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52,606</w:t>
            </w:r>
          </w:p>
        </w:tc>
        <w:tc>
          <w:tcPr>
            <w:tcW w:w="9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Europe &amp; Africa</w:t>
            </w:r>
          </w:p>
        </w:tc>
        <w:tc>
          <w:tcPr>
            <w:tcW w:w="60"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42,273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47,444</w:t>
            </w:r>
          </w:p>
        </w:tc>
        <w:tc>
          <w:tcPr>
            <w:tcW w:w="9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South Korea</w:t>
            </w:r>
          </w:p>
        </w:tc>
        <w:tc>
          <w:tcPr>
            <w:tcW w:w="60"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40,963</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70,324</w:t>
            </w:r>
          </w:p>
        </w:tc>
        <w:tc>
          <w:tcPr>
            <w:tcW w:w="9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30,466</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34,548</w:t>
            </w:r>
          </w:p>
        </w:tc>
        <w:tc>
          <w:tcPr>
            <w:tcW w:w="9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40" w:right="0" w:hanging="18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60" w:type="dxa"/>
            <w:tcBorders/>
            <w:vAlign w:val="bottom"/>
          </w:tcPr>
          <w:p>
            <w:pPr>
              <w:pStyle w:val="TableContents"/>
              <w:bidi w:val="0"/>
              <w:spacing w:before="0" w:after="283"/>
              <w:jc w:val="righ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672</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(115</w:t>
            </w:r>
          </w:p>
        </w:tc>
        <w:tc>
          <w:tcPr>
            <w:tcW w:w="95"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2165" w:type="dxa"/>
            <w:tcBorders/>
            <w:shd w:fill="CCEEFF" w:val="clear"/>
            <w:vAlign w:val="bottom"/>
          </w:tcPr>
          <w:p>
            <w:pPr>
              <w:pStyle w:val="TableContents"/>
              <w:bidi w:val="0"/>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Total Nu Skin</w:t>
            </w:r>
          </w:p>
        </w:tc>
        <w:tc>
          <w:tcPr>
            <w:tcW w:w="60"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354,773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441,750</w:t>
            </w:r>
          </w:p>
        </w:tc>
        <w:tc>
          <w:tcPr>
            <w:tcW w:w="9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Rhyz Investments</w:t>
            </w:r>
          </w:p>
        </w:tc>
        <w:tc>
          <w:tcPr>
            <w:tcW w:w="60"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Manufacturing </w:t>
            </w:r>
            <w:r>
              <w:rPr>
                <w:rFonts w:ascii="Times New Roman;Times;serif" w:hAnsi="Times New Roman;Times;serif"/>
                <w:i w:val="false"/>
                <w:caps w:val="false"/>
                <w:smallCaps w:val="false"/>
                <w:color w:val="000000"/>
                <w:position w:val="7"/>
                <w:sz w:val="16"/>
                <w:sz w:val="20"/>
              </w:rPr>
              <w:t>(1)</w:t>
            </w:r>
          </w:p>
        </w:tc>
        <w:tc>
          <w:tcPr>
            <w:tcW w:w="60"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50,302</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35,767</w:t>
            </w:r>
          </w:p>
        </w:tc>
        <w:tc>
          <w:tcPr>
            <w:tcW w:w="9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Rhyz other</w:t>
            </w:r>
          </w:p>
        </w:tc>
        <w:tc>
          <w:tcPr>
            <w:tcW w:w="60" w:type="dxa"/>
            <w:tcBorders/>
            <w:vAlign w:val="bottom"/>
          </w:tcPr>
          <w:p>
            <w:pPr>
              <w:pStyle w:val="TableContents"/>
              <w:bidi w:val="0"/>
              <w:spacing w:before="0" w:after="283"/>
              <w:jc w:val="righ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12,231</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3,945</w:t>
            </w:r>
          </w:p>
        </w:tc>
        <w:tc>
          <w:tcPr>
            <w:tcW w:w="9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Total Rhyz Investments</w:t>
            </w:r>
          </w:p>
        </w:tc>
        <w:tc>
          <w:tcPr>
            <w:tcW w:w="60" w:type="dxa"/>
            <w:tcBorders/>
            <w:shd w:fill="CCEEFF" w:val="clear"/>
            <w:vAlign w:val="bottom"/>
          </w:tcPr>
          <w:p>
            <w:pPr>
              <w:pStyle w:val="TableContents"/>
              <w:bidi w:val="0"/>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shd w:fill="CCEEFF" w:val="clear"/>
            <w:tcMar>
              <w:bottom w:w="28" w:type="dxa"/>
            </w:tcMar>
            <w:vAlign w:val="bottom"/>
          </w:tcPr>
          <w:p>
            <w:pPr>
              <w:pStyle w:val="TableContents"/>
              <w:bidi w:val="0"/>
              <w:spacing w:before="0" w:after="283"/>
              <w:jc w:val="right"/>
              <w:rPr/>
            </w:pPr>
            <w:r>
              <w:rPr/>
              <w:t>62,533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shd w:fill="CCEEFF" w:val="clear"/>
            <w:tcMar>
              <w:bottom w:w="28" w:type="dxa"/>
            </w:tcMar>
            <w:vAlign w:val="bottom"/>
          </w:tcPr>
          <w:p>
            <w:pPr>
              <w:pStyle w:val="TableContents"/>
              <w:bidi w:val="0"/>
              <w:spacing w:before="0" w:after="283"/>
              <w:jc w:val="right"/>
              <w:rPr/>
            </w:pPr>
            <w:r>
              <w:rPr/>
              <w:t>39,712</w:t>
            </w:r>
          </w:p>
        </w:tc>
        <w:tc>
          <w:tcPr>
            <w:tcW w:w="9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60" w:type="dxa"/>
            <w:tcBorders/>
            <w:vAlign w:val="bottom"/>
          </w:tcPr>
          <w:p>
            <w:pPr>
              <w:pStyle w:val="TableContents"/>
              <w:bidi w:val="0"/>
              <w:spacing w:before="0" w:after="283"/>
              <w:jc w:val="right"/>
              <w:rPr/>
            </w:pPr>
            <w:r>
              <w:rPr/>
              <w:t> </w:t>
            </w:r>
          </w:p>
        </w:tc>
        <w:tc>
          <w:tcPr>
            <w:tcW w:w="127"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06"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417,306</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06"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481,462</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w:t>
            </w:r>
          </w:p>
        </w:tc>
        <w:tc>
          <w:tcPr>
            <w:tcW w:w="9984" w:type="dxa"/>
            <w:tcBorders/>
            <w:vAlign w:val="center"/>
          </w:tcPr>
          <w:p>
            <w:pPr>
              <w:pStyle w:val="TableContents"/>
              <w:widowControl/>
              <w:bidi w:val="0"/>
              <w:spacing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The Rhyz Investments Manufacturing segment had $8.6 million and $11.8 million of intersegment revenue for the three-month period ended March 31, 2024 and 2023, respectively.  Intersegment revenue is eliminated in the consolidated financial statements, as well as the reported segment revenue in the table above.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Segment Contribution</w:t>
      </w:r>
    </w:p>
    <w:p>
      <w:pPr>
        <w:pStyle w:val="TextBody"/>
        <w:bidi w:val="0"/>
        <w:spacing w:before="0" w:after="0"/>
        <w:jc w:val="left"/>
        <w:rPr/>
      </w:pPr>
      <w:r>
        <w:rPr/>
      </w:r>
    </w:p>
    <w:tbl>
      <w:tblPr>
        <w:tblW w:w="5337" w:type="dxa"/>
        <w:jc w:val="left"/>
        <w:tblInd w:w="0" w:type="dxa"/>
        <w:tblLayout w:type="fixed"/>
        <w:tblCellMar>
          <w:top w:w="0" w:type="dxa"/>
          <w:left w:w="0" w:type="dxa"/>
          <w:bottom w:w="0" w:type="dxa"/>
          <w:right w:w="0" w:type="dxa"/>
        </w:tblCellMar>
      </w:tblPr>
      <w:tblGrid>
        <w:gridCol w:w="3395"/>
        <w:gridCol w:w="60"/>
        <w:gridCol w:w="132"/>
        <w:gridCol w:w="688"/>
        <w:gridCol w:w="84"/>
        <w:gridCol w:w="63"/>
        <w:gridCol w:w="132"/>
        <w:gridCol w:w="688"/>
        <w:gridCol w:w="95"/>
      </w:tblGrid>
      <w:tr>
        <w:trPr/>
        <w:tc>
          <w:tcPr>
            <w:tcW w:w="3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95" w:type="dxa"/>
            <w:tcBorders/>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(U.S. dollars in thousands)</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2024</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2023</w:t>
            </w:r>
          </w:p>
        </w:tc>
        <w:tc>
          <w:tcPr>
            <w:tcW w:w="95" w:type="dxa"/>
            <w:tcBorders/>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Nu Skin</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20" w:type="dxa"/>
            <w:gridSpan w:val="2"/>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4"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20" w:type="dxa"/>
            <w:gridSpan w:val="2"/>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395" w:type="dxa"/>
            <w:tcBorders/>
            <w:shd w:fill="CCEEFF" w:val="clear"/>
            <w:vAlign w:val="bottom"/>
          </w:tcPr>
          <w:p>
            <w:pPr>
              <w:pStyle w:val="TableContents"/>
              <w:bidi w:val="0"/>
              <w:spacing w:before="0" w:after="0"/>
              <w:ind w:left="540" w:right="0" w:hanging="18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Americas</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88" w:type="dxa"/>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14,976</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88" w:type="dxa"/>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16,250</w:t>
            </w:r>
          </w:p>
        </w:tc>
        <w:tc>
          <w:tcPr>
            <w:tcW w:w="95"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widowControl/>
              <w:bidi w:val="0"/>
              <w:spacing w:before="0" w:after="0"/>
              <w:ind w:left="360" w:right="0" w:hanging="135"/>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Mainland China</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2"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8" w:type="dxa"/>
            <w:tcBorders/>
            <w:vAlign w:val="bottom"/>
          </w:tcPr>
          <w:p>
            <w:pPr>
              <w:pStyle w:val="TableContents"/>
              <w:bidi w:val="0"/>
              <w:spacing w:before="0" w:after="283"/>
              <w:jc w:val="right"/>
              <w:rPr>
                <w:b w:val="false"/>
                <w:i w:val="false"/>
                <w:caps w:val="false"/>
                <w:smallCaps w:val="false"/>
                <w:color w:val="000000"/>
                <w:sz w:val="20"/>
              </w:rPr>
            </w:pPr>
            <w:r>
              <w:rPr>
                <w:b w:val="false"/>
                <w:i w:val="false"/>
                <w:caps w:val="false"/>
                <w:smallCaps w:val="false"/>
                <w:color w:val="000000"/>
                <w:sz w:val="20"/>
              </w:rPr>
              <w:t>12,253</w:t>
            </w:r>
          </w:p>
        </w:tc>
        <w:tc>
          <w:tcPr>
            <w:tcW w:w="84"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3"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2"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8" w:type="dxa"/>
            <w:tcBorders/>
            <w:vAlign w:val="bottom"/>
          </w:tcPr>
          <w:p>
            <w:pPr>
              <w:pStyle w:val="TableContents"/>
              <w:bidi w:val="0"/>
              <w:spacing w:before="0" w:after="283"/>
              <w:jc w:val="right"/>
              <w:rPr>
                <w:b w:val="false"/>
                <w:i w:val="false"/>
                <w:caps w:val="false"/>
                <w:smallCaps w:val="false"/>
                <w:color w:val="000000"/>
                <w:sz w:val="20"/>
              </w:rPr>
            </w:pPr>
            <w:r>
              <w:rPr>
                <w:b w:val="false"/>
                <w:i w:val="false"/>
                <w:caps w:val="false"/>
                <w:smallCaps w:val="false"/>
                <w:color w:val="000000"/>
                <w:sz w:val="20"/>
              </w:rPr>
              <w:t>13,612</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395" w:type="dxa"/>
            <w:tcBorders/>
            <w:shd w:fill="CCEEFF" w:val="clear"/>
            <w:vAlign w:val="bottom"/>
          </w:tcPr>
          <w:p>
            <w:pPr>
              <w:pStyle w:val="TableContents"/>
              <w:bidi w:val="0"/>
              <w:spacing w:before="0" w:after="0"/>
              <w:ind w:left="360" w:right="0" w:hanging="135"/>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Southeast Asia/Pacific</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2"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8" w:type="dxa"/>
            <w:tcBorders/>
            <w:shd w:fill="CCEEFF" w:val="clear"/>
            <w:vAlign w:val="bottom"/>
          </w:tcPr>
          <w:p>
            <w:pPr>
              <w:pStyle w:val="TableContents"/>
              <w:bidi w:val="0"/>
              <w:spacing w:before="0" w:after="283"/>
              <w:jc w:val="right"/>
              <w:rPr>
                <w:b w:val="false"/>
                <w:i w:val="false"/>
                <w:caps w:val="false"/>
                <w:smallCaps w:val="false"/>
                <w:color w:val="000000"/>
                <w:sz w:val="20"/>
              </w:rPr>
            </w:pPr>
            <w:r>
              <w:rPr>
                <w:b w:val="false"/>
                <w:i w:val="false"/>
                <w:caps w:val="false"/>
                <w:smallCaps w:val="false"/>
                <w:color w:val="000000"/>
                <w:sz w:val="20"/>
              </w:rPr>
              <w:t>11,084</w:t>
            </w:r>
          </w:p>
        </w:tc>
        <w:tc>
          <w:tcPr>
            <w:tcW w:w="84"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3"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2"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8" w:type="dxa"/>
            <w:tcBorders/>
            <w:shd w:fill="CCEEFF" w:val="clear"/>
            <w:vAlign w:val="bottom"/>
          </w:tcPr>
          <w:p>
            <w:pPr>
              <w:pStyle w:val="TableContents"/>
              <w:bidi w:val="0"/>
              <w:spacing w:before="0" w:after="283"/>
              <w:jc w:val="right"/>
              <w:rPr>
                <w:b w:val="false"/>
                <w:i w:val="false"/>
                <w:caps w:val="false"/>
                <w:smallCaps w:val="false"/>
                <w:color w:val="000000"/>
                <w:sz w:val="20"/>
              </w:rPr>
            </w:pPr>
            <w:r>
              <w:rPr>
                <w:b w:val="false"/>
                <w:i w:val="false"/>
                <w:caps w:val="false"/>
                <w:smallCaps w:val="false"/>
                <w:color w:val="000000"/>
                <w:sz w:val="20"/>
              </w:rPr>
              <w:t>12,471</w:t>
            </w:r>
          </w:p>
        </w:tc>
        <w:tc>
          <w:tcPr>
            <w:tcW w:w="9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395" w:type="dxa"/>
            <w:tcBorders/>
            <w:vAlign w:val="bottom"/>
          </w:tcPr>
          <w:p>
            <w:pPr>
              <w:pStyle w:val="TableContents"/>
              <w:bidi w:val="0"/>
              <w:spacing w:before="0" w:after="0"/>
              <w:ind w:left="50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Japan</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2"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8" w:type="dxa"/>
            <w:tcBorders/>
            <w:vAlign w:val="bottom"/>
          </w:tcPr>
          <w:p>
            <w:pPr>
              <w:pStyle w:val="TableContents"/>
              <w:bidi w:val="0"/>
              <w:spacing w:before="0" w:after="283"/>
              <w:jc w:val="right"/>
              <w:rPr>
                <w:b w:val="false"/>
                <w:i w:val="false"/>
                <w:caps w:val="false"/>
                <w:smallCaps w:val="false"/>
                <w:color w:val="000000"/>
                <w:sz w:val="20"/>
              </w:rPr>
            </w:pPr>
            <w:r>
              <w:rPr>
                <w:b w:val="false"/>
                <w:i w:val="false"/>
                <w:caps w:val="false"/>
                <w:smallCaps w:val="false"/>
                <w:color w:val="000000"/>
                <w:sz w:val="20"/>
              </w:rPr>
              <w:t>12,006</w:t>
            </w:r>
          </w:p>
        </w:tc>
        <w:tc>
          <w:tcPr>
            <w:tcW w:w="84"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3"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2"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8" w:type="dxa"/>
            <w:tcBorders/>
            <w:vAlign w:val="bottom"/>
          </w:tcPr>
          <w:p>
            <w:pPr>
              <w:pStyle w:val="TableContents"/>
              <w:bidi w:val="0"/>
              <w:spacing w:before="0" w:after="283"/>
              <w:jc w:val="right"/>
              <w:rPr>
                <w:b w:val="false"/>
                <w:i w:val="false"/>
                <w:caps w:val="false"/>
                <w:smallCaps w:val="false"/>
                <w:color w:val="000000"/>
                <w:sz w:val="20"/>
              </w:rPr>
            </w:pPr>
            <w:r>
              <w:rPr>
                <w:b w:val="false"/>
                <w:i w:val="false"/>
                <w:caps w:val="false"/>
                <w:smallCaps w:val="false"/>
                <w:color w:val="000000"/>
                <w:sz w:val="20"/>
              </w:rPr>
              <w:t>12,908</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395" w:type="dxa"/>
            <w:tcBorders/>
            <w:shd w:fill="CCEEFF" w:val="clear"/>
            <w:vAlign w:val="bottom"/>
          </w:tcPr>
          <w:p>
            <w:pPr>
              <w:pStyle w:val="TableContents"/>
              <w:bidi w:val="0"/>
              <w:spacing w:before="0" w:after="0"/>
              <w:ind w:left="540" w:right="0" w:hanging="18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Europe &amp; Africa</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3,276</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3,638</w:t>
            </w:r>
          </w:p>
        </w:tc>
        <w:tc>
          <w:tcPr>
            <w:tcW w:w="95"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360" w:right="0" w:hanging="0"/>
              <w:jc w:val="left"/>
              <w:rPr>
                <w:b w:val="false"/>
                <w:i w:val="false"/>
                <w:caps w:val="false"/>
                <w:smallCaps w:val="false"/>
                <w:color w:val="000000"/>
                <w:sz w:val="20"/>
              </w:rPr>
            </w:pPr>
            <w:r>
              <w:rPr>
                <w:b w:val="false"/>
                <w:i w:val="false"/>
                <w:caps w:val="false"/>
                <w:smallCaps w:val="false"/>
                <w:color w:val="000000"/>
                <w:sz w:val="20"/>
              </w:rPr>
              <w:t>South Korea</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2"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8" w:type="dxa"/>
            <w:tcBorders/>
            <w:vAlign w:val="bottom"/>
          </w:tcPr>
          <w:p>
            <w:pPr>
              <w:pStyle w:val="TableContents"/>
              <w:bidi w:val="0"/>
              <w:spacing w:before="0" w:after="283"/>
              <w:jc w:val="right"/>
              <w:rPr>
                <w:b w:val="false"/>
                <w:i w:val="false"/>
                <w:caps w:val="false"/>
                <w:smallCaps w:val="false"/>
                <w:color w:val="000000"/>
                <w:sz w:val="20"/>
              </w:rPr>
            </w:pPr>
            <w:r>
              <w:rPr>
                <w:b w:val="false"/>
                <w:i w:val="false"/>
                <w:caps w:val="false"/>
                <w:smallCaps w:val="false"/>
                <w:color w:val="000000"/>
                <w:sz w:val="20"/>
              </w:rPr>
              <w:t>12,183</w:t>
            </w:r>
          </w:p>
        </w:tc>
        <w:tc>
          <w:tcPr>
            <w:tcW w:w="84"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3"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2"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8" w:type="dxa"/>
            <w:tcBorders/>
            <w:vAlign w:val="bottom"/>
          </w:tcPr>
          <w:p>
            <w:pPr>
              <w:pStyle w:val="TableContents"/>
              <w:bidi w:val="0"/>
              <w:spacing w:before="0" w:after="283"/>
              <w:jc w:val="right"/>
              <w:rPr>
                <w:b w:val="false"/>
                <w:i w:val="false"/>
                <w:caps w:val="false"/>
                <w:smallCaps w:val="false"/>
                <w:color w:val="000000"/>
                <w:sz w:val="20"/>
              </w:rPr>
            </w:pPr>
            <w:r>
              <w:rPr>
                <w:b w:val="false"/>
                <w:i w:val="false"/>
                <w:caps w:val="false"/>
                <w:smallCaps w:val="false"/>
                <w:color w:val="000000"/>
                <w:sz w:val="20"/>
              </w:rPr>
              <w:t>23,575</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395" w:type="dxa"/>
            <w:tcBorders/>
            <w:shd w:fill="CCEEFF" w:val="clear"/>
            <w:vAlign w:val="bottom"/>
          </w:tcPr>
          <w:p>
            <w:pPr>
              <w:pStyle w:val="TableContents"/>
              <w:bidi w:val="0"/>
              <w:spacing w:before="0" w:after="0"/>
              <w:ind w:left="540" w:right="0" w:hanging="18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7,367</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7,834</w:t>
            </w:r>
          </w:p>
        </w:tc>
        <w:tc>
          <w:tcPr>
            <w:tcW w:w="95"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Nu Skin contribution</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73,145</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90,288</w:t>
            </w:r>
          </w:p>
        </w:tc>
        <w:tc>
          <w:tcPr>
            <w:tcW w:w="95"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Rhyz Investments</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2"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8"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4"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3"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2"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8"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9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395" w:type="dxa"/>
            <w:tcBorders/>
            <w:vAlign w:val="bottom"/>
          </w:tcPr>
          <w:p>
            <w:pPr>
              <w:pStyle w:val="TableContents"/>
              <w:bidi w:val="0"/>
              <w:spacing w:before="0" w:after="0"/>
              <w:ind w:left="50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Manufacturing</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1,967</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(1,373</w:t>
            </w:r>
          </w:p>
        </w:tc>
        <w:tc>
          <w:tcPr>
            <w:tcW w:w="95" w:type="dxa"/>
            <w:tcBorders/>
            <w:vAlign w:val="bottom"/>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3395" w:type="dxa"/>
            <w:tcBorders/>
            <w:shd w:fill="CCEEFF" w:val="clear"/>
            <w:vAlign w:val="bottom"/>
          </w:tcPr>
          <w:p>
            <w:pPr>
              <w:pStyle w:val="TableContents"/>
              <w:bidi w:val="0"/>
              <w:spacing w:before="0" w:after="0"/>
              <w:ind w:left="50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Rhyz other</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8" w:type="dxa"/>
            <w:tcBorders>
              <w:bottom w:val="single" w:sz="12" w:space="0" w:color="000000"/>
            </w:tcBorders>
            <w:shd w:fill="CCEEFF" w:val="clear"/>
            <w:tcMar>
              <w:bottom w:w="28" w:type="dxa"/>
            </w:tcMar>
            <w:vAlign w:val="bottom"/>
          </w:tcPr>
          <w:p>
            <w:pPr>
              <w:pStyle w:val="TableContents"/>
              <w:bidi w:val="0"/>
              <w:spacing w:before="0" w:after="283"/>
              <w:jc w:val="right"/>
              <w:rPr>
                <w:b w:val="false"/>
                <w:i w:val="false"/>
                <w:caps w:val="false"/>
                <w:smallCaps w:val="false"/>
                <w:color w:val="000000"/>
                <w:sz w:val="20"/>
              </w:rPr>
            </w:pPr>
            <w:r>
              <w:rPr>
                <w:b w:val="false"/>
                <w:i w:val="false"/>
                <w:caps w:val="false"/>
                <w:smallCaps w:val="false"/>
                <w:color w:val="000000"/>
                <w:sz w:val="20"/>
              </w:rPr>
              <w:t>(5,942</w:t>
            </w:r>
          </w:p>
        </w:tc>
        <w:tc>
          <w:tcPr>
            <w:tcW w:w="84" w:type="dxa"/>
            <w:tcBorders/>
            <w:shd w:fill="CCEEFF" w:val="clear"/>
            <w:vAlign w:val="bottom"/>
          </w:tcPr>
          <w:p>
            <w:pPr>
              <w:pStyle w:val="TableContents"/>
              <w:bidi w:val="0"/>
              <w:spacing w:before="0" w:after="283"/>
              <w:jc w:val="left"/>
              <w:rPr>
                <w:b w:val="false"/>
                <w:i w:val="false"/>
                <w:caps w:val="false"/>
                <w:smallCaps w:val="false"/>
                <w:color w:val="000000"/>
                <w:sz w:val="20"/>
              </w:rPr>
            </w:pPr>
            <w:r>
              <w:rPr>
                <w:b w:val="false"/>
                <w:i w:val="false"/>
                <w:caps w:val="false"/>
                <w:smallCaps w:val="false"/>
                <w:color w:val="000000"/>
                <w:sz w:val="20"/>
              </w:rPr>
              <w:t>)</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283"/>
              <w:jc w:val="right"/>
              <w:rPr>
                <w:b w:val="false"/>
                <w:i w:val="false"/>
                <w:caps w:val="false"/>
                <w:smallCaps w:val="false"/>
                <w:color w:val="000000"/>
                <w:sz w:val="20"/>
              </w:rPr>
            </w:pPr>
            <w:r>
              <w:rPr>
                <w:b w:val="false"/>
                <w:i w:val="false"/>
                <w:caps w:val="false"/>
                <w:smallCaps w:val="false"/>
                <w:color w:val="000000"/>
                <w:sz w:val="20"/>
              </w:rPr>
              <w:t>(1,960</w:t>
            </w:r>
          </w:p>
        </w:tc>
        <w:tc>
          <w:tcPr>
            <w:tcW w:w="95" w:type="dxa"/>
            <w:tcBorders/>
            <w:shd w:fill="CCEEFF" w:val="clear"/>
            <w:vAlign w:val="bottom"/>
          </w:tcPr>
          <w:p>
            <w:pPr>
              <w:pStyle w:val="TableContents"/>
              <w:bidi w:val="0"/>
              <w:spacing w:before="0" w:after="283"/>
              <w:jc w:val="left"/>
              <w:rPr>
                <w:b w:val="false"/>
                <w:i w:val="false"/>
                <w:caps w:val="false"/>
                <w:smallCaps w:val="false"/>
                <w:color w:val="000000"/>
                <w:sz w:val="20"/>
              </w:rPr>
            </w:pPr>
            <w:r>
              <w:rPr>
                <w:b w:val="false"/>
                <w:i w:val="false"/>
                <w:caps w:val="false"/>
                <w:smallCaps w:val="false"/>
                <w:color w:val="000000"/>
                <w:sz w:val="20"/>
              </w:rPr>
              <w:t>)</w:t>
            </w:r>
          </w:p>
        </w:tc>
      </w:tr>
      <w:tr>
        <w:trPr/>
        <w:tc>
          <w:tcPr>
            <w:tcW w:w="3395" w:type="dxa"/>
            <w:tcBorders/>
            <w:vAlign w:val="bottom"/>
          </w:tcPr>
          <w:p>
            <w:pPr>
              <w:pStyle w:val="TableContents"/>
              <w:bidi w:val="0"/>
              <w:spacing w:before="0" w:after="0"/>
              <w:ind w:left="144" w:right="0" w:hanging="144"/>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Total Rhyz Investments</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2"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8" w:type="dxa"/>
            <w:tcBorders>
              <w:bottom w:val="single" w:sz="12" w:space="0" w:color="000000"/>
            </w:tcBorders>
            <w:tcMar>
              <w:bottom w:w="28" w:type="dxa"/>
            </w:tcMar>
            <w:vAlign w:val="bottom"/>
          </w:tcPr>
          <w:p>
            <w:pPr>
              <w:pStyle w:val="TableContents"/>
              <w:bidi w:val="0"/>
              <w:spacing w:before="0" w:after="283"/>
              <w:jc w:val="right"/>
              <w:rPr>
                <w:b w:val="false"/>
                <w:i w:val="false"/>
                <w:caps w:val="false"/>
                <w:smallCaps w:val="false"/>
                <w:color w:val="000000"/>
                <w:sz w:val="20"/>
              </w:rPr>
            </w:pPr>
            <w:r>
              <w:rPr>
                <w:b w:val="false"/>
                <w:i w:val="false"/>
                <w:caps w:val="false"/>
                <w:smallCaps w:val="false"/>
                <w:color w:val="000000"/>
                <w:sz w:val="20"/>
              </w:rPr>
              <w:t>(3,975</w:t>
            </w:r>
          </w:p>
        </w:tc>
        <w:tc>
          <w:tcPr>
            <w:tcW w:w="84" w:type="dxa"/>
            <w:tcBorders/>
            <w:vAlign w:val="bottom"/>
          </w:tcPr>
          <w:p>
            <w:pPr>
              <w:pStyle w:val="TableContents"/>
              <w:bidi w:val="0"/>
              <w:spacing w:before="0" w:after="283"/>
              <w:jc w:val="left"/>
              <w:rPr>
                <w:b w:val="false"/>
                <w:i w:val="false"/>
                <w:caps w:val="false"/>
                <w:smallCaps w:val="false"/>
                <w:color w:val="000000"/>
                <w:sz w:val="20"/>
              </w:rPr>
            </w:pPr>
            <w:r>
              <w:rPr>
                <w:b w:val="false"/>
                <w:i w:val="false"/>
                <w:caps w:val="false"/>
                <w:smallCaps w:val="false"/>
                <w:color w:val="000000"/>
                <w:sz w:val="20"/>
              </w:rPr>
              <w:t>)</w:t>
            </w:r>
          </w:p>
        </w:tc>
        <w:tc>
          <w:tcPr>
            <w:tcW w:w="63"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2"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8" w:type="dxa"/>
            <w:tcBorders>
              <w:bottom w:val="single" w:sz="12" w:space="0" w:color="000000"/>
            </w:tcBorders>
            <w:tcMar>
              <w:bottom w:w="28" w:type="dxa"/>
            </w:tcMar>
            <w:vAlign w:val="bottom"/>
          </w:tcPr>
          <w:p>
            <w:pPr>
              <w:pStyle w:val="TableContents"/>
              <w:bidi w:val="0"/>
              <w:spacing w:before="0" w:after="283"/>
              <w:jc w:val="right"/>
              <w:rPr>
                <w:b w:val="false"/>
                <w:i w:val="false"/>
                <w:caps w:val="false"/>
                <w:smallCaps w:val="false"/>
                <w:color w:val="000000"/>
                <w:sz w:val="20"/>
              </w:rPr>
            </w:pPr>
            <w:r>
              <w:rPr>
                <w:b w:val="false"/>
                <w:i w:val="false"/>
                <w:caps w:val="false"/>
                <w:smallCaps w:val="false"/>
                <w:color w:val="000000"/>
                <w:sz w:val="20"/>
              </w:rPr>
              <w:t>(3,333</w:t>
            </w:r>
          </w:p>
        </w:tc>
        <w:tc>
          <w:tcPr>
            <w:tcW w:w="95" w:type="dxa"/>
            <w:tcBorders/>
            <w:vAlign w:val="bottom"/>
          </w:tcPr>
          <w:p>
            <w:pPr>
              <w:pStyle w:val="TableContents"/>
              <w:bidi w:val="0"/>
              <w:spacing w:before="0" w:after="283"/>
              <w:jc w:val="left"/>
              <w:rPr>
                <w:b w:val="false"/>
                <w:i w:val="false"/>
                <w:caps w:val="false"/>
                <w:smallCaps w:val="false"/>
                <w:color w:val="000000"/>
                <w:sz w:val="20"/>
              </w:rPr>
            </w:pPr>
            <w:r>
              <w:rPr>
                <w:b w:val="false"/>
                <w:i w:val="false"/>
                <w:caps w:val="false"/>
                <w:smallCaps w:val="false"/>
                <w:color w:val="000000"/>
                <w:sz w:val="20"/>
              </w:rPr>
              <w:t>)</w:t>
            </w:r>
          </w:p>
        </w:tc>
      </w:tr>
      <w:tr>
        <w:trPr/>
        <w:tc>
          <w:tcPr>
            <w:tcW w:w="3395" w:type="dxa"/>
            <w:tcBorders/>
            <w:shd w:fill="CCEEFF" w:val="clear"/>
            <w:vAlign w:val="bottom"/>
          </w:tcPr>
          <w:p>
            <w:pPr>
              <w:pStyle w:val="TableContents"/>
              <w:bidi w:val="0"/>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 segment contribution</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69,170</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86,955</w:t>
            </w:r>
          </w:p>
        </w:tc>
        <w:tc>
          <w:tcPr>
            <w:tcW w:w="95"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Corporate and other</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(60,348</w:t>
            </w:r>
          </w:p>
        </w:tc>
        <w:tc>
          <w:tcPr>
            <w:tcW w:w="84"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(70,891</w:t>
            </w:r>
          </w:p>
        </w:tc>
        <w:tc>
          <w:tcPr>
            <w:tcW w:w="95"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395" w:type="dxa"/>
            <w:tcBorders/>
            <w:shd w:fill="CCEEFF" w:val="clear"/>
            <w:vAlign w:val="bottom"/>
          </w:tcPr>
          <w:p>
            <w:pPr>
              <w:pStyle w:val="TableContents"/>
              <w:bidi w:val="0"/>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Operating income</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8,822</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16,064</w:t>
            </w:r>
          </w:p>
        </w:tc>
        <w:tc>
          <w:tcPr>
            <w:tcW w:w="95"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pPr>
            <w:r>
              <w:rPr/>
              <w:t>Interest expense</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7,325</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4,888</w:t>
            </w:r>
          </w:p>
        </w:tc>
        <w:tc>
          <w:tcPr>
            <w:tcW w:w="95"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income (expense), net</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(396</w:t>
            </w:r>
          </w:p>
        </w:tc>
        <w:tc>
          <w:tcPr>
            <w:tcW w:w="84"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3,412</w:t>
            </w:r>
          </w:p>
        </w:tc>
        <w:tc>
          <w:tcPr>
            <w:tcW w:w="95"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Income before provision for income taxes</w:t>
            </w:r>
          </w:p>
        </w:tc>
        <w:tc>
          <w:tcPr>
            <w:tcW w:w="60" w:type="dxa"/>
            <w:tcBorders/>
            <w:vAlign w:val="bottom"/>
          </w:tcPr>
          <w:p>
            <w:pPr>
              <w:pStyle w:val="TableContents"/>
              <w:bidi w:val="0"/>
              <w:spacing w:before="0" w:after="283"/>
              <w:jc w:val="right"/>
              <w:rPr/>
            </w:pPr>
            <w:r>
              <w:rPr/>
              <w:t> </w:t>
            </w:r>
          </w:p>
        </w:tc>
        <w:tc>
          <w:tcPr>
            <w:tcW w:w="132"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8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1,101</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8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14,588</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Depreciation and Amortization</w:t>
      </w:r>
    </w:p>
    <w:p>
      <w:pPr>
        <w:pStyle w:val="TextBody"/>
        <w:bidi w:val="0"/>
        <w:spacing w:before="0" w:after="0"/>
        <w:jc w:val="left"/>
        <w:rPr/>
      </w:pPr>
      <w:r>
        <w:rPr/>
      </w:r>
    </w:p>
    <w:tbl>
      <w:tblPr>
        <w:tblW w:w="4088" w:type="dxa"/>
        <w:jc w:val="left"/>
        <w:tblInd w:w="0" w:type="dxa"/>
        <w:tblLayout w:type="fixed"/>
        <w:tblCellMar>
          <w:top w:w="0" w:type="dxa"/>
          <w:left w:w="0" w:type="dxa"/>
          <w:bottom w:w="0" w:type="dxa"/>
          <w:right w:w="0" w:type="dxa"/>
        </w:tblCellMar>
      </w:tblPr>
      <w:tblGrid>
        <w:gridCol w:w="2165"/>
        <w:gridCol w:w="60"/>
        <w:gridCol w:w="144"/>
        <w:gridCol w:w="681"/>
        <w:gridCol w:w="69"/>
        <w:gridCol w:w="69"/>
        <w:gridCol w:w="144"/>
        <w:gridCol w:w="681"/>
        <w:gridCol w:w="75"/>
      </w:tblGrid>
      <w:tr>
        <w:trPr/>
        <w:tc>
          <w:tcPr>
            <w:tcW w:w="2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8"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(U.S. dollars in thousands)</w:t>
            </w:r>
          </w:p>
        </w:tc>
        <w:tc>
          <w:tcPr>
            <w:tcW w:w="60"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2024</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Nu Skin</w:t>
            </w:r>
          </w:p>
        </w:tc>
        <w:tc>
          <w:tcPr>
            <w:tcW w:w="60"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Americas</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105</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66</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pPr>
            <w:r>
              <w:rPr/>
              <w:t>Mainland China</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2,774</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2,775</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135"/>
              <w:jc w:val="left"/>
              <w:rPr>
                <w:b w:val="false"/>
                <w:spacing w:val="0"/>
              </w:rPr>
            </w:pPr>
            <w:r>
              <w:rPr>
                <w:b w:val="false"/>
                <w:spacing w:val="0"/>
              </w:rPr>
              <w:t>Southeast Asia/Pacific</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249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280</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Japan</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81</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1,054</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Europe &amp; Africa</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273</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282</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pPr>
            <w:r>
              <w:rPr/>
              <w:t>South Korea</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245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453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579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453</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Total Nu Skin</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4,306</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5,363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Rhyz Investments</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Manufacturing</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3,335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3,424</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Rhyz other</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1,886</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592</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Total Rhyz Investments</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5,221</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4,016</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Corporate and other</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8,910</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7,604</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60"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18,437</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16,983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Capital Expenditures</w:t>
      </w:r>
    </w:p>
    <w:p>
      <w:pPr>
        <w:pStyle w:val="TextBody"/>
        <w:bidi w:val="0"/>
        <w:spacing w:before="0" w:after="0"/>
        <w:jc w:val="left"/>
        <w:rPr/>
      </w:pPr>
      <w:r>
        <w:rPr/>
      </w:r>
    </w:p>
    <w:tbl>
      <w:tblPr>
        <w:tblW w:w="4088" w:type="dxa"/>
        <w:jc w:val="left"/>
        <w:tblInd w:w="0" w:type="dxa"/>
        <w:tblLayout w:type="fixed"/>
        <w:tblCellMar>
          <w:top w:w="0" w:type="dxa"/>
          <w:left w:w="0" w:type="dxa"/>
          <w:bottom w:w="0" w:type="dxa"/>
          <w:right w:w="0" w:type="dxa"/>
        </w:tblCellMar>
      </w:tblPr>
      <w:tblGrid>
        <w:gridCol w:w="2165"/>
        <w:gridCol w:w="60"/>
        <w:gridCol w:w="144"/>
        <w:gridCol w:w="681"/>
        <w:gridCol w:w="69"/>
        <w:gridCol w:w="69"/>
        <w:gridCol w:w="144"/>
        <w:gridCol w:w="681"/>
        <w:gridCol w:w="75"/>
      </w:tblGrid>
      <w:tr>
        <w:trPr/>
        <w:tc>
          <w:tcPr>
            <w:tcW w:w="2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8"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(U.S. dollars in thousands)</w:t>
            </w:r>
          </w:p>
        </w:tc>
        <w:tc>
          <w:tcPr>
            <w:tcW w:w="60"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2024</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Nu Skin</w:t>
            </w:r>
          </w:p>
        </w:tc>
        <w:tc>
          <w:tcPr>
            <w:tcW w:w="60"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Americas</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100</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pPr>
            <w:r>
              <w:rPr/>
              <w:t>Mainland China</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2,689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4,035</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135"/>
              <w:jc w:val="left"/>
              <w:rPr>
                <w:b w:val="false"/>
                <w:spacing w:val="0"/>
              </w:rPr>
            </w:pPr>
            <w:r>
              <w:rPr>
                <w:b w:val="false"/>
                <w:spacing w:val="0"/>
              </w:rPr>
              <w:t>Southeast Asia/Pacific</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64</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Japan</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w:t>
            </w:r>
          </w:p>
        </w:tc>
        <w:tc>
          <w:tcPr>
            <w:tcW w:w="6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Europe &amp; Africa</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165</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119</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pPr>
            <w:r>
              <w:rPr/>
              <w:t>South Korea</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22</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154</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198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260</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Total Nu Skin</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3,104</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4,737</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Rhyz Investments</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Manufacturing</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1,349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1,481</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Rhyz other</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283"/>
              <w:jc w:val="right"/>
              <w:rPr/>
            </w:pPr>
            <w:r>
              <w:rPr/>
              <w:t>635</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Total Rhyz Investments</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1,984</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1,481</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Corporate and other</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7,193</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5,269</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60"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12,281</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11,487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3100" w:type="dxa"/>
        <w:jc w:val="left"/>
        <w:tblInd w:w="0" w:type="dxa"/>
        <w:tblLayout w:type="fixed"/>
        <w:tblCellMar>
          <w:top w:w="0" w:type="dxa"/>
          <w:left w:w="0" w:type="dxa"/>
          <w:bottom w:w="0" w:type="dxa"/>
          <w:right w:w="0" w:type="dxa"/>
        </w:tblCellMar>
      </w:tblPr>
      <w:tblGrid>
        <w:gridCol w:w="290"/>
        <w:gridCol w:w="2810"/>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11.</w:t>
            </w:r>
          </w:p>
        </w:tc>
        <w:tc>
          <w:tcPr>
            <w:tcW w:w="281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Commitments and Contingencies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 (i) 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pStyle w:val="TextBody"/>
        <w:bidi w:val="0"/>
        <w:spacing w:before="0" w:after="0"/>
        <w:jc w:val="left"/>
        <w:rPr/>
      </w:pPr>
      <w:r>
        <w:rPr/>
      </w:r>
    </w:p>
    <w:tbl>
      <w:tblPr>
        <w:tblW w:w="1360" w:type="dxa"/>
        <w:jc w:val="left"/>
        <w:tblInd w:w="0" w:type="dxa"/>
        <w:tblLayout w:type="fixed"/>
        <w:tblCellMar>
          <w:top w:w="0" w:type="dxa"/>
          <w:left w:w="0" w:type="dxa"/>
          <w:bottom w:w="0" w:type="dxa"/>
          <w:right w:w="0" w:type="dxa"/>
        </w:tblCellMar>
      </w:tblPr>
      <w:tblGrid>
        <w:gridCol w:w="290"/>
        <w:gridCol w:w="1070"/>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12.</w:t>
            </w:r>
          </w:p>
        </w:tc>
        <w:tc>
          <w:tcPr>
            <w:tcW w:w="107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Acquisitions</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April 2023, the Company acquired 60 percent of LifeDNA, Inc. (“LifeDNA”), a DNA assessment company.  Consideration paid included $4.0 million of cash, along with the conversion of a previous $3.0 million Simple Agreement for Future Equity (“SAFE”), and a $0.2 million convertible note. The acquisition enables the Company to continue to expand its digital tools. The Company allocated the fair value of $12.0 million to the assets acquired and liabilities assumed at estimated fair values. The estimated fair value of assets acquired included $7.3 million of intangible assets, $1.7 million of cash, $0.1 million of current assets, $0.9 million of accrued liabilities and also resulted in a deferred tax liability of $0.9 million. The excess purchase price over the aggregate fair value of assets acquired less liabilities assumed of $4.7 million was recorded as goodwill. The goodwill recognized is attributable primarily to expected synergies. None of the goodwill is expected to be deductible for income tax purposes. The intangible assets acquired comprised $0.6 million of customer relationships, $1.7 million of technology, $1.0 million of tradenames and $4.1 million of other intangibles. The intangibles were assigned useful lives of 7 years for the technology, tradenames and other intangibles, and 2 years for the customer relationships. All the goodwill was assigned to our Rhyz other segment. The numbers above are stated net of measurement period adjustments recorded during the fourth quarter of 2023 of $1.1 million to deferred tax liability and goodwill. The allocation of the fair value of assets acquired and liabilities assumed for the acquisition was finalized during the three months ended December 31, 2023.</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both"/>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June 2023, the Company acquired 100 percent ownership in Beauty Biosciences, LLC (“BeautyBio”), making BeautyBio a wholly owned subsidiary of the Company. The acquisition expands the Company’s product and device offerings within its Rhyz segment. The purchase price for BeautyBio was $75.0 million, net of cash acquired of $1.5 million, all payable in cash. The Company allocated the gross purchase price of $76.5 million to the assets acquired and liabilities assumed at estimated fair values.  The estimated fair value of assets acquired included $43.0 million of intangible assets, $1.5 million of cash, $3.5 million of accounts receivable, $10.3 million of inventory, $0.8 million of prepaid and other assets, $1.0 million of fixed assets, $1.2 million of an ROU operating lease asset and corresponding lease liability, $2.5 million of accounts payable and accrued liabilities and also resulted in a deferred tax liability of $0.7 million. The excess purchase price over the aggregate fair value of assets acquired less liabilities assumed of $19.6 million was recorded as goodwill. The goodwill recognized is attributable primarily to expected synergies. None of the goodwill is expected to be deductible for income tax purposes. The intangible assets acquired comprised $18.4 million of customer relationships, $2.3 million of technology, $20.9 million of tradenames and $1.4 million of other intangibles. The intangibles were assigned useful lives of approximately 19 years for the technology and tradenames, approximately 9 years for the customer relationships and 3 years for the other intangibles. All the goodwill was assigned to our Rhyz other segment. The numbers above are stated net of measurement period adjustments recorded during the fourth quarter of 2023 of $(1.2) million to accounts receivable, $(0.7) million of inventory, $(0.5) million of accrued liabilities, $0.7 million of deferred tax liability, $(0.3) of intangible assets and $2.4 million of goodwill. The allocation of the fair value of assets acquired and liabilities assumed for the acquisition was finalized during the three months ended March 31, 2024.</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 xml:space="preserve">The financial results of LifeDNA and </w:t>
      </w:r>
      <w:r>
        <w:rPr>
          <w:rFonts w:ascii="Times New Roman" w:hAnsi="Times New Roman"/>
          <w:b w:val="false"/>
          <w:i w:val="false"/>
          <w:caps w:val="false"/>
          <w:smallCaps w:val="false"/>
          <w:color w:val="000000"/>
          <w:sz w:val="20"/>
          <w:shd w:fill="FFFFFF" w:val="clear"/>
        </w:rPr>
        <w:t>BeautyBio are included in the Rhyz other segment from the date of acquisition. For the three months ended March 31, 2024, the Company included $5.3 million of revenue from these acquisitions. The unaudited pro forma revenue for the Company, including LifeDNA and BeautyBio, as if the acquisitions occurred on January 1, 2023, would have been $486.3 million for the three months ended March 31, 2023.</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r>
    </w:p>
    <w:tbl>
      <w:tblPr>
        <w:tblW w:w="1495" w:type="dxa"/>
        <w:jc w:val="left"/>
        <w:tblInd w:w="0" w:type="dxa"/>
        <w:tblLayout w:type="fixed"/>
        <w:tblCellMar>
          <w:top w:w="0" w:type="dxa"/>
          <w:left w:w="0" w:type="dxa"/>
          <w:bottom w:w="0" w:type="dxa"/>
          <w:right w:w="0" w:type="dxa"/>
        </w:tblCellMar>
      </w:tblPr>
      <w:tblGrid>
        <w:gridCol w:w="290"/>
        <w:gridCol w:w="120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13.</w:t>
            </w:r>
          </w:p>
        </w:tc>
        <w:tc>
          <w:tcPr>
            <w:tcW w:w="120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Restructuring</w:t>
            </w:r>
          </w:p>
        </w:tc>
      </w:tr>
    </w:tbl>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the third quarter of 2022, the Company adopted a strategic plan (“2022 Plan”) to focus resources on the Company’s strategic priorities and optimize future growth and profitability. The global program includes workforce reductions and footprint optimization. The Company incurred total charges under the program of approximately $53.3 million, with $40.8 million in cash charges of severance and lease termination cost and approximately $12.5 million of non-cash charges of impairment of fixed assets, acceleration of depreciation and impairment of other intangibles related to the footprint optimization. During 2022, the Company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2022, the Company made cash payments of $21.0 million related to this global program, leaving an ending restructuring accrual of $11.7 million. During the first quarter and full year of 2023, the Company incurred charges to be settled in cash of $4.0 million in severance charges, $1.9 million in lease termination cost, and $2.2 million in other associated cost, and non-cash charges of $1.7 million in accelerated depreciation. In 2023, the Company made cash payments of $19.8 million, leaving no restructuring accrual related to this plan as of December 31, 2023.</w:t>
      </w:r>
    </w:p>
    <w:p>
      <w:pPr>
        <w:pStyle w:val="TextBody"/>
        <w:bidi w:val="0"/>
        <w:spacing w:before="0" w:after="0"/>
        <w:jc w:val="both"/>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jc w:val="both"/>
        <w:rPr/>
      </w:pPr>
      <w:r>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Restructuring expense by segment - 2022 Plan</w:t>
      </w:r>
    </w:p>
    <w:p>
      <w:pPr>
        <w:pStyle w:val="TextBody"/>
        <w:bidi w:val="0"/>
        <w:spacing w:before="0" w:after="0"/>
        <w:jc w:val="both"/>
        <w:rPr/>
      </w:pPr>
      <w:r>
        <w:rPr/>
      </w:r>
    </w:p>
    <w:p>
      <w:pPr>
        <w:pStyle w:val="TextBody"/>
        <w:widowControl/>
        <w:bidi w:val="0"/>
        <w:spacing w:before="0" w:after="0"/>
        <w:ind w:left="0" w:right="0" w:hanging="0"/>
        <w:jc w:val="left"/>
        <w:rPr>
          <w:rFonts w:ascii="Times New Roman;Times;serif" w:hAnsi="Times New Roman;Times;serif"/>
          <w:b w:val="false"/>
          <w:color w:val="000000"/>
          <w:spacing w:val="0"/>
          <w:sz w:val="20"/>
        </w:rPr>
      </w:pPr>
      <w:r>
        <w:rPr>
          <w:rFonts w:ascii="Times New Roman;Times;serif" w:hAnsi="Times New Roman;Times;serif"/>
          <w:b w:val="false"/>
          <w:color w:val="000000"/>
          <w:spacing w:val="0"/>
          <w:sz w:val="20"/>
        </w:rPr>
      </w:r>
    </w:p>
    <w:tbl>
      <w:tblPr>
        <w:tblW w:w="8009" w:type="dxa"/>
        <w:jc w:val="left"/>
        <w:tblInd w:w="0" w:type="dxa"/>
        <w:tblLayout w:type="fixed"/>
        <w:tblCellMar>
          <w:top w:w="0" w:type="dxa"/>
          <w:left w:w="0" w:type="dxa"/>
          <w:bottom w:w="0" w:type="dxa"/>
          <w:right w:w="0" w:type="dxa"/>
        </w:tblCellMar>
      </w:tblPr>
      <w:tblGrid>
        <w:gridCol w:w="2615"/>
        <w:gridCol w:w="60"/>
        <w:gridCol w:w="442"/>
        <w:gridCol w:w="1768"/>
        <w:gridCol w:w="95"/>
        <w:gridCol w:w="60"/>
        <w:gridCol w:w="333"/>
        <w:gridCol w:w="1621"/>
        <w:gridCol w:w="60"/>
        <w:gridCol w:w="60"/>
        <w:gridCol w:w="140"/>
        <w:gridCol w:w="680"/>
        <w:gridCol w:w="75"/>
      </w:tblGrid>
      <w:tr>
        <w:trPr/>
        <w:tc>
          <w:tcPr>
            <w:tcW w:w="2615" w:type="dxa"/>
            <w:tcBorders/>
            <w:vAlign w:val="bottom"/>
          </w:tcPr>
          <w:p>
            <w:pPr>
              <w:pStyle w:val="TableContents"/>
              <w:bidi w:val="0"/>
              <w:spacing w:before="0" w:after="0"/>
              <w:ind w:left="144" w:right="0" w:hanging="144"/>
              <w:jc w:val="left"/>
              <w:rPr/>
            </w:pPr>
            <w:r>
              <w:rPr/>
              <w:t xml:space="preserve">(U.S. dollars in thousands) </w:t>
            </w:r>
          </w:p>
        </w:tc>
        <w:tc>
          <w:tcPr>
            <w:tcW w:w="60" w:type="dxa"/>
            <w:tcBorders/>
            <w:vAlign w:val="bottom"/>
          </w:tcPr>
          <w:p>
            <w:pPr>
              <w:pStyle w:val="TableContents"/>
              <w:bidi w:val="0"/>
              <w:spacing w:before="0" w:after="283"/>
              <w:jc w:val="center"/>
              <w:rPr/>
            </w:pPr>
            <w:r>
              <w:rPr/>
              <w:t> </w:t>
            </w:r>
          </w:p>
        </w:tc>
        <w:tc>
          <w:tcPr>
            <w:tcW w:w="221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 xml:space="preserve">March 31, 2023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9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Year Ended</w:t>
            </w:r>
          </w:p>
          <w:p>
            <w:pPr>
              <w:pStyle w:val="TableContents"/>
              <w:bidi w:val="0"/>
              <w:spacing w:before="0" w:after="0"/>
              <w:jc w:val="center"/>
              <w:rPr>
                <w:b/>
              </w:rPr>
            </w:pPr>
            <w:r>
              <w:rPr>
                <w:b/>
              </w:rPr>
              <w:t>December 31, 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Total</w:t>
            </w:r>
          </w:p>
        </w:tc>
        <w:tc>
          <w:tcPr>
            <w:tcW w:w="75" w:type="dxa"/>
            <w:tcBorders/>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144" w:right="0" w:hanging="144"/>
              <w:jc w:val="left"/>
              <w:rPr>
                <w:i/>
              </w:rPr>
            </w:pPr>
            <w:r>
              <w:rPr>
                <w:i/>
              </w:rPr>
              <w:t>Nu Skin</w:t>
            </w:r>
          </w:p>
        </w:tc>
        <w:tc>
          <w:tcPr>
            <w:tcW w:w="60" w:type="dxa"/>
            <w:tcBorders/>
            <w:vAlign w:val="bottom"/>
          </w:tcPr>
          <w:p>
            <w:pPr>
              <w:pStyle w:val="TableContents"/>
              <w:bidi w:val="0"/>
              <w:spacing w:before="0" w:after="283"/>
              <w:jc w:val="left"/>
              <w:rPr/>
            </w:pPr>
            <w:r>
              <w:rPr/>
              <w:t> </w:t>
            </w:r>
          </w:p>
        </w:tc>
        <w:tc>
          <w:tcPr>
            <w:tcW w:w="221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360" w:right="0" w:hanging="0"/>
              <w:jc w:val="left"/>
              <w:rPr/>
            </w:pPr>
            <w:r>
              <w:rPr/>
              <w:t>Americas</w:t>
            </w:r>
          </w:p>
        </w:tc>
        <w:tc>
          <w:tcPr>
            <w:tcW w:w="60" w:type="dxa"/>
            <w:tcBorders/>
            <w:shd w:fill="CCEEFF" w:val="clear"/>
            <w:vAlign w:val="bottom"/>
          </w:tcPr>
          <w:p>
            <w:pPr>
              <w:pStyle w:val="TableContents"/>
              <w:bidi w:val="0"/>
              <w:spacing w:before="0" w:after="283"/>
              <w:jc w:val="right"/>
              <w:rPr/>
            </w:pPr>
            <w:r>
              <w:rPr/>
              <w:t> </w:t>
            </w:r>
          </w:p>
        </w:tc>
        <w:tc>
          <w:tcPr>
            <w:tcW w:w="442" w:type="dxa"/>
            <w:tcBorders/>
            <w:shd w:fill="CCEEFF" w:val="clear"/>
            <w:vAlign w:val="bottom"/>
          </w:tcPr>
          <w:p>
            <w:pPr>
              <w:pStyle w:val="TableContents"/>
              <w:bidi w:val="0"/>
              <w:spacing w:before="0" w:after="0"/>
              <w:jc w:val="left"/>
              <w:rPr/>
            </w:pPr>
            <w:r>
              <w:rPr/>
              <w:t>$</w:t>
            </w:r>
          </w:p>
        </w:tc>
        <w:tc>
          <w:tcPr>
            <w:tcW w:w="1768" w:type="dxa"/>
            <w:tcBorders/>
            <w:shd w:fill="CCEEFF" w:val="clear"/>
            <w:vAlign w:val="bottom"/>
          </w:tcPr>
          <w:p>
            <w:pPr>
              <w:pStyle w:val="TableContents"/>
              <w:bidi w:val="0"/>
              <w:spacing w:before="0" w:after="0"/>
              <w:jc w:val="right"/>
              <w:rPr/>
            </w:pPr>
            <w:r>
              <w:rPr/>
              <w:t>918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3" w:type="dxa"/>
            <w:tcBorders/>
            <w:shd w:fill="CCEEFF" w:val="clear"/>
            <w:vAlign w:val="bottom"/>
          </w:tcPr>
          <w:p>
            <w:pPr>
              <w:pStyle w:val="TableContents"/>
              <w:bidi w:val="0"/>
              <w:spacing w:before="0" w:after="283"/>
              <w:jc w:val="left"/>
              <w:rPr/>
            </w:pPr>
            <w:r>
              <w:rPr/>
              <w:t>$</w:t>
            </w:r>
          </w:p>
        </w:tc>
        <w:tc>
          <w:tcPr>
            <w:tcW w:w="1621" w:type="dxa"/>
            <w:tcBorders/>
            <w:shd w:fill="CCEEFF" w:val="clear"/>
            <w:vAlign w:val="bottom"/>
          </w:tcPr>
          <w:p>
            <w:pPr>
              <w:pStyle w:val="TableContents"/>
              <w:bidi w:val="0"/>
              <w:spacing w:before="0" w:after="283"/>
              <w:jc w:val="right"/>
              <w:rPr/>
            </w:pPr>
            <w:r>
              <w:rPr/>
              <w:t>1,687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2,605</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360" w:right="0" w:hanging="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Mainland China</w:t>
            </w:r>
          </w:p>
        </w:tc>
        <w:tc>
          <w:tcPr>
            <w:tcW w:w="60" w:type="dxa"/>
            <w:tcBorders/>
            <w:vAlign w:val="bottom"/>
          </w:tcPr>
          <w:p>
            <w:pPr>
              <w:pStyle w:val="TableContents"/>
              <w:bidi w:val="0"/>
              <w:spacing w:before="0" w:after="283"/>
              <w:jc w:val="right"/>
              <w:rPr/>
            </w:pPr>
            <w:r>
              <w:rPr/>
              <w:t> </w:t>
            </w:r>
          </w:p>
        </w:tc>
        <w:tc>
          <w:tcPr>
            <w:tcW w:w="442"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1,352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3"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right"/>
              <w:rPr/>
            </w:pPr>
            <w:r>
              <w:rPr/>
              <w:t>13,181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14,533</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360" w:right="0" w:hanging="0"/>
              <w:jc w:val="left"/>
              <w:rPr/>
            </w:pPr>
            <w:r>
              <w:rPr/>
              <w:t>Southeast Asia/Pacific</w:t>
            </w:r>
          </w:p>
        </w:tc>
        <w:tc>
          <w:tcPr>
            <w:tcW w:w="60" w:type="dxa"/>
            <w:tcBorders/>
            <w:shd w:fill="CCEEFF" w:val="clear"/>
            <w:vAlign w:val="bottom"/>
          </w:tcPr>
          <w:p>
            <w:pPr>
              <w:pStyle w:val="TableContents"/>
              <w:bidi w:val="0"/>
              <w:spacing w:before="0" w:after="283"/>
              <w:jc w:val="right"/>
              <w:rPr/>
            </w:pPr>
            <w:r>
              <w:rPr/>
              <w:t> </w:t>
            </w:r>
          </w:p>
        </w:tc>
        <w:tc>
          <w:tcPr>
            <w:tcW w:w="442"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0"/>
              <w:jc w:val="right"/>
              <w:rPr/>
            </w:pPr>
            <w:r>
              <w:rPr/>
              <w:t>131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3"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spacing w:before="0" w:after="283"/>
              <w:jc w:val="right"/>
              <w:rPr/>
            </w:pPr>
            <w:r>
              <w:rPr/>
              <w:t>1,809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1,940</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360" w:right="0" w:hanging="0"/>
              <w:jc w:val="left"/>
              <w:rPr/>
            </w:pPr>
            <w:r>
              <w:rPr/>
              <w:t>Japan</w:t>
            </w:r>
          </w:p>
        </w:tc>
        <w:tc>
          <w:tcPr>
            <w:tcW w:w="60" w:type="dxa"/>
            <w:tcBorders/>
            <w:vAlign w:val="bottom"/>
          </w:tcPr>
          <w:p>
            <w:pPr>
              <w:pStyle w:val="TableContents"/>
              <w:bidi w:val="0"/>
              <w:spacing w:before="0" w:after="283"/>
              <w:jc w:val="right"/>
              <w:rPr/>
            </w:pPr>
            <w:r>
              <w:rPr/>
              <w:t> </w:t>
            </w:r>
          </w:p>
        </w:tc>
        <w:tc>
          <w:tcPr>
            <w:tcW w:w="442"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0"/>
              <w:jc w:val="right"/>
              <w:rPr/>
            </w:pPr>
            <w:r>
              <w:rPr/>
              <w:t>1,515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3"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right"/>
              <w:rPr/>
            </w:pPr>
            <w:r>
              <w:rPr/>
              <w:t>699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2,214</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360" w:right="0" w:hanging="0"/>
              <w:jc w:val="left"/>
              <w:rPr>
                <w:rFonts w:ascii="Times New Roman;Times;serif" w:hAnsi="Times New Roman;Times;serif"/>
                <w:color w:val="000000"/>
                <w:sz w:val="20"/>
              </w:rPr>
            </w:pPr>
            <w:r>
              <w:rPr>
                <w:rFonts w:ascii="Times New Roman;Times;serif" w:hAnsi="Times New Roman;Times;serif"/>
                <w:color w:val="000000"/>
                <w:sz w:val="20"/>
              </w:rPr>
              <w:t>Europe &amp; Africa</w:t>
            </w:r>
          </w:p>
        </w:tc>
        <w:tc>
          <w:tcPr>
            <w:tcW w:w="60" w:type="dxa"/>
            <w:tcBorders/>
            <w:shd w:fill="CCEEFF" w:val="clear"/>
            <w:vAlign w:val="bottom"/>
          </w:tcPr>
          <w:p>
            <w:pPr>
              <w:pStyle w:val="TableContents"/>
              <w:bidi w:val="0"/>
              <w:spacing w:before="0" w:after="283"/>
              <w:jc w:val="right"/>
              <w:rPr/>
            </w:pPr>
            <w:r>
              <w:rPr/>
              <w:t> </w:t>
            </w:r>
          </w:p>
        </w:tc>
        <w:tc>
          <w:tcPr>
            <w:tcW w:w="442"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0"/>
              <w:jc w:val="right"/>
              <w:rPr/>
            </w:pPr>
            <w:r>
              <w:rPr/>
              <w:t>(113</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333"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spacing w:before="0" w:after="283"/>
              <w:jc w:val="right"/>
              <w:rPr/>
            </w:pPr>
            <w:r>
              <w:rPr/>
              <w:t>2,143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2,030</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360" w:right="0" w:hanging="0"/>
              <w:jc w:val="left"/>
              <w:rPr/>
            </w:pPr>
            <w:r>
              <w:rPr/>
              <w:t>South Korea</w:t>
            </w:r>
          </w:p>
        </w:tc>
        <w:tc>
          <w:tcPr>
            <w:tcW w:w="60" w:type="dxa"/>
            <w:tcBorders/>
            <w:vAlign w:val="bottom"/>
          </w:tcPr>
          <w:p>
            <w:pPr>
              <w:pStyle w:val="TableContents"/>
              <w:bidi w:val="0"/>
              <w:spacing w:before="0" w:after="283"/>
              <w:jc w:val="right"/>
              <w:rPr/>
            </w:pPr>
            <w:r>
              <w:rPr/>
              <w:t> </w:t>
            </w:r>
          </w:p>
        </w:tc>
        <w:tc>
          <w:tcPr>
            <w:tcW w:w="442"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0"/>
              <w:jc w:val="right"/>
              <w:rPr/>
            </w:pPr>
            <w:r>
              <w:rPr/>
              <w:t>422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3"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right"/>
              <w:rPr/>
            </w:pPr>
            <w:r>
              <w:rPr/>
              <w:t>1,533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1,955</w:t>
            </w:r>
          </w:p>
        </w:tc>
        <w:tc>
          <w:tcPr>
            <w:tcW w:w="75" w:type="dxa"/>
            <w:tcBorders/>
            <w:vAlign w:val="bottom"/>
          </w:tcPr>
          <w:p>
            <w:pPr>
              <w:pStyle w:val="TableContents"/>
              <w:bidi w:val="0"/>
              <w:spacing w:before="0" w:after="283"/>
              <w:jc w:val="left"/>
              <w:rPr/>
            </w:pPr>
            <w:r>
              <w:rPr/>
            </w:r>
          </w:p>
        </w:tc>
      </w:tr>
      <w:tr>
        <w:trPr/>
        <w:tc>
          <w:tcPr>
            <w:tcW w:w="2615" w:type="dxa"/>
            <w:tcBorders/>
            <w:shd w:fill="CCEEFF" w:val="clear"/>
            <w:vAlign w:val="bottom"/>
          </w:tcPr>
          <w:p>
            <w:pPr>
              <w:pStyle w:val="TableContents"/>
              <w:bidi w:val="0"/>
              <w:spacing w:before="0" w:after="0"/>
              <w:ind w:left="360" w:right="0" w:hanging="0"/>
              <w:jc w:val="left"/>
              <w:rPr/>
            </w:pPr>
            <w:r>
              <w:rPr/>
              <w:t>Hong Kong/Taiwan</w:t>
            </w:r>
          </w:p>
        </w:tc>
        <w:tc>
          <w:tcPr>
            <w:tcW w:w="60" w:type="dxa"/>
            <w:tcBorders/>
            <w:shd w:fill="CCEEFF" w:val="clear"/>
            <w:vAlign w:val="bottom"/>
          </w:tcPr>
          <w:p>
            <w:pPr>
              <w:pStyle w:val="TableContents"/>
              <w:bidi w:val="0"/>
              <w:spacing w:before="0" w:after="283"/>
              <w:jc w:val="right"/>
              <w:rPr/>
            </w:pPr>
            <w:r>
              <w:rPr/>
              <w:t> </w:t>
            </w:r>
          </w:p>
        </w:tc>
        <w:tc>
          <w:tcPr>
            <w:tcW w:w="4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68" w:type="dxa"/>
            <w:tcBorders>
              <w:bottom w:val="single" w:sz="12" w:space="0" w:color="000000"/>
            </w:tcBorders>
            <w:shd w:fill="CCEEFF" w:val="clear"/>
            <w:tcMar>
              <w:bottom w:w="28" w:type="dxa"/>
            </w:tcMar>
            <w:vAlign w:val="bottom"/>
          </w:tcPr>
          <w:p>
            <w:pPr>
              <w:pStyle w:val="TableContents"/>
              <w:bidi w:val="0"/>
              <w:spacing w:before="0" w:after="0"/>
              <w:jc w:val="right"/>
              <w:rPr/>
            </w:pPr>
            <w:r>
              <w:rPr/>
              <w:t>(201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3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21" w:type="dxa"/>
            <w:tcBorders>
              <w:bottom w:val="single" w:sz="12" w:space="0" w:color="000000"/>
            </w:tcBorders>
            <w:shd w:fill="CCEEFF" w:val="clear"/>
            <w:tcMar>
              <w:bottom w:w="28" w:type="dxa"/>
            </w:tcMar>
            <w:vAlign w:val="bottom"/>
          </w:tcPr>
          <w:p>
            <w:pPr>
              <w:pStyle w:val="TableContents"/>
              <w:bidi w:val="0"/>
              <w:spacing w:before="0" w:after="283"/>
              <w:jc w:val="right"/>
              <w:rPr/>
            </w:pPr>
            <w:r>
              <w:rPr/>
              <w:t>2,464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2,263</w:t>
            </w:r>
          </w:p>
        </w:tc>
        <w:tc>
          <w:tcPr>
            <w:tcW w:w="75" w:type="dxa"/>
            <w:tcBorders/>
            <w:shd w:fill="CCEEFF" w:val="clear"/>
            <w:vAlign w:val="bottom"/>
          </w:tcPr>
          <w:p>
            <w:pPr>
              <w:pStyle w:val="TableContents"/>
              <w:bidi w:val="0"/>
              <w:spacing w:before="0" w:after="283"/>
              <w:jc w:val="left"/>
              <w:rPr/>
            </w:pPr>
            <w:r>
              <w:rPr/>
            </w:r>
          </w:p>
        </w:tc>
      </w:tr>
      <w:tr>
        <w:trPr/>
        <w:tc>
          <w:tcPr>
            <w:tcW w:w="2615" w:type="dxa"/>
            <w:tcBorders/>
            <w:vAlign w:val="bottom"/>
          </w:tcPr>
          <w:p>
            <w:pPr>
              <w:pStyle w:val="TableContents"/>
              <w:bidi w:val="0"/>
              <w:spacing w:before="0" w:after="0"/>
              <w:ind w:left="144" w:right="0" w:hanging="144"/>
              <w:jc w:val="left"/>
              <w:rPr>
                <w:i/>
              </w:rPr>
            </w:pPr>
            <w:r>
              <w:rPr>
                <w:i/>
              </w:rPr>
              <w:t>Total Nu Skin</w:t>
            </w:r>
          </w:p>
        </w:tc>
        <w:tc>
          <w:tcPr>
            <w:tcW w:w="60" w:type="dxa"/>
            <w:tcBorders/>
            <w:vAlign w:val="bottom"/>
          </w:tcPr>
          <w:p>
            <w:pPr>
              <w:pStyle w:val="TableContents"/>
              <w:bidi w:val="0"/>
              <w:spacing w:before="0" w:after="283"/>
              <w:jc w:val="right"/>
              <w:rPr/>
            </w:pPr>
            <w:r>
              <w:rPr/>
              <w:t> </w:t>
            </w:r>
          </w:p>
        </w:tc>
        <w:tc>
          <w:tcPr>
            <w:tcW w:w="442"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0"/>
              <w:jc w:val="right"/>
              <w:rPr/>
            </w:pPr>
            <w:r>
              <w:rPr/>
              <w:t>4,024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3"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right"/>
              <w:rPr/>
            </w:pPr>
            <w:r>
              <w:rPr/>
              <w:t>23,516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27,540</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144" w:right="0" w:hanging="144"/>
              <w:jc w:val="left"/>
              <w:rPr>
                <w:i/>
              </w:rPr>
            </w:pPr>
            <w:r>
              <w:rPr>
                <w:i/>
              </w:rPr>
              <w:t>Rhyz Investments</w:t>
            </w:r>
          </w:p>
        </w:tc>
        <w:tc>
          <w:tcPr>
            <w:tcW w:w="60" w:type="dxa"/>
            <w:tcBorders/>
            <w:shd w:fill="CCEEFF" w:val="clear"/>
            <w:vAlign w:val="bottom"/>
          </w:tcPr>
          <w:p>
            <w:pPr>
              <w:pStyle w:val="TableContents"/>
              <w:bidi w:val="0"/>
              <w:spacing w:before="0" w:after="283"/>
              <w:jc w:val="right"/>
              <w:rPr/>
            </w:pPr>
            <w:r>
              <w:rPr/>
              <w:t> </w:t>
            </w:r>
          </w:p>
        </w:tc>
        <w:tc>
          <w:tcPr>
            <w:tcW w:w="442"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3"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540" w:right="0" w:hanging="144"/>
              <w:jc w:val="left"/>
              <w:rPr/>
            </w:pPr>
            <w:r>
              <w:rPr/>
              <w:t>Manufacturing</w:t>
            </w:r>
          </w:p>
        </w:tc>
        <w:tc>
          <w:tcPr>
            <w:tcW w:w="60" w:type="dxa"/>
            <w:tcBorders/>
            <w:vAlign w:val="bottom"/>
          </w:tcPr>
          <w:p>
            <w:pPr>
              <w:pStyle w:val="TableContents"/>
              <w:bidi w:val="0"/>
              <w:spacing w:before="0" w:after="283"/>
              <w:jc w:val="right"/>
              <w:rPr/>
            </w:pPr>
            <w:r>
              <w:rPr/>
              <w:t> </w:t>
            </w:r>
          </w:p>
        </w:tc>
        <w:tc>
          <w:tcPr>
            <w:tcW w:w="442"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0"/>
              <w:jc w:val="right"/>
              <w:rPr/>
            </w:pPr>
            <w:r>
              <w:rPr/>
              <w:t>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3"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right"/>
              <w:rPr/>
            </w:pPr>
            <w:r>
              <w:rPr/>
              <w:t>401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414</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540" w:right="0" w:hanging="144"/>
              <w:jc w:val="left"/>
              <w:rPr/>
            </w:pPr>
            <w:r>
              <w:rPr/>
              <w:t>Rhyz other</w:t>
            </w:r>
          </w:p>
        </w:tc>
        <w:tc>
          <w:tcPr>
            <w:tcW w:w="60" w:type="dxa"/>
            <w:tcBorders/>
            <w:shd w:fill="CCEEFF" w:val="clear"/>
            <w:vAlign w:val="bottom"/>
          </w:tcPr>
          <w:p>
            <w:pPr>
              <w:pStyle w:val="TableContents"/>
              <w:bidi w:val="0"/>
              <w:spacing w:before="0" w:after="283"/>
              <w:jc w:val="right"/>
              <w:rPr/>
            </w:pPr>
            <w:r>
              <w:rPr/>
              <w:t> </w:t>
            </w:r>
          </w:p>
        </w:tc>
        <w:tc>
          <w:tcPr>
            <w:tcW w:w="4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68"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21"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jc w:val="left"/>
              <w:rPr>
                <w:i/>
              </w:rPr>
            </w:pPr>
            <w:r>
              <w:rPr>
                <w:i/>
              </w:rPr>
              <w:t>Total Rhyz Investments</w:t>
            </w:r>
          </w:p>
        </w:tc>
        <w:tc>
          <w:tcPr>
            <w:tcW w:w="60" w:type="dxa"/>
            <w:tcBorders/>
            <w:vAlign w:val="bottom"/>
          </w:tcPr>
          <w:p>
            <w:pPr>
              <w:pStyle w:val="TableContents"/>
              <w:bidi w:val="0"/>
              <w:spacing w:before="0" w:after="283"/>
              <w:jc w:val="right"/>
              <w:rPr/>
            </w:pPr>
            <w:r>
              <w:rPr/>
              <w:t> </w:t>
            </w:r>
          </w:p>
        </w:tc>
        <w:tc>
          <w:tcPr>
            <w:tcW w:w="4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768" w:type="dxa"/>
            <w:tcBorders>
              <w:bottom w:val="single" w:sz="12" w:space="0" w:color="000000"/>
            </w:tcBorders>
            <w:tcMar>
              <w:bottom w:w="28" w:type="dxa"/>
            </w:tcMar>
            <w:vAlign w:val="bottom"/>
          </w:tcPr>
          <w:p>
            <w:pPr>
              <w:pStyle w:val="TableContents"/>
              <w:bidi w:val="0"/>
              <w:spacing w:before="0" w:after="0"/>
              <w:jc w:val="right"/>
              <w:rPr/>
            </w:pPr>
            <w:r>
              <w:rPr/>
              <w:t>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621" w:type="dxa"/>
            <w:tcBorders>
              <w:bottom w:val="single" w:sz="12" w:space="0" w:color="000000"/>
            </w:tcBorders>
            <w:tcMar>
              <w:bottom w:w="28" w:type="dxa"/>
            </w:tcMar>
            <w:vAlign w:val="bottom"/>
          </w:tcPr>
          <w:p>
            <w:pPr>
              <w:pStyle w:val="TableContents"/>
              <w:bidi w:val="0"/>
              <w:spacing w:before="0" w:after="283"/>
              <w:jc w:val="right"/>
              <w:rPr/>
            </w:pPr>
            <w:r>
              <w:rPr/>
              <w:t>401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414</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jc w:val="left"/>
              <w:rPr/>
            </w:pPr>
            <w:r>
              <w:rPr/>
              <w:t>Corporate and other</w:t>
            </w:r>
          </w:p>
        </w:tc>
        <w:tc>
          <w:tcPr>
            <w:tcW w:w="60" w:type="dxa"/>
            <w:tcBorders/>
            <w:shd w:fill="CCEEFF" w:val="clear"/>
            <w:vAlign w:val="bottom"/>
          </w:tcPr>
          <w:p>
            <w:pPr>
              <w:pStyle w:val="TableContents"/>
              <w:bidi w:val="0"/>
              <w:spacing w:before="0" w:after="283"/>
              <w:jc w:val="right"/>
              <w:rPr/>
            </w:pPr>
            <w:r>
              <w:rPr/>
              <w:t> </w:t>
            </w:r>
          </w:p>
        </w:tc>
        <w:tc>
          <w:tcPr>
            <w:tcW w:w="4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68" w:type="dxa"/>
            <w:tcBorders>
              <w:bottom w:val="single" w:sz="12" w:space="0" w:color="000000"/>
            </w:tcBorders>
            <w:shd w:fill="CCEEFF" w:val="clear"/>
            <w:tcMar>
              <w:bottom w:w="28" w:type="dxa"/>
            </w:tcMar>
            <w:vAlign w:val="bottom"/>
          </w:tcPr>
          <w:p>
            <w:pPr>
              <w:pStyle w:val="TableContents"/>
              <w:bidi w:val="0"/>
              <w:spacing w:before="0" w:after="0"/>
              <w:jc w:val="right"/>
              <w:rPr/>
            </w:pPr>
            <w:r>
              <w:rPr/>
              <w:t>5,750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21" w:type="dxa"/>
            <w:tcBorders>
              <w:bottom w:val="single" w:sz="12" w:space="0" w:color="000000"/>
            </w:tcBorders>
            <w:shd w:fill="CCEEFF" w:val="clear"/>
            <w:tcMar>
              <w:bottom w:w="28" w:type="dxa"/>
            </w:tcMar>
            <w:vAlign w:val="bottom"/>
          </w:tcPr>
          <w:p>
            <w:pPr>
              <w:pStyle w:val="TableContents"/>
              <w:bidi w:val="0"/>
              <w:spacing w:before="0" w:after="283"/>
              <w:jc w:val="right"/>
              <w:rPr/>
            </w:pPr>
            <w:r>
              <w:rPr/>
              <w:t>19,577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25,327</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108" w:right="0" w:hanging="0"/>
              <w:jc w:val="left"/>
              <w:rPr/>
            </w:pPr>
            <w:r>
              <w:rPr/>
              <w:t>Total</w:t>
            </w:r>
          </w:p>
        </w:tc>
        <w:tc>
          <w:tcPr>
            <w:tcW w:w="60" w:type="dxa"/>
            <w:tcBorders/>
            <w:vAlign w:val="bottom"/>
          </w:tcPr>
          <w:p>
            <w:pPr>
              <w:pStyle w:val="TableContents"/>
              <w:bidi w:val="0"/>
              <w:spacing w:before="0" w:after="283"/>
              <w:jc w:val="right"/>
              <w:rPr/>
            </w:pPr>
            <w:r>
              <w:rPr/>
              <w:t> </w:t>
            </w:r>
          </w:p>
        </w:tc>
        <w:tc>
          <w:tcPr>
            <w:tcW w:w="442" w:type="dxa"/>
            <w:tcBorders>
              <w:bottom w:val="double" w:sz="8" w:space="0" w:color="000000"/>
            </w:tcBorders>
            <w:tcMar>
              <w:bottom w:w="28" w:type="dxa"/>
            </w:tcMar>
            <w:vAlign w:val="bottom"/>
          </w:tcPr>
          <w:p>
            <w:pPr>
              <w:pStyle w:val="TableContents"/>
              <w:bidi w:val="0"/>
              <w:spacing w:before="0" w:after="0"/>
              <w:jc w:val="left"/>
              <w:rPr/>
            </w:pPr>
            <w:r>
              <w:rPr/>
              <w:t>$</w:t>
            </w:r>
          </w:p>
        </w:tc>
        <w:tc>
          <w:tcPr>
            <w:tcW w:w="1768" w:type="dxa"/>
            <w:tcBorders>
              <w:bottom w:val="double" w:sz="8" w:space="0" w:color="000000"/>
            </w:tcBorders>
            <w:tcMar>
              <w:bottom w:w="28" w:type="dxa"/>
            </w:tcMar>
            <w:vAlign w:val="bottom"/>
          </w:tcPr>
          <w:p>
            <w:pPr>
              <w:pStyle w:val="TableContents"/>
              <w:bidi w:val="0"/>
              <w:spacing w:before="0" w:after="0"/>
              <w:jc w:val="right"/>
              <w:rPr/>
            </w:pPr>
            <w:r>
              <w:rPr/>
              <w:t>9,787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3" w:type="dxa"/>
            <w:tcBorders>
              <w:bottom w:val="double" w:sz="8" w:space="0" w:color="000000"/>
            </w:tcBorders>
            <w:tcMar>
              <w:bottom w:w="28" w:type="dxa"/>
            </w:tcMar>
            <w:vAlign w:val="bottom"/>
          </w:tcPr>
          <w:p>
            <w:pPr>
              <w:pStyle w:val="TableContents"/>
              <w:bidi w:val="0"/>
              <w:spacing w:before="0" w:after="283"/>
              <w:jc w:val="left"/>
              <w:rPr/>
            </w:pPr>
            <w:r>
              <w:rPr/>
              <w:t>$</w:t>
            </w:r>
          </w:p>
        </w:tc>
        <w:tc>
          <w:tcPr>
            <w:tcW w:w="1621" w:type="dxa"/>
            <w:tcBorders>
              <w:bottom w:val="double" w:sz="8" w:space="0" w:color="000000"/>
            </w:tcBorders>
            <w:tcMar>
              <w:bottom w:w="28" w:type="dxa"/>
            </w:tcMar>
            <w:vAlign w:val="bottom"/>
          </w:tcPr>
          <w:p>
            <w:pPr>
              <w:pStyle w:val="TableContents"/>
              <w:bidi w:val="0"/>
              <w:spacing w:before="0" w:after="283"/>
              <w:jc w:val="right"/>
              <w:rPr/>
            </w:pPr>
            <w:r>
              <w:rPr/>
              <w:t>43,494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tcMar>
              <w:bottom w:w="28" w:type="dxa"/>
            </w:tcMar>
            <w:vAlign w:val="bottom"/>
          </w:tcPr>
          <w:p>
            <w:pPr>
              <w:pStyle w:val="TableContents"/>
              <w:bidi w:val="0"/>
              <w:spacing w:before="0" w:after="283"/>
              <w:jc w:val="right"/>
              <w:rPr/>
            </w:pPr>
            <w:r>
              <w:rPr/>
              <w:t>53,281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16</w:t>
      </w:r>
    </w:p>
    <w:p>
      <w:pPr>
        <w:pStyle w:val="HorizontalLine"/>
        <w:bidi w:val="0"/>
        <w:spacing w:before="200" w:after="200"/>
        <w:jc w:val="both"/>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In the fourth quarter of 2023, the Company adopted another strategic plan (“2023 Plan”) to focus resources on the Company’s global priorities and optimize future growth and profitability. The global program includes workforce reductions. The Company estimates total charges under the program will approximate $20–$25 million in cash charges of severance. The Company expects to substantially complete the program during the first half of 2024. During the fourth quarter of 2023, the Company incurred charges to be settled in cash of $10.0 million in severance charges. During the fourth quarter of 2023, the Company made cash payments of $0.3 million, leaving an ending restructuring accrual of $9.7 million. During the first quarter of 2024, the Company incurred charges to be settled in cash of $4.1 million in severance charges and $2.0 million in other associated cost, and non-cash charges of $1.0 million in write-down of assets. During the first quarter of 2024, the Company made cash payments of $7.0 million, leaving an ending restructuring accrual of $8.8 million.</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z w:val="20"/>
          <w:shd w:fill="FFFFFF" w:val="clear"/>
        </w:rPr>
        <w:t>Restructuring expense by segment – 2023 Plan</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5346" w:type="dxa"/>
        <w:jc w:val="left"/>
        <w:tblInd w:w="0" w:type="dxa"/>
        <w:tblLayout w:type="fixed"/>
        <w:tblCellMar>
          <w:top w:w="0" w:type="dxa"/>
          <w:left w:w="0" w:type="dxa"/>
          <w:bottom w:w="0" w:type="dxa"/>
          <w:right w:w="0" w:type="dxa"/>
        </w:tblCellMar>
      </w:tblPr>
      <w:tblGrid>
        <w:gridCol w:w="2165"/>
        <w:gridCol w:w="60"/>
        <w:gridCol w:w="181"/>
        <w:gridCol w:w="708"/>
        <w:gridCol w:w="74"/>
        <w:gridCol w:w="74"/>
        <w:gridCol w:w="204"/>
        <w:gridCol w:w="970"/>
        <w:gridCol w:w="60"/>
        <w:gridCol w:w="60"/>
        <w:gridCol w:w="125"/>
        <w:gridCol w:w="590"/>
        <w:gridCol w:w="75"/>
      </w:tblGrid>
      <w:tr>
        <w:trPr/>
        <w:tc>
          <w:tcPr>
            <w:tcW w:w="2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1"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(U.S. dollars in thousands)</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i/>
                <w:sz w:val="20"/>
              </w:rPr>
            </w:pPr>
            <w:r>
              <w:rPr>
                <w:rFonts w:ascii="Times New Roman;Times;serif" w:hAnsi="Times New Roman;Times;serif"/>
                <w:i/>
                <w:sz w:val="20"/>
              </w:rPr>
              <w:t>Nu Skin</w:t>
            </w:r>
          </w:p>
        </w:tc>
        <w:tc>
          <w:tcPr>
            <w:tcW w:w="60"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720" w:right="0" w:hanging="144"/>
              <w:jc w:val="left"/>
              <w:rPr>
                <w:rFonts w:ascii="Times New Roman;Times;serif" w:hAnsi="Times New Roman;Times;serif"/>
                <w:sz w:val="20"/>
              </w:rPr>
            </w:pPr>
            <w:r>
              <w:rPr>
                <w:rFonts w:ascii="Times New Roman;Times;serif" w:hAnsi="Times New Roman;Times;serif"/>
                <w:sz w:val="20"/>
              </w:rPr>
              <w:t>Americas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3,145</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3,743</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720" w:right="0" w:hanging="144"/>
              <w:jc w:val="left"/>
              <w:rPr>
                <w:rFonts w:ascii="Times New Roman;Times;serif" w:hAnsi="Times New Roman;Times;serif"/>
                <w:sz w:val="20"/>
              </w:rPr>
            </w:pPr>
            <w:r>
              <w:rPr>
                <w:rFonts w:ascii="Times New Roman;Times;serif" w:hAnsi="Times New Roman;Times;serif"/>
                <w:sz w:val="20"/>
              </w:rPr>
              <w:t>Mainland China</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1,017</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3,927</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720" w:right="0" w:hanging="144"/>
              <w:jc w:val="left"/>
              <w:rPr>
                <w:rFonts w:ascii="Times New Roman;Times;serif" w:hAnsi="Times New Roman;Times;serif"/>
                <w:sz w:val="20"/>
              </w:rPr>
            </w:pPr>
            <w:r>
              <w:rPr>
                <w:rFonts w:ascii="Times New Roman;Times;serif" w:hAnsi="Times New Roman;Times;serif"/>
                <w:sz w:val="20"/>
              </w:rPr>
              <w:t>Southeast Asia/Pacific</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307</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1,169</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720" w:right="0" w:hanging="144"/>
              <w:jc w:val="left"/>
              <w:rPr>
                <w:rFonts w:ascii="Times New Roman;Times;serif" w:hAnsi="Times New Roman;Times;serif"/>
                <w:sz w:val="20"/>
              </w:rPr>
            </w:pPr>
            <w:r>
              <w:rPr>
                <w:rFonts w:ascii="Times New Roman;Times;serif" w:hAnsi="Times New Roman;Times;serif"/>
                <w:sz w:val="20"/>
              </w:rPr>
              <w:t>Japan</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720" w:right="0" w:hanging="144"/>
              <w:jc w:val="left"/>
              <w:rPr>
                <w:rFonts w:ascii="Times New Roman;Times;serif" w:hAnsi="Times New Roman;Times;serif"/>
                <w:sz w:val="20"/>
              </w:rPr>
            </w:pPr>
            <w:r>
              <w:rPr>
                <w:rFonts w:ascii="Times New Roman;Times;serif" w:hAnsi="Times New Roman;Times;serif"/>
                <w:sz w:val="20"/>
              </w:rPr>
              <w:t>Europe &amp; Africa</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677</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1,231</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720" w:right="0" w:hanging="144"/>
              <w:jc w:val="left"/>
              <w:rPr>
                <w:rFonts w:ascii="Times New Roman;Times;serif" w:hAnsi="Times New Roman;Times;serif"/>
                <w:sz w:val="20"/>
              </w:rPr>
            </w:pPr>
            <w:r>
              <w:rPr>
                <w:rFonts w:ascii="Times New Roman;Times;serif" w:hAnsi="Times New Roman;Times;serif"/>
                <w:sz w:val="20"/>
              </w:rPr>
              <w:t>South Korea</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134</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134</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720" w:right="0" w:hanging="144"/>
              <w:jc w:val="left"/>
              <w:rPr>
                <w:rFonts w:ascii="Times New Roman;Times;serif" w:hAnsi="Times New Roman;Times;serif"/>
                <w:sz w:val="20"/>
              </w:rPr>
            </w:pPr>
            <w:r>
              <w:rPr>
                <w:rFonts w:ascii="Times New Roman;Times;serif" w:hAnsi="Times New Roman;Times;serif"/>
                <w:sz w:val="20"/>
              </w:rPr>
              <w:t>Hong Kong/Taiwan</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357</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789</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i/>
                <w:sz w:val="20"/>
              </w:rPr>
            </w:pPr>
            <w:r>
              <w:rPr>
                <w:rFonts w:ascii="Times New Roman;Times;serif" w:hAnsi="Times New Roman;Times;serif"/>
                <w:i/>
                <w:sz w:val="20"/>
              </w:rPr>
              <w:t>Total Nu Skin</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5,661</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11,017</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Times;serif" w:hAnsi="Times New Roman;Times;serif"/>
                <w:i/>
                <w:sz w:val="20"/>
              </w:rPr>
            </w:pPr>
            <w:r>
              <w:rPr>
                <w:rFonts w:ascii="Times New Roman;Times;serif" w:hAnsi="Times New Roman;Times;serif"/>
                <w:i/>
                <w:sz w:val="20"/>
              </w:rPr>
              <w:t>Rhyz Investments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720" w:right="0" w:hanging="144"/>
              <w:jc w:val="left"/>
              <w:rPr>
                <w:rFonts w:ascii="Times New Roman;Times;serif" w:hAnsi="Times New Roman;Times;serif"/>
                <w:sz w:val="20"/>
              </w:rPr>
            </w:pPr>
            <w:r>
              <w:rPr>
                <w:rFonts w:ascii="Times New Roman;Times;serif" w:hAnsi="Times New Roman;Times;serif"/>
                <w:sz w:val="20"/>
              </w:rPr>
              <w:t>Manufacturing</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pPr>
            <w:r>
              <w:rPr/>
              <w:t>—</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720" w:right="0" w:hanging="144"/>
              <w:jc w:val="left"/>
              <w:rPr>
                <w:rFonts w:ascii="Times New Roman;Times;serif" w:hAnsi="Times New Roman;Times;serif"/>
                <w:sz w:val="20"/>
              </w:rPr>
            </w:pPr>
            <w:r>
              <w:rPr>
                <w:rFonts w:ascii="Times New Roman;Times;serif" w:hAnsi="Times New Roman;Times;serif"/>
                <w:sz w:val="20"/>
              </w:rPr>
              <w:t>Rhyz other</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Times;serif" w:hAnsi="Times New Roman;Times;serif"/>
                <w:i/>
                <w:sz w:val="20"/>
              </w:rPr>
            </w:pPr>
            <w:r>
              <w:rPr>
                <w:rFonts w:ascii="Times New Roman;Times;serif" w:hAnsi="Times New Roman;Times;serif"/>
                <w:i/>
                <w:sz w:val="20"/>
              </w:rPr>
              <w:t>Total Rhyz Investments</w:t>
            </w:r>
          </w:p>
        </w:tc>
        <w:tc>
          <w:tcPr>
            <w:tcW w:w="6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tcMar>
              <w:bottom w:w="28" w:type="dxa"/>
            </w:tcMar>
            <w:vAlign w:val="bottom"/>
          </w:tcPr>
          <w:p>
            <w:pPr>
              <w:pStyle w:val="TableContents"/>
              <w:bidi w:val="0"/>
              <w:spacing w:before="0" w:after="0"/>
              <w:jc w:val="right"/>
              <w:rPr/>
            </w:pPr>
            <w:r>
              <w:rPr/>
              <w:t>—</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Corporate and other</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1,473</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6,120</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Total</w:t>
            </w:r>
          </w:p>
        </w:tc>
        <w:tc>
          <w:tcPr>
            <w:tcW w:w="6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7,134</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04"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17,137</w:t>
            </w:r>
          </w:p>
        </w:tc>
        <w:tc>
          <w:tcPr>
            <w:tcW w:w="75" w:type="dxa"/>
            <w:tcBorders/>
            <w:vAlign w:val="bottom"/>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9" w:name="MANAGEMENTSDISCUSSIONANDA"/>
      <w:bookmarkStart w:id="10" w:name="MANAGEMENTSDISCUSSIONANDA"/>
      <w:bookmarkEnd w:id="10"/>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2.</w:t>
            </w:r>
          </w:p>
        </w:tc>
        <w:tc>
          <w:tcPr>
            <w:tcW w:w="9361" w:type="dxa"/>
            <w:tcBorders/>
            <w:vAlign w:val="center"/>
          </w:tcPr>
          <w:p>
            <w:pPr>
              <w:pStyle w:val="TableContents"/>
              <w:bidi w:val="0"/>
              <w:spacing w:before="0" w:after="0"/>
              <w:jc w:val="left"/>
              <w:rPr>
                <w:b/>
                <w:u w:val="single"/>
              </w:rPr>
            </w:pPr>
            <w:r>
              <w:rPr>
                <w:b/>
                <w:u w:val="single"/>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 introductions and offerings, growth of our Rhyz business, acquisitions, and the integration of acquisition targets, growth,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and beliefs regarding our markets and global economic conditions; statements regarding the payment of future dividends and stock repurchases; statements regarding the outcome of litigation, audits, investigations or other regulatory actions; statements regarding government policies and regulations relating to our industry, including government policies and regulations in or related to the United States and Mainland China; accounting estimates and assumptions; statements of belief; and statements of assumptions underlying any of the foregoing. In some cases, you can identify these statements by forward-looking words such as “believe,” “expect,” “optimistic,”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the risk factors included in our Annual Report on Form 10-K for the 2023 fiscal year and in any of our subsequent Securities and Exchange Commission filings, including this Quarterly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Management’s Discussion and Analysis should be read in conjunction with our consolidated financial statements and related notes and Management’s Discussion and Analysis included in our Annual Report on Form 10-K for the 2023 fiscal year, and our other reports filed with the Securities and Exchange Commission through the date of this Quarterly Report.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for the three-month period ended March 31, 2024 decreased 13.3% to $417.3 million, compared to $481.5 million in the prior-year period.  Our revenue in the first quarter of 2024 was negatively impacted 3.8% from foreign-currency fluctuations. Our Customers, Paid Affiliates and Sales Leaders declined 19%, 30% and 12%, respectively, on a year-over-year basis.</w:t>
      </w:r>
    </w:p>
    <w:p>
      <w:pPr>
        <w:pStyle w:val="TextBody"/>
        <w:bidi w:val="0"/>
        <w:spacing w:before="0" w:after="0"/>
        <w:jc w:val="left"/>
        <w:rPr/>
      </w:pPr>
      <w:r>
        <w:rPr/>
      </w:r>
    </w:p>
    <w:p>
      <w:pPr>
        <w:pStyle w:val="TextBody"/>
        <w:bidi w:val="0"/>
        <w:spacing w:before="0" w:after="0"/>
        <w:ind w:left="2" w:right="2"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declines for the three-month period ended March 31, 2024 were largely driven by the continued macroeconomic challenges we’ve been facing in our markets, which have negatively impacted consumer spending and customer acquisition. In addition, while we continue to make progress on our long-term vision, we have experienced headwinds from the transformation process.  During the first quarter of 2024, we continued our launch process of our newest smart connected device system, </w:t>
      </w:r>
      <w:r>
        <w:rPr>
          <w:rFonts w:ascii="Times New Roman;Times;serif" w:hAnsi="Times New Roman;Times;serif"/>
          <w:i/>
          <w:color w:val="000000"/>
          <w:sz w:val="20"/>
          <w:shd w:fill="FFFFFF" w:val="clear"/>
        </w:rPr>
        <w:t xml:space="preserve">ageLOC WellSpa iO, </w:t>
      </w:r>
      <w:r>
        <w:rPr>
          <w:rFonts w:ascii="Times New Roman;Times;serif" w:hAnsi="Times New Roman;Times;serif"/>
          <w:color w:val="000000"/>
          <w:sz w:val="20"/>
          <w:shd w:fill="FFFFFF" w:val="clear"/>
        </w:rPr>
        <w:t xml:space="preserve">which generated approximately $23.7 million in revenue. We remain optimistic for the remainder of 2024 with our third quarter Global Nu Skin Live!, which for 2024 will be held in South Korea for our eastern markets and the United States for our western markets.  In addition, we are expecting to start the launch process for </w:t>
      </w:r>
      <w:r>
        <w:rPr>
          <w:rFonts w:ascii="Times New Roman;Times;serif" w:hAnsi="Times New Roman;Times;serif"/>
          <w:i/>
          <w:color w:val="000000"/>
          <w:sz w:val="20"/>
          <w:shd w:fill="FFFFFF" w:val="clear"/>
        </w:rPr>
        <w:t xml:space="preserve">MYND360, </w:t>
      </w:r>
      <w:r>
        <w:rPr>
          <w:rFonts w:ascii="Times New Roman;Times;serif" w:hAnsi="Times New Roman;Times;serif"/>
          <w:color w:val="000000"/>
          <w:sz w:val="20"/>
          <w:shd w:fill="FFFFFF" w:val="clear"/>
        </w:rPr>
        <w:t>our new brand taking a holistic approach to cognitive health. The decline in our core Nu Skin segments was partially offset by 57.5% growth in our Rhyz segments, partially from acquisitions during the second quarter of 2023 as well as organic growth. Rhyz is a key component of our business, and we anticipate its continued growth in the coming years both on an absolute basis and as a percentage of our consolidated revenue. These companies enable us to diversify our revenue mix, serve more customers where they shop, and create synergies for our owned and partner brands.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Earnings per share for the first quarter of 2024 decreased 104% to $(0.01), compared to $0.23 in the prior-year period. The decrease in earnings per share for the quarter is primarily driven by the decline in revenue.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Segment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report our business in nine segments to reflect our current management approach. These segments consist of our seven geographic Nu Skin segments—Americas, Mainland China, Southeast Asia/Pacific, Japan, Europe &amp; Africa, South Korea and Hong Kong/Taiwan—and our Rhyz Investment segments—Manufacturing and Rhyz other. The Nu Skin Other category includes miscellaneous corporate revenue and related adjustments.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revenue for the three-month periods ended March 31, 2024 and 2023 for each of our reportable segments (U.S. dollars in thousands):</w:t>
      </w:r>
    </w:p>
    <w:p>
      <w:pPr>
        <w:pStyle w:val="TextBody"/>
        <w:bidi w:val="0"/>
        <w:spacing w:before="0" w:after="0"/>
        <w:jc w:val="left"/>
        <w:rPr/>
      </w:pPr>
      <w:r>
        <w:rPr/>
      </w:r>
    </w:p>
    <w:tbl>
      <w:tblPr>
        <w:tblW w:w="7202" w:type="dxa"/>
        <w:jc w:val="left"/>
        <w:tblInd w:w="0" w:type="dxa"/>
        <w:tblLayout w:type="fixed"/>
        <w:tblCellMar>
          <w:top w:w="0" w:type="dxa"/>
          <w:left w:w="0" w:type="dxa"/>
          <w:bottom w:w="0" w:type="dxa"/>
          <w:right w:w="0" w:type="dxa"/>
        </w:tblCellMar>
      </w:tblPr>
      <w:tblGrid>
        <w:gridCol w:w="2225"/>
        <w:gridCol w:w="60"/>
        <w:gridCol w:w="154"/>
        <w:gridCol w:w="884"/>
        <w:gridCol w:w="66"/>
        <w:gridCol w:w="66"/>
        <w:gridCol w:w="154"/>
        <w:gridCol w:w="884"/>
        <w:gridCol w:w="95"/>
        <w:gridCol w:w="60"/>
        <w:gridCol w:w="78"/>
        <w:gridCol w:w="737"/>
        <w:gridCol w:w="290"/>
        <w:gridCol w:w="60"/>
        <w:gridCol w:w="103"/>
        <w:gridCol w:w="981"/>
        <w:gridCol w:w="305"/>
      </w:tblGrid>
      <w:tr>
        <w:trPr/>
        <w:tc>
          <w:tcPr>
            <w:tcW w:w="2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0"/>
              <w:jc w:val="center"/>
              <w:rPr>
                <w:b/>
              </w:rPr>
            </w:pPr>
            <w:r>
              <w:rPr>
                <w:b/>
              </w:rPr>
              <w:t>Constant-</w:t>
            </w:r>
          </w:p>
          <w:p>
            <w:pPr>
              <w:pStyle w:val="TableContents"/>
              <w:bidi w:val="0"/>
              <w:spacing w:before="0" w:after="0"/>
              <w:jc w:val="center"/>
              <w:rPr>
                <w:b/>
              </w:rPr>
            </w:pPr>
            <w:r>
              <w:rPr>
                <w:b/>
              </w:rPr>
              <w:t>Currency</w:t>
            </w:r>
          </w:p>
        </w:tc>
        <w:tc>
          <w:tcPr>
            <w:tcW w:w="305" w:type="dxa"/>
            <w:tcBorders/>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Change(1)</w:t>
            </w:r>
          </w:p>
        </w:tc>
        <w:tc>
          <w:tcPr>
            <w:tcW w:w="305" w:type="dxa"/>
            <w:tcBorders/>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ind w:left="144" w:right="0" w:hanging="144"/>
              <w:jc w:val="left"/>
              <w:rPr>
                <w:i/>
              </w:rPr>
            </w:pPr>
            <w:r>
              <w:rPr>
                <w:i/>
              </w:rPr>
              <w:t>Nu Skin</w:t>
            </w:r>
          </w:p>
        </w:tc>
        <w:tc>
          <w:tcPr>
            <w:tcW w:w="60" w:type="dxa"/>
            <w:tcBorders/>
            <w:vAlign w:val="bottom"/>
          </w:tcPr>
          <w:p>
            <w:pPr>
              <w:pStyle w:val="TableContents"/>
              <w:bidi w:val="0"/>
              <w:spacing w:before="0" w:after="283"/>
              <w:jc w:val="left"/>
              <w:rPr/>
            </w:pPr>
            <w:r>
              <w:rPr/>
              <w:t> </w:t>
            </w:r>
          </w:p>
        </w:tc>
        <w:tc>
          <w:tcPr>
            <w:tcW w:w="1038" w:type="dxa"/>
            <w:gridSpan w:val="2"/>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3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ind w:left="50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pPr>
            <w:r>
              <w:rPr/>
              <w:t>$</w:t>
            </w:r>
          </w:p>
        </w:tc>
        <w:tc>
          <w:tcPr>
            <w:tcW w:w="884" w:type="dxa"/>
            <w:tcBorders/>
            <w:shd w:fill="CCEEFF" w:val="clear"/>
            <w:vAlign w:val="bottom"/>
          </w:tcPr>
          <w:p>
            <w:pPr>
              <w:pStyle w:val="TableContents"/>
              <w:bidi w:val="0"/>
              <w:spacing w:before="0" w:after="0"/>
              <w:jc w:val="right"/>
              <w:rPr/>
            </w:pPr>
            <w:r>
              <w:rPr/>
              <w:t>75,031</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pPr>
            <w:r>
              <w:rPr/>
              <w:t>$</w:t>
            </w:r>
          </w:p>
        </w:tc>
        <w:tc>
          <w:tcPr>
            <w:tcW w:w="884" w:type="dxa"/>
            <w:tcBorders/>
            <w:shd w:fill="CCEEFF" w:val="clear"/>
            <w:vAlign w:val="bottom"/>
          </w:tcPr>
          <w:p>
            <w:pPr>
              <w:pStyle w:val="TableContents"/>
              <w:bidi w:val="0"/>
              <w:spacing w:before="0" w:after="0"/>
              <w:jc w:val="right"/>
              <w:rPr/>
            </w:pPr>
            <w:r>
              <w:rPr/>
              <w:t>101,157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(25.8</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0"/>
              <w:jc w:val="right"/>
              <w:rPr/>
            </w:pPr>
            <w:r>
              <w:rPr/>
              <w:t>(20.1</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504" w:right="0" w:hanging="144"/>
              <w:jc w:val="left"/>
              <w:rPr/>
            </w:pPr>
            <w:r>
              <w:rPr/>
              <w:t>Mainland China</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pPr>
            <w:r>
              <w:rPr/>
              <w:t>61,067</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pPr>
            <w:r>
              <w:rPr/>
              <w:t>67,976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(10.2</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0"/>
              <w:jc w:val="right"/>
              <w:rPr/>
            </w:pPr>
            <w:r>
              <w:rPr/>
              <w:t>(6.1</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504" w:right="0" w:hanging="144"/>
              <w:jc w:val="left"/>
              <w:rPr/>
            </w:pPr>
            <w:r>
              <w:rPr/>
              <w:t>Southeast Asia/Pacific</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pPr>
            <w:r>
              <w:rPr/>
              <w:t>60,065</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pPr>
            <w:r>
              <w:rPr/>
              <w:t>67,810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(11.4</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0"/>
              <w:jc w:val="right"/>
              <w:rPr/>
            </w:pPr>
            <w:r>
              <w:rPr/>
              <w:t>(8.1</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504" w:right="0" w:hanging="144"/>
              <w:jc w:val="left"/>
              <w:rPr/>
            </w:pPr>
            <w:r>
              <w:rPr/>
              <w:t>Japan</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pPr>
            <w:r>
              <w:rPr/>
              <w:t>44,236</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pPr>
            <w:r>
              <w:rPr/>
              <w:t>52,606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(15.9</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0"/>
              <w:jc w:val="right"/>
              <w:rPr/>
            </w:pPr>
            <w:r>
              <w:rPr/>
              <w:t>(5.6</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504" w:right="0" w:hanging="144"/>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pPr>
            <w:r>
              <w:rPr/>
              <w:t>42,273</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pPr>
            <w:r>
              <w:rPr/>
              <w:t>47,444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(10.9</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0"/>
              <w:jc w:val="right"/>
              <w:rPr/>
            </w:pPr>
            <w:r>
              <w:rPr/>
              <w:t>(11.8</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50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pPr>
            <w:r>
              <w:rPr/>
              <w:t>40,963</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pPr>
            <w:r>
              <w:rPr/>
              <w:t>70,324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(41.8</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0"/>
              <w:jc w:val="right"/>
              <w:rPr/>
            </w:pPr>
            <w:r>
              <w:rPr/>
              <w:t>(39.3</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50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pPr>
            <w:r>
              <w:rPr/>
              <w:t>30,466</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pPr>
            <w:r>
              <w:rPr/>
              <w:t>34,548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(11.8</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0"/>
              <w:jc w:val="right"/>
              <w:rPr/>
            </w:pPr>
            <w:r>
              <w:rPr/>
              <w:t>(9.8</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504" w:right="0" w:hanging="144"/>
              <w:jc w:val="left"/>
              <w:rPr/>
            </w:pPr>
            <w:r>
              <w:rPr/>
              <w:t>Other</w:t>
            </w:r>
          </w:p>
        </w:tc>
        <w:tc>
          <w:tcPr>
            <w:tcW w:w="60" w:type="dxa"/>
            <w:tcBorders/>
            <w:vAlign w:val="bottom"/>
          </w:tcPr>
          <w:p>
            <w:pPr>
              <w:pStyle w:val="TableContents"/>
              <w:bidi w:val="0"/>
              <w:spacing w:before="0" w:after="283"/>
              <w:jc w:val="lef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884" w:type="dxa"/>
            <w:tcBorders>
              <w:bottom w:val="single" w:sz="12" w:space="0" w:color="000000"/>
            </w:tcBorders>
            <w:tcMar>
              <w:bottom w:w="28" w:type="dxa"/>
            </w:tcMar>
            <w:vAlign w:val="bottom"/>
          </w:tcPr>
          <w:p>
            <w:pPr>
              <w:pStyle w:val="TableContents"/>
              <w:bidi w:val="0"/>
              <w:spacing w:before="0" w:after="0"/>
              <w:jc w:val="right"/>
              <w:rPr/>
            </w:pPr>
            <w:r>
              <w:rPr/>
              <w:t>672</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884" w:type="dxa"/>
            <w:tcBorders>
              <w:bottom w:val="single" w:sz="12" w:space="0" w:color="000000"/>
            </w:tcBorders>
            <w:tcMar>
              <w:bottom w:w="28" w:type="dxa"/>
            </w:tcMar>
            <w:vAlign w:val="bottom"/>
          </w:tcPr>
          <w:p>
            <w:pPr>
              <w:pStyle w:val="TableContents"/>
              <w:bidi w:val="0"/>
              <w:spacing w:before="0" w:after="0"/>
              <w:jc w:val="right"/>
              <w:rPr/>
            </w:pPr>
            <w:r>
              <w:rPr/>
              <w:t>(115</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684.3</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0"/>
              <w:jc w:val="right"/>
              <w:rPr/>
            </w:pPr>
            <w:r>
              <w:rPr/>
              <w:t>684.3</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144" w:right="0" w:hanging="144"/>
              <w:jc w:val="left"/>
              <w:rPr>
                <w:i/>
              </w:rPr>
            </w:pPr>
            <w:r>
              <w:rPr>
                <w:i/>
              </w:rPr>
              <w:t>Total Nu Skin</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pPr>
            <w:r>
              <w:rPr/>
              <w:t>354,773</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pPr>
            <w:r>
              <w:rPr/>
              <w:t>441,750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(19.7</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0"/>
              <w:jc w:val="right"/>
              <w:rPr/>
            </w:pPr>
            <w:r>
              <w:rPr/>
              <w:t>(15.6</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144" w:right="0" w:hanging="144"/>
              <w:jc w:val="left"/>
              <w:rPr>
                <w:i/>
              </w:rPr>
            </w:pPr>
            <w:r>
              <w:rPr>
                <w:i/>
              </w:rPr>
              <w:t>Rhyz Investments</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ind w:left="504" w:right="0" w:hanging="144"/>
              <w:jc w:val="left"/>
              <w:rPr/>
            </w:pPr>
            <w:r>
              <w:rPr/>
              <w:t>Manufacturing</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pPr>
            <w:r>
              <w:rPr/>
              <w:t>50,302</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pPr>
            <w:r>
              <w:rPr/>
              <w:t>35,767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40.6</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0"/>
              <w:jc w:val="right"/>
              <w:rPr/>
            </w:pPr>
            <w:r>
              <w:rPr/>
              <w:t>40.6</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504" w:right="0" w:hanging="144"/>
              <w:jc w:val="left"/>
              <w:rPr/>
            </w:pPr>
            <w:r>
              <w:rPr/>
              <w:t>Rhyz other</w:t>
            </w:r>
          </w:p>
        </w:tc>
        <w:tc>
          <w:tcPr>
            <w:tcW w:w="60" w:type="dxa"/>
            <w:tcBorders/>
            <w:vAlign w:val="bottom"/>
          </w:tcPr>
          <w:p>
            <w:pPr>
              <w:pStyle w:val="TableContents"/>
              <w:bidi w:val="0"/>
              <w:spacing w:before="0" w:after="283"/>
              <w:jc w:val="lef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884" w:type="dxa"/>
            <w:tcBorders>
              <w:bottom w:val="single" w:sz="12" w:space="0" w:color="000000"/>
            </w:tcBorders>
            <w:tcMar>
              <w:bottom w:w="28" w:type="dxa"/>
            </w:tcMar>
            <w:vAlign w:val="bottom"/>
          </w:tcPr>
          <w:p>
            <w:pPr>
              <w:pStyle w:val="TableContents"/>
              <w:bidi w:val="0"/>
              <w:spacing w:before="0" w:after="0"/>
              <w:jc w:val="right"/>
              <w:rPr/>
            </w:pPr>
            <w:r>
              <w:rPr/>
              <w:t>12,231</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884" w:type="dxa"/>
            <w:tcBorders>
              <w:bottom w:val="single" w:sz="12" w:space="0" w:color="000000"/>
            </w:tcBorders>
            <w:tcMar>
              <w:bottom w:w="28" w:type="dxa"/>
            </w:tcMar>
            <w:vAlign w:val="bottom"/>
          </w:tcPr>
          <w:p>
            <w:pPr>
              <w:pStyle w:val="TableContents"/>
              <w:bidi w:val="0"/>
              <w:spacing w:before="0" w:after="0"/>
              <w:jc w:val="right"/>
              <w:rPr/>
            </w:pPr>
            <w:r>
              <w:rPr/>
              <w:t>3,945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210.0</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0"/>
              <w:jc w:val="right"/>
              <w:rPr/>
            </w:pPr>
            <w:r>
              <w:rPr/>
              <w:t>210.0</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144" w:right="0" w:hanging="144"/>
              <w:jc w:val="left"/>
              <w:rPr>
                <w:i/>
              </w:rPr>
            </w:pPr>
            <w:r>
              <w:rPr>
                <w:i/>
              </w:rPr>
              <w:t>Total Rhyz Investments</w:t>
            </w:r>
          </w:p>
        </w:tc>
        <w:tc>
          <w:tcPr>
            <w:tcW w:w="60" w:type="dxa"/>
            <w:tcBorders/>
            <w:shd w:fill="CCEEFF" w:val="clear"/>
            <w:vAlign w:val="bottom"/>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bottom"/>
          </w:tcPr>
          <w:p>
            <w:pPr>
              <w:pStyle w:val="TableContents"/>
              <w:bidi w:val="0"/>
              <w:spacing w:before="0" w:after="0"/>
              <w:jc w:val="right"/>
              <w:rPr/>
            </w:pPr>
            <w:r>
              <w:rPr/>
              <w:t>62,533</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bottom"/>
          </w:tcPr>
          <w:p>
            <w:pPr>
              <w:pStyle w:val="TableContents"/>
              <w:bidi w:val="0"/>
              <w:spacing w:before="0" w:after="0"/>
              <w:jc w:val="right"/>
              <w:rPr/>
            </w:pPr>
            <w:r>
              <w:rPr/>
              <w:t>39,712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57.5</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0"/>
              <w:jc w:val="right"/>
              <w:rPr/>
            </w:pPr>
            <w:r>
              <w:rPr/>
              <w:t>57.5</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Total</w:t>
            </w:r>
          </w:p>
        </w:tc>
        <w:tc>
          <w:tcPr>
            <w:tcW w:w="60" w:type="dxa"/>
            <w:tcBorders/>
            <w:vAlign w:val="bottom"/>
          </w:tcPr>
          <w:p>
            <w:pPr>
              <w:pStyle w:val="TableContents"/>
              <w:bidi w:val="0"/>
              <w:spacing w:before="0" w:after="283"/>
              <w:jc w:val="lef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pPr>
            <w:r>
              <w:rPr/>
              <w:t>$</w:t>
            </w:r>
          </w:p>
        </w:tc>
        <w:tc>
          <w:tcPr>
            <w:tcW w:w="884" w:type="dxa"/>
            <w:tcBorders>
              <w:bottom w:val="double" w:sz="8" w:space="0" w:color="000000"/>
            </w:tcBorders>
            <w:tcMar>
              <w:bottom w:w="28" w:type="dxa"/>
            </w:tcMar>
            <w:vAlign w:val="bottom"/>
          </w:tcPr>
          <w:p>
            <w:pPr>
              <w:pStyle w:val="TableContents"/>
              <w:bidi w:val="0"/>
              <w:spacing w:before="0" w:after="0"/>
              <w:jc w:val="right"/>
              <w:rPr/>
            </w:pPr>
            <w:r>
              <w:rPr/>
              <w:t>417,306</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pPr>
            <w:r>
              <w:rPr/>
              <w:t>$</w:t>
            </w:r>
          </w:p>
        </w:tc>
        <w:tc>
          <w:tcPr>
            <w:tcW w:w="884" w:type="dxa"/>
            <w:tcBorders>
              <w:bottom w:val="double" w:sz="8" w:space="0" w:color="000000"/>
            </w:tcBorders>
            <w:tcMar>
              <w:bottom w:w="28" w:type="dxa"/>
            </w:tcMar>
            <w:vAlign w:val="bottom"/>
          </w:tcPr>
          <w:p>
            <w:pPr>
              <w:pStyle w:val="TableContents"/>
              <w:bidi w:val="0"/>
              <w:spacing w:before="0" w:after="0"/>
              <w:jc w:val="right"/>
              <w:rPr/>
            </w:pPr>
            <w:r>
              <w:rPr/>
              <w:t>481,462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(13.3</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0"/>
              <w:jc w:val="right"/>
              <w:rPr/>
            </w:pPr>
            <w:r>
              <w:rPr/>
              <w:t>(9.5</w:t>
            </w:r>
          </w:p>
        </w:tc>
        <w:tc>
          <w:tcPr>
            <w:tcW w:w="305"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0"/>
              <w:jc w:val="both"/>
              <w:rPr/>
            </w:pPr>
            <w:r>
              <w:rPr/>
              <w:t>Constant-currency revenue change is a non-GAAP financial measure. See “Non-GAAP Financial Measures,” below.</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segment contribution for the three-month periods ended March 31, 2024 and 2023 for each of our reportable segments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Consolidated financial information was not affected. For additional information regarding our segments and the calculation of segment contribution, see Note 10 to the consolidated financial statements contained in this report.</w:t>
      </w:r>
    </w:p>
    <w:p>
      <w:pPr>
        <w:pStyle w:val="TextBody"/>
        <w:bidi w:val="0"/>
        <w:spacing w:before="0" w:after="0"/>
        <w:jc w:val="left"/>
        <w:rPr/>
      </w:pPr>
      <w:r>
        <w:rPr/>
      </w:r>
    </w:p>
    <w:tbl>
      <w:tblPr>
        <w:tblW w:w="5767" w:type="dxa"/>
        <w:jc w:val="left"/>
        <w:tblInd w:w="0" w:type="dxa"/>
        <w:tblLayout w:type="fixed"/>
        <w:tblCellMar>
          <w:top w:w="0" w:type="dxa"/>
          <w:left w:w="0" w:type="dxa"/>
          <w:bottom w:w="0" w:type="dxa"/>
          <w:right w:w="0" w:type="dxa"/>
        </w:tblCellMar>
      </w:tblPr>
      <w:tblGrid>
        <w:gridCol w:w="2225"/>
        <w:gridCol w:w="60"/>
        <w:gridCol w:w="172"/>
        <w:gridCol w:w="837"/>
        <w:gridCol w:w="116"/>
        <w:gridCol w:w="73"/>
        <w:gridCol w:w="172"/>
        <w:gridCol w:w="837"/>
        <w:gridCol w:w="95"/>
        <w:gridCol w:w="60"/>
        <w:gridCol w:w="70"/>
        <w:gridCol w:w="745"/>
        <w:gridCol w:w="305"/>
      </w:tblGrid>
      <w:tr>
        <w:trPr/>
        <w:tc>
          <w:tcPr>
            <w:tcW w:w="2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305" w:type="dxa"/>
            <w:tcBorders/>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ind w:left="144" w:right="0" w:hanging="144"/>
              <w:jc w:val="left"/>
              <w:rPr>
                <w:i/>
              </w:rPr>
            </w:pPr>
            <w:r>
              <w:rPr>
                <w:i/>
              </w:rPr>
              <w:t>Nu Skin</w:t>
            </w:r>
          </w:p>
        </w:tc>
        <w:tc>
          <w:tcPr>
            <w:tcW w:w="6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pPr>
            <w:r>
              <w:rPr/>
              <w:t>$</w:t>
            </w:r>
          </w:p>
        </w:tc>
        <w:tc>
          <w:tcPr>
            <w:tcW w:w="837" w:type="dxa"/>
            <w:tcBorders/>
            <w:shd w:fill="CCEEFF" w:val="clear"/>
            <w:vAlign w:val="bottom"/>
          </w:tcPr>
          <w:p>
            <w:pPr>
              <w:pStyle w:val="TableContents"/>
              <w:bidi w:val="0"/>
              <w:spacing w:before="0" w:after="0"/>
              <w:jc w:val="right"/>
              <w:rPr/>
            </w:pPr>
            <w:r>
              <w:rPr/>
              <w:t>14,976</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pPr>
            <w:r>
              <w:rPr/>
              <w:t>$</w:t>
            </w:r>
          </w:p>
        </w:tc>
        <w:tc>
          <w:tcPr>
            <w:tcW w:w="837" w:type="dxa"/>
            <w:tcBorders/>
            <w:shd w:fill="CCEEFF" w:val="clear"/>
            <w:vAlign w:val="bottom"/>
          </w:tcPr>
          <w:p>
            <w:pPr>
              <w:pStyle w:val="TableContents"/>
              <w:bidi w:val="0"/>
              <w:spacing w:before="0" w:after="0"/>
              <w:jc w:val="right"/>
              <w:rPr/>
            </w:pPr>
            <w:r>
              <w:rPr/>
              <w:t>16,250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(7.8</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Mainland China</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12,253</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13,612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(10.0</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Southeast Asia/Pacific</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pPr>
            <w:r>
              <w:rPr/>
              <w:t>11,084</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pPr>
            <w:r>
              <w:rPr/>
              <w:t>12,471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(11.1</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Japan</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12,006</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12,908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(7.0</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pPr>
            <w:r>
              <w:rPr/>
              <w:t>3,276</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pPr>
            <w:r>
              <w:rPr/>
              <w:t>3,638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(10.0</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12,183</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23,575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(48.3</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bottom"/>
          </w:tcPr>
          <w:p>
            <w:pPr>
              <w:pStyle w:val="TableContents"/>
              <w:bidi w:val="0"/>
              <w:spacing w:before="0" w:after="0"/>
              <w:jc w:val="right"/>
              <w:rPr/>
            </w:pPr>
            <w:r>
              <w:rPr/>
              <w:t>7,367</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bottom"/>
          </w:tcPr>
          <w:p>
            <w:pPr>
              <w:pStyle w:val="TableContents"/>
              <w:bidi w:val="0"/>
              <w:spacing w:before="0" w:after="0"/>
              <w:jc w:val="right"/>
              <w:rPr/>
            </w:pPr>
            <w:r>
              <w:rPr/>
              <w:t>7,834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(6.0</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144" w:right="0" w:hanging="144"/>
              <w:jc w:val="left"/>
              <w:rPr>
                <w:i/>
              </w:rPr>
            </w:pPr>
            <w:r>
              <w:rPr>
                <w:i/>
              </w:rPr>
              <w:t>Total Nu Skin</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73,145</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90,288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(19.0</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144" w:right="0" w:hanging="144"/>
              <w:jc w:val="left"/>
              <w:rPr>
                <w:i/>
              </w:rPr>
            </w:pPr>
            <w:r>
              <w:rPr>
                <w:i/>
              </w:rPr>
              <w:t>Rhyz Investments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ind w:left="324" w:right="0" w:hanging="144"/>
              <w:jc w:val="left"/>
              <w:rPr/>
            </w:pPr>
            <w:r>
              <w:rPr/>
              <w:t>Manufacturing</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1,967</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(1,373</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243.3</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Rhyz other</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bottom"/>
          </w:tcPr>
          <w:p>
            <w:pPr>
              <w:pStyle w:val="TableContents"/>
              <w:bidi w:val="0"/>
              <w:spacing w:before="0" w:after="0"/>
              <w:jc w:val="right"/>
              <w:rPr/>
            </w:pPr>
            <w:r>
              <w:rPr/>
              <w:t>(5,942</w:t>
            </w:r>
          </w:p>
        </w:tc>
        <w:tc>
          <w:tcPr>
            <w:tcW w:w="116" w:type="dxa"/>
            <w:tcBorders/>
            <w:shd w:fill="CCEEFF" w:val="clear"/>
            <w:vAlign w:val="bottom"/>
          </w:tcPr>
          <w:p>
            <w:pPr>
              <w:pStyle w:val="TableContents"/>
              <w:bidi w:val="0"/>
              <w:spacing w:before="0" w:after="0"/>
              <w:jc w:val="left"/>
              <w:rPr/>
            </w:pPr>
            <w:r>
              <w:rPr/>
              <w:t>)</w:t>
            </w:r>
          </w:p>
        </w:tc>
        <w:tc>
          <w:tcPr>
            <w:tcW w:w="73"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bottom"/>
          </w:tcPr>
          <w:p>
            <w:pPr>
              <w:pStyle w:val="TableContents"/>
              <w:bidi w:val="0"/>
              <w:spacing w:before="0" w:after="0"/>
              <w:jc w:val="right"/>
              <w:rPr/>
            </w:pPr>
            <w:r>
              <w:rPr/>
              <w:t>(1,960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(203.2</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144" w:right="0" w:hanging="144"/>
              <w:jc w:val="left"/>
              <w:rPr>
                <w:i/>
              </w:rPr>
            </w:pPr>
            <w:r>
              <w:rPr>
                <w:i/>
              </w:rPr>
              <w:t>Total Rhyz Investments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(3,975</w:t>
            </w:r>
          </w:p>
        </w:tc>
        <w:tc>
          <w:tcPr>
            <w:tcW w:w="116" w:type="dxa"/>
            <w:tcBorders/>
            <w:vAlign w:val="bottom"/>
          </w:tcPr>
          <w:p>
            <w:pPr>
              <w:pStyle w:val="TableContents"/>
              <w:bidi w:val="0"/>
              <w:spacing w:before="0" w:after="0"/>
              <w:jc w:val="left"/>
              <w:rPr/>
            </w:pPr>
            <w:r>
              <w:rPr/>
              <w:t>)</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(3,333</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(19.3</w:t>
            </w:r>
          </w:p>
        </w:tc>
        <w:tc>
          <w:tcPr>
            <w:tcW w:w="305"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information concerning the number of Customers, Paid Affiliates and Sales Leaders in our core Nu Skin business for the three-month periods ended March 31, 2024 and 2023.</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Sales Leaders” are the three-month average of our monthly Brand Affiliates, as well as sales employees and independent marketers in Mainland China, who achieved certain qualification requirements as of the end of each month of the quarter.</w:t>
            </w:r>
          </w:p>
        </w:tc>
      </w:tr>
    </w:tbl>
    <w:p>
      <w:pPr>
        <w:pStyle w:val="TextBody"/>
        <w:bidi w:val="0"/>
        <w:spacing w:before="0" w:after="0"/>
        <w:jc w:val="left"/>
        <w:rPr/>
      </w:pPr>
      <w:r>
        <w:rPr/>
      </w:r>
    </w:p>
    <w:tbl>
      <w:tblPr>
        <w:tblW w:w="5732" w:type="dxa"/>
        <w:jc w:val="left"/>
        <w:tblInd w:w="0" w:type="dxa"/>
        <w:tblLayout w:type="fixed"/>
        <w:tblCellMar>
          <w:top w:w="0" w:type="dxa"/>
          <w:left w:w="0" w:type="dxa"/>
          <w:bottom w:w="0" w:type="dxa"/>
          <w:right w:w="0" w:type="dxa"/>
        </w:tblCellMar>
      </w:tblPr>
      <w:tblGrid>
        <w:gridCol w:w="2225"/>
        <w:gridCol w:w="60"/>
        <w:gridCol w:w="65"/>
        <w:gridCol w:w="875"/>
        <w:gridCol w:w="65"/>
        <w:gridCol w:w="65"/>
        <w:gridCol w:w="65"/>
        <w:gridCol w:w="1072"/>
        <w:gridCol w:w="60"/>
        <w:gridCol w:w="60"/>
        <w:gridCol w:w="123"/>
        <w:gridCol w:w="692"/>
        <w:gridCol w:w="305"/>
      </w:tblGrid>
      <w:tr>
        <w:trPr/>
        <w:tc>
          <w:tcPr>
            <w:tcW w:w="2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305" w:type="dxa"/>
            <w:tcBorders/>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ind w:left="144" w:right="0" w:hanging="144"/>
              <w:jc w:val="left"/>
              <w:rPr>
                <w:b/>
              </w:rPr>
            </w:pPr>
            <w:r>
              <w:rPr>
                <w:b/>
              </w:rPr>
              <w:t>Customers</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199,399</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266,378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(25</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Mainland China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162,239</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217,101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(25</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Southeast Asia/Pacific</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93,411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117,266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(20</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Japan</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108,808</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115,161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(6</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163,481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190,313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(14</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100,230</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120,907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(17</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47,693</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bottom"/>
          </w:tcPr>
          <w:p>
            <w:pPr>
              <w:pStyle w:val="TableContents"/>
              <w:bidi w:val="0"/>
              <w:spacing w:before="0" w:after="0"/>
              <w:jc w:val="right"/>
              <w:rPr/>
            </w:pPr>
            <w:r>
              <w:rPr/>
              <w:t>56,410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(15</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144" w:right="0" w:hanging="144"/>
              <w:jc w:val="left"/>
              <w:rPr>
                <w:b/>
              </w:rPr>
            </w:pPr>
            <w:r>
              <w:rPr>
                <w:b/>
              </w:rPr>
              <w:t>Total Customers</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pPr>
            <w:r>
              <w:rPr/>
              <w:t>875,261</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tcMar>
              <w:bottom w:w="28" w:type="dxa"/>
            </w:tcMar>
            <w:vAlign w:val="bottom"/>
          </w:tcPr>
          <w:p>
            <w:pPr>
              <w:pStyle w:val="TableContents"/>
              <w:bidi w:val="0"/>
              <w:spacing w:before="0" w:after="0"/>
              <w:jc w:val="right"/>
              <w:rPr/>
            </w:pPr>
            <w:r>
              <w:rPr/>
              <w:t>1,083,536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(19</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ind w:left="144" w:right="0" w:hanging="144"/>
              <w:jc w:val="left"/>
              <w:rPr>
                <w:b/>
              </w:rPr>
            </w:pPr>
            <w:r>
              <w:rPr>
                <w:b/>
              </w:rPr>
              <w:t>Paid Affiliates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29,081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38,707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(25</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Mainland China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24,405</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24,522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w:t>
            </w:r>
          </w:p>
        </w:tc>
        <w:tc>
          <w:tcPr>
            <w:tcW w:w="30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ind w:left="324" w:right="0" w:hanging="144"/>
              <w:jc w:val="left"/>
              <w:rPr/>
            </w:pPr>
            <w:r>
              <w:rPr/>
              <w:t>Southeast Asia/Pacific</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29,778</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36,431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(18</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lineRule="auto" w:line="240" w:before="0" w:after="0"/>
              <w:ind w:left="324" w:right="0" w:hanging="144"/>
              <w:jc w:val="left"/>
              <w:rPr/>
            </w:pPr>
            <w:r>
              <w:rPr/>
              <w:t>Japan</w:t>
            </w:r>
            <w:r>
              <w:rPr>
                <w:b/>
              </w:rPr>
              <w:t>(1)</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21,679</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37,155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(42</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lineRule="auto" w:line="240" w:before="0" w:after="0"/>
              <w:ind w:left="324" w:right="0" w:hanging="144"/>
              <w:jc w:val="left"/>
              <w:rPr/>
            </w:pPr>
            <w:r>
              <w:rPr/>
              <w:t>Europe &amp; Africa</w:t>
            </w:r>
            <w:r>
              <w:rPr>
                <w:b/>
              </w:rPr>
              <w:t>(1)</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18,313</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27,654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(34</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lineRule="auto" w:line="240" w:before="0" w:after="0"/>
              <w:ind w:left="324" w:right="0" w:hanging="144"/>
              <w:jc w:val="left"/>
              <w:rPr/>
            </w:pPr>
            <w:r>
              <w:rPr/>
              <w:t>South Korea</w:t>
            </w:r>
            <w:r>
              <w:rPr>
                <w:b/>
              </w:rPr>
              <w:t>(1)</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20,594</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40,599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(49</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lineRule="auto" w:line="240" w:before="0" w:after="0"/>
              <w:ind w:left="324" w:right="0" w:hanging="144"/>
              <w:jc w:val="left"/>
              <w:rPr/>
            </w:pPr>
            <w:r>
              <w:rPr/>
              <w:t>Hong Kong/Taiwan</w:t>
            </w:r>
            <w:r>
              <w:rPr>
                <w:b/>
              </w:rPr>
              <w:t>(1)</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10,321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bottom"/>
          </w:tcPr>
          <w:p>
            <w:pPr>
              <w:pStyle w:val="TableContents"/>
              <w:bidi w:val="0"/>
              <w:spacing w:before="0" w:after="0"/>
              <w:jc w:val="right"/>
              <w:rPr/>
            </w:pPr>
            <w:r>
              <w:rPr/>
              <w:t>16,286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(37</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144" w:right="0" w:hanging="144"/>
              <w:jc w:val="left"/>
              <w:rPr>
                <w:b/>
              </w:rPr>
            </w:pPr>
            <w:r>
              <w:rPr>
                <w:b/>
              </w:rPr>
              <w:t>Total Paid Affiliates</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pPr>
            <w:r>
              <w:rPr/>
              <w:t>154,171</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tcMar>
              <w:bottom w:w="28" w:type="dxa"/>
            </w:tcMar>
            <w:vAlign w:val="bottom"/>
          </w:tcPr>
          <w:p>
            <w:pPr>
              <w:pStyle w:val="TableContents"/>
              <w:bidi w:val="0"/>
              <w:spacing w:before="0" w:after="0"/>
              <w:jc w:val="right"/>
              <w:rPr/>
            </w:pPr>
            <w:r>
              <w:rPr/>
              <w:t>221,354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(30</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ind w:left="144" w:right="0" w:hanging="144"/>
              <w:jc w:val="left"/>
              <w:rPr>
                <w:b/>
              </w:rPr>
            </w:pPr>
            <w:r>
              <w:rPr>
                <w:b/>
              </w:rPr>
              <w:t>Sales Leaders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6,616</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8,242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(20</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Mainland China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9,600</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10,034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(4</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Southeast Asia/Pacific</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5,570</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6,337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(12</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Japan</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6,385</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5,688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12</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3,715</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4,524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(18</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4,122</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6,242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(34</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2,601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bottom"/>
          </w:tcPr>
          <w:p>
            <w:pPr>
              <w:pStyle w:val="TableContents"/>
              <w:bidi w:val="0"/>
              <w:spacing w:before="0" w:after="0"/>
              <w:jc w:val="right"/>
              <w:rPr/>
            </w:pPr>
            <w:r>
              <w:rPr/>
              <w:t>2,688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(3</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144" w:right="0" w:hanging="144"/>
              <w:jc w:val="left"/>
              <w:rPr>
                <w:b/>
              </w:rPr>
            </w:pPr>
            <w:r>
              <w:rPr>
                <w:b/>
              </w:rPr>
              <w:t>Total Sales Leaders</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pPr>
            <w:r>
              <w:rPr/>
              <w:t>38,609</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tcMar>
              <w:bottom w:w="28" w:type="dxa"/>
            </w:tcMar>
            <w:vAlign w:val="bottom"/>
          </w:tcPr>
          <w:p>
            <w:pPr>
              <w:pStyle w:val="TableContents"/>
              <w:bidi w:val="0"/>
              <w:spacing w:before="0" w:after="0"/>
              <w:jc w:val="right"/>
              <w:rPr/>
            </w:pPr>
            <w:r>
              <w:rPr/>
              <w:t>43,755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(12</w:t>
            </w:r>
          </w:p>
        </w:tc>
        <w:tc>
          <w:tcPr>
            <w:tcW w:w="305"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both"/>
              <w:rPr/>
            </w:pPr>
            <w:r>
              <w:rPr/>
              <w:t>The March 31, 2024 number is affected by a change in eligibility requirements for receiving certain rewards within our compensation structure, to more narrowly focus on those affiliates who are actively building a consumer base. See “Japan,” “Europe &amp; Africa,” “South Korea,” and “Hong Kong/Taiwan,” below. We plan to implement these changes in additional segments over the next several quarters.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narrative discussion of our results in each segment, which supplements the tables above.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Americas</w:t>
      </w:r>
      <w:r>
        <w:rPr>
          <w:rFonts w:ascii="Times New Roman" w:hAnsi="Times New Roman"/>
          <w:color w:val="000000"/>
          <w:sz w:val="20"/>
          <w:shd w:fill="FFFFFF" w:val="clear"/>
        </w:rPr>
        <w:t>. The decline in revenue, Customers, Paid Affiliates and Sales Leaders in our Americas segment is attributable to the decline in momentum in our North America markets, while our Latin America markets continue to be challenged by macroeconomic issues. In connection with our transformation efforts, we experienced disruptions to our subscription sales in North America, which negatively impacted revenue. In the first quarter of 2024, we launched our new connected device, which generated approximately $10.6 million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decline in segment contribution for the first quarter of 2024 primarily reflects the decrease in revenue partially offset by a 2.3 percentage point improvement in gross margin from a decrease in sales discounts for the quarter as well as sales mix.</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Mainland China</w:t>
      </w:r>
      <w:r>
        <w:rPr>
          <w:rFonts w:ascii="Times New Roman" w:hAnsi="Times New Roman"/>
          <w:color w:val="000000"/>
          <w:sz w:val="20"/>
          <w:shd w:fill="FFFFFF" w:val="clear"/>
        </w:rPr>
        <w:t>. Our Mainland China market continued to be challenged during the first quarter of 2024, with ongoing macroeconomic factors and the associated decrease in consumer spending leading to declines in revenue. While we continue to believe in the potential of this market, we anticipate the current deflationary pressures and other economic challenges persisting as the economy works to recover.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decrease in segment contribution for the first quarter of 2024 primarily reflects lower revenue.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Southeast Asia/Pacific</w:t>
      </w:r>
      <w:r>
        <w:rPr>
          <w:rFonts w:ascii="Times New Roman;Times;serif" w:hAnsi="Times New Roman;Times;serif"/>
          <w:color w:val="000000"/>
          <w:sz w:val="20"/>
          <w:shd w:fill="FFFFFF" w:val="clear"/>
        </w:rPr>
        <w:t>. The decline in revenue, Customers, Paid Affiliates and Sales Leaders for the first quarter of 2024 is partially attributable to slowing momentum from the general macroeconomic factors in the markets along with price increases that we implemented in 2022 and 2023 to address inflation.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decrease in segment contribution is primarily attributable to the decline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Japan</w:t>
      </w:r>
      <w:r>
        <w:rPr>
          <w:rFonts w:ascii="Times New Roman" w:hAnsi="Times New Roman"/>
          <w:color w:val="000000"/>
          <w:sz w:val="20"/>
          <w:shd w:fill="FFFFFF" w:val="clear"/>
        </w:rPr>
        <w:t>. The decline in revenue is primarily attributable to a 10.3% negative impact from unfavorable foreign-currency fluctuations. The increase in Sales Leaders is primarily from a modification we made to the compensation plan starting in the second quarter of  2023. Our Paid Affiliates were negatively impacted by a change in eligibility requirements for receiving certain rewards within our compensation structure. We estimate the change in eligibility requirements resulted in a reduction of approximately 14 thousand Paid Affiliates for the three months ended March 31,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decline in segment contribution reflects the decreased revenue, partially offset by a decline in general and administrative expenses attributable to savings from our restructuring plan.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Europe &amp; Africa</w:t>
      </w:r>
      <w:r>
        <w:rPr>
          <w:rFonts w:ascii="Times New Roman" w:hAnsi="Times New Roman"/>
          <w:color w:val="000000"/>
          <w:sz w:val="20"/>
          <w:shd w:fill="FFFFFF" w:val="clear"/>
        </w:rPr>
        <w:t>. The reduction in revenue, Customers, Paid Affiliates and Sales Leaders reflects the softening of momentum, as well as the macroeconomic factors that have led to a decline in the purchasing power of our customers. Our Paid Affiliates were also negatively impacted by a change in eligibility requirements for receiving certain rewards within our compensation structure. We estimate the change in eligibility requirements resulted in a reduction of approximately 5 thousand Paid Affiliates for the three months ended March 31,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decline in segment contribution reflects the decline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South Korea</w:t>
      </w:r>
      <w:r>
        <w:rPr>
          <w:rFonts w:ascii="Times New Roman" w:hAnsi="Times New Roman"/>
          <w:color w:val="000000"/>
          <w:sz w:val="20"/>
          <w:shd w:fill="FFFFFF" w:val="clear"/>
        </w:rPr>
        <w:t xml:space="preserve">. Our South Korea market was challenged by difficult macroeconomic trends, including inflationary pressures, and our associated price increases which negatively impacted our revenue, Customers, Paid Affiliates and Sales Leaders for the quarter ended March 31, 2024. In addition, in the first quarter of 2023 we launched </w:t>
      </w:r>
      <w:r>
        <w:rPr>
          <w:rFonts w:ascii="Times New Roman" w:hAnsi="Times New Roman"/>
          <w:i/>
          <w:color w:val="000000"/>
          <w:sz w:val="20"/>
          <w:shd w:fill="FFFFFF" w:val="clear"/>
        </w:rPr>
        <w:t>TRMe</w:t>
      </w:r>
      <w:r>
        <w:rPr>
          <w:rFonts w:ascii="Times New Roman" w:hAnsi="Times New Roman"/>
          <w:color w:val="000000"/>
          <w:sz w:val="20"/>
          <w:shd w:fill="FFFFFF" w:val="clear"/>
        </w:rPr>
        <w:t xml:space="preserve"> in our South Korea market, which generated approximately $19.4 million in revenue, while we did not have any comparable launch in the first quarter of 2024.  Our Paid Affiliates were also negatively impacted by a change in eligibility requirements for receiving certain rewards within our compensation structure. We estimate the change in eligibility requirements resulted in a reduction of approximately 13 thousand Paid Affiliates for the three months ended March 31,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decline in segment contribution primarily reflects the decline in revenue and a 3.1 percentage decrease in gross margin from increased write-offs for the quarter attributable to the decline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Hong Kong/Taiwan</w:t>
      </w:r>
      <w:r>
        <w:rPr>
          <w:rFonts w:ascii="Times New Roman" w:hAnsi="Times New Roman"/>
          <w:color w:val="000000"/>
          <w:sz w:val="20"/>
          <w:shd w:fill="FFFFFF" w:val="clear"/>
        </w:rPr>
        <w:t>. The declines in our Hong Kong/Taiwan segment for the first quarter of 2024 are attributable to macroeconomic issues, which are resulting in less purchasing power for our consumers. In addition, we experienced some transformational pressures with new technology in Taiwan. Our Paid Affiliates were also negatively impacted by a change in eligibility requirements for receiving certain rewards within our compensation structure. We estimate the change in eligibility requirements resulted in a reduction of approximately 3 thousand Paid Affiliates for the three months ended March 31,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decline in segment contribution was primarily driven by the decline in revenue, partially offset by savings recognized in general and administrative expenses from our previous restructuring activities.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Manufacturing</w:t>
      </w:r>
      <w:r>
        <w:rPr>
          <w:rFonts w:ascii="Times New Roman" w:hAnsi="Times New Roman"/>
          <w:color w:val="000000"/>
          <w:sz w:val="20"/>
          <w:shd w:fill="FFFFFF" w:val="clear"/>
        </w:rPr>
        <w:t>. Our Manufacturing segment revenue increased 40.6% for the first quarter of 2024, primarily driven by our Wasatch Manufacturing entity. During the first quarter of 2024, Wasatch revenue increased 70.6%, primarily from onboarding new customers and continued automation efforts to increase efficiencies and capacity.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increase in segment contribution for the quarter is primarily from the increased revenue and efficiencies gained from automation.  In addition, segment contribution benefited from a favorable revenue mix between our manufacturing entities, which have differing profitability levels.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Rhyz Other</w:t>
      </w:r>
      <w:r>
        <w:rPr>
          <w:rFonts w:ascii="Times New Roman;Times;serif" w:hAnsi="Times New Roman;Times;serif"/>
          <w:color w:val="000000"/>
          <w:sz w:val="20"/>
          <w:shd w:fill="FFFFFF" w:val="clear"/>
        </w:rPr>
        <w:t>. The increase in revenue of our Rhyz other segment is partially driven by 76.7% growth at our Mavely entity.  In addition, we recognized $5.2 million of revenue in the first quarter of 2024, from our entities we acquired in the second quarter of 2023.</w:t>
      </w:r>
    </w:p>
    <w:p>
      <w:pPr>
        <w:pStyle w:val="TextBody"/>
        <w:bidi w:val="0"/>
        <w:spacing w:before="0" w:after="0"/>
        <w:jc w:val="left"/>
        <w:rPr/>
      </w:pPr>
      <w:r>
        <w:rPr/>
      </w:r>
    </w:p>
    <w:p>
      <w:pPr>
        <w:pStyle w:val="TextBody"/>
        <w:bidi w:val="0"/>
        <w:spacing w:before="0" w:after="0"/>
        <w:ind w:left="2" w:right="2"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decline in segment contribution is primarily from our recent acquisitions, which we are continuing to invest in to enable future growth, as well as the impacts of purchase accounting, which resulted in $1.2 million of incremental amortization of intangible assets.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Consolidated Results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for the three-month period ended March 31, 2024 decreased 13.3% to $417.3 million, compared to $481.5 million in the prior-year period. For a discussion and analysis of this decrease in revenue, see “Overview” and “Segment Results,” above.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Gross profit</w:t>
      </w:r>
    </w:p>
    <w:p>
      <w:pPr>
        <w:pStyle w:val="TextBody"/>
        <w:bidi w:val="0"/>
        <w:spacing w:before="0" w:after="0"/>
        <w:jc w:val="left"/>
        <w:rPr/>
      </w:pPr>
      <w:r>
        <w:rPr/>
      </w:r>
    </w:p>
    <w:p>
      <w:pPr>
        <w:pStyle w:val="TextBody"/>
        <w:bidi w:val="0"/>
        <w:spacing w:before="0" w:after="0"/>
        <w:ind w:left="4" w:right="4"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Gross profit as a percentage of revenue was 70.5% for the first quarter of 2024 compared to 72.3% for the prior-year period.  The gross margin of our core Nu Skin business increased 0.5 percentage points to 76.9%.  Our gross margin was also impacted by the gross margin of our owned manufacturing entities, which as previously disclosed, is significantly lower than the gross margin of our core Nu Skin business. With the year-over-year growth within our Manufacturing segment, their revenue represented a higher proportion of our overall consolidated revenue for the quarter.</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Selling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Selling expenses as a percentage of revenue was 36.8% for the first quarter of 2024, compared to 39.1% for the prior-year period.  Selling expenses for our core Nu Skin business as a percentage of revenue remained flat at 41.7% for the first quarter of 2024 and 2023.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fluctuates plus or minus approximately 100 basis points from period to period.  In the third quarter of 2024, we are holding our global Nu Skin Live! event with an east Live! in South Korea and a west Live! in United States.  As a result of the global Live! we are anticipating higher selling expense for the third quarter of 2024 by approximately $8 million.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General and administrative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decreased to $124.6 million in the first quarter of 2024, compared to $133.9 million in the prior-year period. The $9.3 million decline is primarily from a $6.8 million contraction in labor expenses and $2.4 million in occupancy, attributable to our cost saving efforts partially offset by increases in promotional expenses in connection with our product launches. General and administrative expenses as a percentage of revenue increased to 29.9% for the first quarter of 2024 from 27.8% for the prior-year period.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Restructuring and impairment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third quarter of 2022, we adopted a strategic plan to focus resources on our strategic priorities and optimize future growth and profitability. The global program included workforce reductions and footprint optimization. Total charges incurred under the program were approximately $53.3 million, with $40.8 million in cash charges of severance and lease termination cost and approximately $12.5 million of non-cash charges of impairment of fixed assets, acceleration of depreciation and impairment of other intangibles related to our footprint optimization. During the fourth quarter of 2022, we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the first quarter of 2023, we incurred charges to be settled in cash of $4.0 million in severance charges, $1.9 million in lease termination cost, and $2.2 million in other associated cost, and non-cash charges of $1.7 million in accelerated depreciation.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fourth quarter of 2023, we adopted another strategic plan to focus resources on our global priorities and optimize future growth and profitability. The global program includes workforce reductions. We estimate total charges under the program will approximate $20–$25 million in severance charges, which will be paid in cash. We expect to substantially complete the program during the first half of 2024. The program may expand as we continue to evaluate our business, including our product portfolio, global processes and organization, and operational footprint. During the fourth quarter of 2023, we incurred charges to be settled in cash of $10.0 million in severance charges. During the first quarter of 2024, we incurred charges to be settled in cash of $4.1 million in severance charges and $2.0 million in other associated cost, and non-cash charges of $1.0 million in write-down of assets.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expense increased to $7.3 million in the first quarter of 2024, compared to $4.9 million in the prior-year period. The increase in interest expense was primarily due to an increase in borrowings on our revolving credit facility.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Other income (expense), net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income (expense), net for the first quarter of 2024 was $0.4 million of expense compared to $3.4 million of income for the first quarter of 2023. The $3.8 million increase in expense is primarily from the impact of foreign currency fluctuations on the valuation of our intercompany receivables/payables.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Provision for income taxes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Provision for income taxes for the first quarter of 2024 was $1.6 million, compared to $3.2 million for the prior-year period. The effective tax rate was 148.4% of pre-tax book income during the first quarter of 2024 compared to 22.0% in the prior-year period. Our first quarter of 2024 effective tax rate was negatively impacted by the decline in profitability for the quarter as well as the vesting of our employee stock awards.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Net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foregoing factors, net income for the first quarter of 2024 was $(0.5) million compared to $11.4 million in the prior-year period.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In the first three months of 2024, we generated $3.3 million in cash from operations, compared to a net outflow of $22.1 million during the prior-year period. The increase in cash flow from operations primarily reflects less inventory purchases compared to the first quarter of 2023, as we work to right size our balance sheet following the decline in revenue. In addition, our cash from operations benefited from a decrease in accounts receivable driven by a sequential decline in sales, partially offset by a decline in net income for the first quarter of 2024.  Cash and cash equivalents, including current investments, as of March 31, 2024 and December 31, 2023 were $221.2 million and $267.8 million, respectively, with the decrease being driven by our quarterly debt payments, and capital expenditures, as discussed below, and payment on liabilities associated with our 2023 restructuring plan.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Working capital</w:t>
      </w:r>
      <w:r>
        <w:rPr>
          <w:rFonts w:ascii="Times New Roman" w:hAnsi="Times New Roman"/>
          <w:color w:val="000000"/>
          <w:sz w:val="20"/>
          <w:shd w:fill="FFFFFF" w:val="clear"/>
        </w:rPr>
        <w:t>. As of March 31, 2024, working capital was $338.0 million, compared to $373.0 million as of December 31, 2023. Our decline in working capital is primarily attributable to cash payments for capital expenditures for the quarter as well as $10.0 million paid on our revolving credit facility.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Capital expenditures</w:t>
      </w:r>
      <w:r>
        <w:rPr>
          <w:rFonts w:ascii="Times New Roman" w:hAnsi="Times New Roman"/>
          <w:color w:val="000000"/>
          <w:sz w:val="20"/>
          <w:shd w:fill="FFFFFF" w:val="clear"/>
        </w:rPr>
        <w:t>. Capital expenditures for the three months ended March 31, 2024 were $12.3 million. We expect that our capital expenditures in 2024 will be primarily related to:</w:t>
      </w:r>
    </w:p>
    <w:p>
      <w:pPr>
        <w:pStyle w:val="TextBody"/>
        <w:bidi w:val="0"/>
        <w:spacing w:before="0" w:after="0"/>
        <w:jc w:val="left"/>
        <w:rPr/>
      </w:pPr>
      <w:r>
        <w:rPr/>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0"/>
              <w:jc w:val="both"/>
              <w:rPr>
                <w:color w:val="000000"/>
              </w:rPr>
            </w:pPr>
            <w:r>
              <w:rPr>
                <w:color w:val="000000"/>
              </w:rPr>
              <w:t>Rhyz plant expansion to increase capacity and capabilities;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color w:val="000000"/>
              </w:rPr>
            </w:pPr>
            <w:r>
              <w:rPr>
                <w:color w:val="000000"/>
              </w:rPr>
              <w:t>purchases and expenditures for computer systems and equipment, software, and application development; and</w:t>
            </w:r>
          </w:p>
        </w:tc>
      </w:tr>
    </w:tbl>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0"/>
              <w:jc w:val="both"/>
              <w:rPr>
                <w:color w:val="000000"/>
              </w:rPr>
            </w:pPr>
            <w:r>
              <w:rPr>
                <w:color w:val="000000"/>
              </w:rPr>
              <w:t>the expansion and upgrade of facilities in our various markets.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estimate that capital expenditures for the uses listed above will total approximately $40–60 million for 2024.</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Credit Agreement</w:t>
      </w:r>
      <w:r>
        <w:rPr>
          <w:rFonts w:ascii="Times New Roman" w:hAnsi="Times New Roman"/>
          <w:color w:val="000000"/>
          <w:sz w:val="20"/>
          <w:shd w:fill="FFFFFF" w:val="clear"/>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SOFR,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March 31, 2024 and December 31, 2023, we had $110.0 million and $120.0 million of outstanding borrowings under our revolving credit facility, and $375.0 million and $385.0 million on our term loan facility. The carrying value of the debt also reflects debt issuance costs of $1.8 million and $2.0 million as of March 31, 2024 and December 31, 2023, respectively, related to the Credit Agreement. The Credit Agreement requires us to maintain a consolidated leverage ratio not exceeding 2.75 to 1.00 and a consolidated interest coverage ratio of no less than 3.00 to 1.00. As of March 31, 2024, we were in compliance with all debt covenants under the Credit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Derivative Instruments</w:t>
      </w:r>
      <w:r>
        <w:rPr>
          <w:rFonts w:ascii="Times New Roman" w:hAnsi="Times New Roman"/>
          <w:color w:val="000000"/>
          <w:sz w:val="20"/>
          <w:shd w:fill="FFFFFF" w:val="clear"/>
        </w:rPr>
        <w:t>. As of March 31, 2024,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Stock repurchase plan</w:t>
      </w:r>
      <w:r>
        <w:rPr>
          <w:rFonts w:ascii="Times New Roman" w:hAnsi="Times New Roman"/>
          <w:color w:val="000000"/>
          <w:sz w:val="20"/>
          <w:shd w:fill="FFFFFF" w:val="clear"/>
        </w:rPr>
        <w:t>. In 2018, our board of directors approved a stock repurchase plan authorizing us to repurchase up to $500.0 million of our outstanding shares of Class A common stock on the open market or in private transactions.  During the first quarter of  2024 and 2023 we repurchased no shares of our Class A common stock under the plan. As of March 31, 2024, $162.4 million was available for repurchases under the plan. Our stock repurchases are used primarily to offset dilution from our equity incentive plans and for strategic initiatives.</w:t>
      </w:r>
    </w:p>
    <w:p>
      <w:pPr>
        <w:pStyle w:val="TextBody"/>
        <w:bidi w:val="0"/>
        <w:spacing w:before="0" w:after="0"/>
        <w:jc w:val="left"/>
        <w:rPr/>
      </w:pPr>
      <w:r>
        <w:rPr/>
      </w:r>
    </w:p>
    <w:p>
      <w:pPr>
        <w:pStyle w:val="TextBody"/>
        <w:bidi w:val="0"/>
        <w:spacing w:before="0" w:after="0"/>
        <w:ind w:left="2" w:right="2" w:hanging="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Dividends</w:t>
      </w:r>
      <w:r>
        <w:rPr>
          <w:rFonts w:ascii="Times New Roman;Times;serif" w:hAnsi="Times New Roman;Times;serif"/>
          <w:color w:val="000000"/>
          <w:sz w:val="20"/>
          <w:shd w:fill="FFFFFF" w:val="clear"/>
        </w:rPr>
        <w:t>. In February 2024, our board of directors declared a quarterly cash dividend of $0.06 per share. This quarterly cash dividends of $3.0 million was paid on March 6, 2024 to stockholders of record on February 26, 2024. In May 2024, our board of directors declared a quarterly cash dividend of $0.06 per share to be paid on June 12, 2024 to stockholders of record on May 31, 2024.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Cash from foreign subsidiaries</w:t>
      </w:r>
      <w:r>
        <w:rPr>
          <w:rFonts w:ascii="Times New Roman" w:hAnsi="Times New Roman"/>
          <w:color w:val="000000"/>
          <w:sz w:val="20"/>
          <w:shd w:fill="FFFFFF" w:val="clear"/>
        </w:rPr>
        <w:t>. As of March 31, 2024 and December 31, 2023, we held $221.2 million and $267.8 million, respectively, in cash and cash equivalents, including current investments. These amounts include $158.2 million and $213.7 million as of March 31, 2024 and December 31, 2023,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March 31, 2024, we had $28.4 million in cash denominated in Chinese RMB. We also have experienced delays in repatriating cash from Argentina. As of March 31, 2024 and December 31, 2023, we had $18.3 million and $17.7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Contingent Liabilities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Please refer to Note 11 to the consolidated financial statements contained in this Quarterly Report for information regarding our contingent liabilities.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ind w:left="2" w:right="2"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critical accounting policies and estimates should be read in conjunction with our audited consolidated financial statements and related notes thereto included in our Annual Report on Form 10-K for the 2023 fiscal year.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Intangible Assets</w:t>
      </w:r>
      <w:r>
        <w:rPr>
          <w:rFonts w:ascii="Times New Roman;Times;serif" w:hAnsi="Times New Roman;Times;serif"/>
          <w:color w:val="000000"/>
          <w:sz w:val="20"/>
          <w:shd w:fill="FFFFFF" w:val="clear"/>
        </w:rPr>
        <w:t>. Acquired intangible assets may represent indefinite-lived assets, determinable-lived intangibles or goodwill. Of these, only the costs of determinable-lived intangibles are amortized to expense over their estimated life. The value of indefinite-lived intangible assets and residual goodwill is not amortized, but is tested at least annually for impairment. Our impairment testing for goodwill is performed separately from our impairment testing of indefinite-lived intangibles. We test goodwill for impairment, at least annually, by reviewing the book value compared to the fair value at the reportable unit level. We have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must be measured. We elected to perform the quantitative assessment for fiscal year 2022 and we used the qualitative assessment for fiscal years 2023 and 2021.</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Considerable management judgment and assumptions are used in our goodwill impairment assessment, including with respect to the estimated future cash flows, the earnings multiples used in the market approach, the discount rate used to discount such estimated future cash flows to their net present value and the reasonableness of the implied control premium relative to our market capitalization. These factors could materially increase or decrease the fair value of our reporting units and, accordingly, could result in a related impairment charge. Declines in our market capitalization or in our business performance could also result in a material impairment charge in a future period.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2024, we determined that the recent decline in our stock price and corresponding market capitalization was a triggering event that required us to perform a quantitative impairment analysis. Based on the analysis, we concluded the fair value of all reporting units were in excess of their carrying amounts and no impairment charge was required.  For goodwill, the estimated fair value of the reporting units exceeded the carrying value by approximately 1% - 7%.</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revenue and profitability forecasts used in the goodwill impairment assessment considered recent and historical performance, strategic initiatives, industry trends and macroeconomic factors. Assumptions used in the valuations were similar to those that would be used by market participants performing independent valuations of the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Key assumptions developed by management and used in the quantitative analysis: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Financial projections and future cash flows, including a base year that considered recent actual results lower than previous internal forecasts, with revenue growth and profitability improvement throughout the forecast period that reflects the long-term strategy for the business, and terminal growth rates based on the expected long-term growth rate of the business; and</w:t>
            </w:r>
          </w:p>
        </w:tc>
      </w:tr>
    </w:tbl>
    <w:p>
      <w:pPr>
        <w:pStyle w:val="TextBody"/>
        <w:bidi w:val="0"/>
        <w:spacing w:before="0" w:after="0"/>
        <w:jc w:val="left"/>
        <w:rPr/>
      </w:pPr>
      <w:r>
        <w:rPr/>
      </w:r>
    </w:p>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0"/>
              <w:jc w:val="both"/>
              <w:rPr/>
            </w:pPr>
            <w:r>
              <w:rPr/>
              <w:t>Market-based discount rates.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valuation model used in our impairment testing assumes recovery from the recent downturn in our operating results and the return to revenue growth and improved profitability. If any of our reporting units are unable to achieve the financial projections, an impairment of the reporting units’ goodwill could occur in the future.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performed a sensitivity analysis on the impairment model used to test the reporting units’ goodwill. In doing so, we determined that individual changes of a 5% reduction in our annual earnings before interest and tax, or a 40 basis point increase in the discount rate used in the discounted cash flow models did not cause the estimated fair values of the reporting units to decline below their carrying values. We made our estimates based on information available as of the date of our assessment, using assumptions we believe market participants would use in performing an independent valuation of the business. Although we believe the estimates and assumptions used in the impairment testing are reasonable and appropriate, it is possible that the assumptions and conclusions regarding impairment or recoverability of our reporting units’ goodwill could change in future periods. There can be no assurance the estimates and assumptions, particularly our long-term financial projections, used in our goodwill impairment testing will prove to be accurate predictions of the future, if, for example, (i) the business does not perform as projected, (ii) overall economic conditions in the remainder of Fiscal 2024 or future years vary from current assumptions (including changes in discount rates and foreign currency exchange rates), (iii) business conditions or strategies change from current assumptions, (iv) investors require higher rates of return on equity investments in the marketplace, or (v) enterprise values of comparable publicly traded companies, or actual sales transactions of comparable companies, were to decline, resulting in lower multiples of revenues and profitability. A future impairment charge to our reporting units’ goodwill could have a material effect on the consolidated financial position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Seasonality and Cyclicality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Available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1" w:name="QUANTITATIVEANDQUALITATIV"/>
      <w:bookmarkStart w:id="12" w:name="QUANTITATIVEANDQUALITATIV"/>
      <w:bookmarkEnd w:id="12"/>
    </w:p>
    <w:tbl>
      <w:tblPr>
        <w:tblW w:w="9790" w:type="dxa"/>
        <w:jc w:val="left"/>
        <w:tblInd w:w="0" w:type="dxa"/>
        <w:tblLayout w:type="fixed"/>
        <w:tblCellMar>
          <w:top w:w="0" w:type="dxa"/>
          <w:left w:w="0" w:type="dxa"/>
          <w:bottom w:w="0" w:type="dxa"/>
          <w:right w:w="0" w:type="dxa"/>
        </w:tblCellMar>
      </w:tblPr>
      <w:tblGrid>
        <w:gridCol w:w="920"/>
        <w:gridCol w:w="8870"/>
      </w:tblGrid>
      <w:tr>
        <w:trPr/>
        <w:tc>
          <w:tcPr>
            <w:tcW w:w="920" w:type="dxa"/>
            <w:tcBorders/>
            <w:vAlign w:val="center"/>
          </w:tcPr>
          <w:p>
            <w:pPr>
              <w:pStyle w:val="TableContents"/>
              <w:bidi w:val="0"/>
              <w:spacing w:before="0" w:after="283"/>
              <w:jc w:val="left"/>
              <w:rPr>
                <w:b/>
              </w:rPr>
            </w:pPr>
            <w:r>
              <w:rPr>
                <w:b/>
              </w:rPr>
              <w:t>ITEM 3.</w:t>
            </w:r>
          </w:p>
        </w:tc>
        <w:tc>
          <w:tcPr>
            <w:tcW w:w="8870" w:type="dxa"/>
            <w:tcBorders/>
            <w:vAlign w:val="center"/>
          </w:tcPr>
          <w:p>
            <w:pPr>
              <w:pStyle w:val="TableContents"/>
              <w:bidi w:val="0"/>
              <w:spacing w:before="0" w:after="0"/>
              <w:jc w:val="left"/>
              <w:rPr>
                <w:b/>
                <w:u w:val="single"/>
              </w:rPr>
            </w:pPr>
            <w:r>
              <w:rPr>
                <w:b/>
                <w:u w:val="single"/>
              </w:rPr>
              <w:t>QUANTITATIVE AND QUALITATIVE DISCLOSURES ABOUT MARKET RISK</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Currency Risk and Exchange Rate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March 31, 2024, our subsidiary in Argentina had a small net peso monetary position. Net sales of our subsidiary in Argentina were less than 2% of our consolidated net sales for the three-month periods ended March 31, 2024 and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March 31, 2024 and 2023, we did not hold material non-designated mark-to-market forward derivative contracts to hedge foreign denominated intercompany positions or third party foreign debt. As of March 31, 2024, and 2023 we did not hold any material forward contracts designated as foreign currency cash flow hedges. We continue to evaluate our foreign currency hedging policy.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additional information about our market risk see Note 9 to the consolidated financial statements contained in this Quarterly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CONTROLSANDPROCEDURES"/>
      <w:bookmarkStart w:id="14" w:name="CONTROLSANDPROCEDURES"/>
      <w:bookmarkEnd w:id="14"/>
    </w:p>
    <w:tbl>
      <w:tblPr>
        <w:tblW w:w="4675" w:type="dxa"/>
        <w:jc w:val="left"/>
        <w:tblInd w:w="0" w:type="dxa"/>
        <w:tblLayout w:type="fixed"/>
        <w:tblCellMar>
          <w:top w:w="0" w:type="dxa"/>
          <w:left w:w="0" w:type="dxa"/>
          <w:bottom w:w="0" w:type="dxa"/>
          <w:right w:w="0" w:type="dxa"/>
        </w:tblCellMar>
      </w:tblPr>
      <w:tblGrid>
        <w:gridCol w:w="920"/>
        <w:gridCol w:w="3755"/>
      </w:tblGrid>
      <w:tr>
        <w:trPr/>
        <w:tc>
          <w:tcPr>
            <w:tcW w:w="920" w:type="dxa"/>
            <w:tcBorders/>
            <w:vAlign w:val="center"/>
          </w:tcPr>
          <w:p>
            <w:pPr>
              <w:pStyle w:val="TableContents"/>
              <w:bidi w:val="0"/>
              <w:spacing w:before="0" w:after="283"/>
              <w:jc w:val="left"/>
              <w:rPr>
                <w:b/>
              </w:rPr>
            </w:pPr>
            <w:r>
              <w:rPr>
                <w:b/>
              </w:rPr>
              <w:t>ITEM 4.</w:t>
            </w:r>
          </w:p>
        </w:tc>
        <w:tc>
          <w:tcPr>
            <w:tcW w:w="3755" w:type="dxa"/>
            <w:tcBorders/>
            <w:vAlign w:val="center"/>
          </w:tcPr>
          <w:p>
            <w:pPr>
              <w:pStyle w:val="TableContents"/>
              <w:bidi w:val="0"/>
              <w:spacing w:before="0" w:after="0"/>
              <w:jc w:val="left"/>
              <w:rPr>
                <w:b/>
                <w:u w:val="single"/>
              </w:rPr>
            </w:pPr>
            <w:r>
              <w:rPr>
                <w:b/>
                <w:u w:val="single"/>
              </w:rPr>
              <w:t>CONTROLS AND PROCEDURES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March 31, 2024.</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Controls Over Financial Reporting.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made no changes in our internal control over financial reporting (as defined in Rule 13a-15(f) under the Exchange Act) during the fiscal quarter ended March 31, 2024 that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 w:name="LEGALPROCEEDINGS"/>
      <w:bookmarkStart w:id="16" w:name="LEGALPROCEEDINGS"/>
      <w:bookmarkEnd w:id="16"/>
    </w:p>
    <w:tbl>
      <w:tblPr>
        <w:tblW w:w="3655" w:type="dxa"/>
        <w:jc w:val="left"/>
        <w:tblInd w:w="0" w:type="dxa"/>
        <w:tblLayout w:type="fixed"/>
        <w:tblCellMar>
          <w:top w:w="0" w:type="dxa"/>
          <w:left w:w="0" w:type="dxa"/>
          <w:bottom w:w="0" w:type="dxa"/>
          <w:right w:w="0" w:type="dxa"/>
        </w:tblCellMar>
      </w:tblPr>
      <w:tblGrid>
        <w:gridCol w:w="920"/>
        <w:gridCol w:w="2735"/>
      </w:tblGrid>
      <w:tr>
        <w:trPr/>
        <w:tc>
          <w:tcPr>
            <w:tcW w:w="920" w:type="dxa"/>
            <w:tcBorders/>
            <w:vAlign w:val="center"/>
          </w:tcPr>
          <w:p>
            <w:pPr>
              <w:pStyle w:val="TableContents"/>
              <w:bidi w:val="0"/>
              <w:spacing w:before="0" w:after="283"/>
              <w:jc w:val="left"/>
              <w:rPr>
                <w:b/>
              </w:rPr>
            </w:pPr>
            <w:r>
              <w:rPr>
                <w:b/>
              </w:rPr>
              <w:t>ITEM 1.</w:t>
            </w:r>
          </w:p>
        </w:tc>
        <w:tc>
          <w:tcPr>
            <w:tcW w:w="2735" w:type="dxa"/>
            <w:tcBorders/>
            <w:vAlign w:val="center"/>
          </w:tcPr>
          <w:p>
            <w:pPr>
              <w:pStyle w:val="TableContents"/>
              <w:bidi w:val="0"/>
              <w:spacing w:before="0" w:after="0"/>
              <w:jc w:val="left"/>
              <w:rPr>
                <w:b/>
                <w:u w:val="single"/>
              </w:rPr>
            </w:pPr>
            <w:r>
              <w:rPr>
                <w:b/>
                <w:u w:val="single"/>
              </w:rPr>
              <w:t>LEGAL PROCEEDINGS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are involved in legal proceedings arising in the ordinary course of business.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RISKFACTORS"/>
      <w:bookmarkStart w:id="18" w:name="RISKFACTORS"/>
      <w:bookmarkEnd w:id="18"/>
    </w:p>
    <w:tbl>
      <w:tblPr>
        <w:tblW w:w="2950" w:type="dxa"/>
        <w:jc w:val="left"/>
        <w:tblInd w:w="0" w:type="dxa"/>
        <w:tblLayout w:type="fixed"/>
        <w:tblCellMar>
          <w:top w:w="0" w:type="dxa"/>
          <w:left w:w="0" w:type="dxa"/>
          <w:bottom w:w="0" w:type="dxa"/>
          <w:right w:w="0" w:type="dxa"/>
        </w:tblCellMar>
      </w:tblPr>
      <w:tblGrid>
        <w:gridCol w:w="1100"/>
        <w:gridCol w:w="1850"/>
      </w:tblGrid>
      <w:tr>
        <w:trPr/>
        <w:tc>
          <w:tcPr>
            <w:tcW w:w="1100" w:type="dxa"/>
            <w:tcBorders/>
            <w:vAlign w:val="center"/>
          </w:tcPr>
          <w:p>
            <w:pPr>
              <w:pStyle w:val="TableContents"/>
              <w:bidi w:val="0"/>
              <w:spacing w:before="0" w:after="283"/>
              <w:jc w:val="left"/>
              <w:rPr>
                <w:b/>
              </w:rPr>
            </w:pPr>
            <w:r>
              <w:rPr>
                <w:b/>
              </w:rPr>
              <w:t>ITEM 1A.</w:t>
            </w:r>
          </w:p>
        </w:tc>
        <w:tc>
          <w:tcPr>
            <w:tcW w:w="1850" w:type="dxa"/>
            <w:tcBorders/>
            <w:vAlign w:val="center"/>
          </w:tcPr>
          <w:p>
            <w:pPr>
              <w:pStyle w:val="TableContents"/>
              <w:bidi w:val="0"/>
              <w:spacing w:before="0" w:after="0"/>
              <w:jc w:val="left"/>
              <w:rPr>
                <w:b/>
                <w:u w:val="single"/>
              </w:rPr>
            </w:pPr>
            <w:r>
              <w:rPr>
                <w:b/>
                <w:u w:val="single"/>
              </w:rPr>
              <w:t>RISK FACTORS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have been no material changes from the risk factors previously disclosed in our Annual Report on Form 10-K for the 2023 fiscal year.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UNREGISTEREDSALESOFEQUITY"/>
      <w:bookmarkStart w:id="20" w:name="UNREGISTEREDSALESOFEQUITY"/>
      <w:bookmarkEnd w:id="20"/>
    </w:p>
    <w:tbl>
      <w:tblPr>
        <w:tblW w:w="9640" w:type="dxa"/>
        <w:jc w:val="left"/>
        <w:tblInd w:w="0" w:type="dxa"/>
        <w:tblLayout w:type="fixed"/>
        <w:tblCellMar>
          <w:top w:w="0" w:type="dxa"/>
          <w:left w:w="0" w:type="dxa"/>
          <w:bottom w:w="0" w:type="dxa"/>
          <w:right w:w="0" w:type="dxa"/>
        </w:tblCellMar>
      </w:tblPr>
      <w:tblGrid>
        <w:gridCol w:w="920"/>
        <w:gridCol w:w="8720"/>
      </w:tblGrid>
      <w:tr>
        <w:trPr/>
        <w:tc>
          <w:tcPr>
            <w:tcW w:w="920" w:type="dxa"/>
            <w:tcBorders/>
            <w:vAlign w:val="center"/>
          </w:tcPr>
          <w:p>
            <w:pPr>
              <w:pStyle w:val="TableContents"/>
              <w:bidi w:val="0"/>
              <w:spacing w:before="0" w:after="283"/>
              <w:jc w:val="left"/>
              <w:rPr>
                <w:b/>
              </w:rPr>
            </w:pPr>
            <w:r>
              <w:rPr>
                <w:b/>
              </w:rPr>
              <w:t>ITEM 2.</w:t>
            </w:r>
          </w:p>
        </w:tc>
        <w:tc>
          <w:tcPr>
            <w:tcW w:w="8720" w:type="dxa"/>
            <w:tcBorders/>
            <w:vAlign w:val="center"/>
          </w:tcPr>
          <w:p>
            <w:pPr>
              <w:pStyle w:val="TableContents"/>
              <w:bidi w:val="0"/>
              <w:spacing w:before="0" w:after="0"/>
              <w:jc w:val="left"/>
              <w:rPr>
                <w:b/>
                <w:u w:val="single"/>
              </w:rPr>
            </w:pPr>
            <w:r>
              <w:rPr>
                <w:b/>
                <w:u w:val="single"/>
              </w:rPr>
              <w:t>UNREGISTERED SALES OF EQUITY SECURITIES AND USE OF PROCEEDS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Purchases of Equity Securities by the Issuer</w:t>
      </w:r>
    </w:p>
    <w:p>
      <w:pPr>
        <w:pStyle w:val="TextBody"/>
        <w:bidi w:val="0"/>
        <w:spacing w:before="0" w:after="0"/>
        <w:jc w:val="left"/>
        <w:rPr/>
      </w:pPr>
      <w:r>
        <w:rPr/>
      </w:r>
    </w:p>
    <w:tbl>
      <w:tblPr>
        <w:tblW w:w="9263" w:type="dxa"/>
        <w:jc w:val="left"/>
        <w:tblInd w:w="0" w:type="dxa"/>
        <w:tblLayout w:type="fixed"/>
        <w:tblCellMar>
          <w:top w:w="0" w:type="dxa"/>
          <w:left w:w="0" w:type="dxa"/>
          <w:bottom w:w="0" w:type="dxa"/>
          <w:right w:w="0" w:type="dxa"/>
        </w:tblCellMar>
      </w:tblPr>
      <w:tblGrid>
        <w:gridCol w:w="2105"/>
        <w:gridCol w:w="60"/>
        <w:gridCol w:w="206"/>
        <w:gridCol w:w="894"/>
        <w:gridCol w:w="60"/>
        <w:gridCol w:w="60"/>
        <w:gridCol w:w="374"/>
        <w:gridCol w:w="695"/>
        <w:gridCol w:w="60"/>
        <w:gridCol w:w="60"/>
        <w:gridCol w:w="351"/>
        <w:gridCol w:w="1528"/>
        <w:gridCol w:w="60"/>
        <w:gridCol w:w="60"/>
        <w:gridCol w:w="523"/>
        <w:gridCol w:w="2092"/>
        <w:gridCol w:w="75"/>
      </w:tblGrid>
      <w:tr>
        <w:trPr/>
        <w:tc>
          <w:tcPr>
            <w:tcW w:w="2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bottom"/>
          </w:tcPr>
          <w:p>
            <w:pPr>
              <w:pStyle w:val="TableContents"/>
              <w:bidi w:val="0"/>
              <w:spacing w:before="0" w:after="0"/>
              <w:jc w:val="center"/>
              <w:rPr>
                <w:b/>
              </w:rPr>
            </w:pPr>
            <w:r>
              <w:rPr>
                <w:b/>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(d)</w:t>
            </w:r>
          </w:p>
        </w:tc>
        <w:tc>
          <w:tcPr>
            <w:tcW w:w="75" w:type="dxa"/>
            <w:tcBorders/>
            <w:vAlign w:val="bottom"/>
          </w:tcPr>
          <w:p>
            <w:pPr>
              <w:pStyle w:val="TableContents"/>
              <w:bidi w:val="0"/>
              <w:spacing w:before="0" w:after="283"/>
              <w:jc w:val="left"/>
              <w:rPr/>
            </w:pPr>
            <w:r>
              <w:rPr/>
              <w:t> </w:t>
            </w:r>
          </w:p>
        </w:tc>
      </w:tr>
      <w:tr>
        <w:trPr/>
        <w:tc>
          <w:tcPr>
            <w:tcW w:w="2105" w:type="dxa"/>
            <w:tcBorders>
              <w:bottom w:val="single" w:sz="12" w:space="0" w:color="000000"/>
            </w:tcBorders>
            <w:tcMar>
              <w:bottom w:w="28" w:type="dxa"/>
            </w:tcMar>
            <w:vAlign w:val="bottom"/>
          </w:tcPr>
          <w:p>
            <w:pPr>
              <w:pStyle w:val="TableContents"/>
              <w:bidi w:val="0"/>
              <w:spacing w:before="0" w:after="0"/>
              <w:jc w:val="center"/>
              <w:rPr>
                <w:b/>
              </w:rPr>
            </w:pPr>
            <w:r>
              <w:rPr>
                <w:b/>
              </w:rPr>
              <w:t>Period</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p>
            <w:pPr>
              <w:pStyle w:val="TableContents"/>
              <w:bidi w:val="0"/>
              <w:spacing w:before="0" w:after="0"/>
              <w:jc w:val="center"/>
              <w:rPr>
                <w:b/>
              </w:rPr>
            </w:pPr>
            <w:r>
              <w:rPr>
                <w:b/>
              </w:rPr>
              <w:t>Number</w:t>
            </w:r>
          </w:p>
          <w:p>
            <w:pPr>
              <w:pStyle w:val="TableContents"/>
              <w:bidi w:val="0"/>
              <w:spacing w:before="0" w:after="0"/>
              <w:jc w:val="center"/>
              <w:rPr>
                <w:b/>
              </w:rPr>
            </w:pPr>
            <w:r>
              <w:rPr>
                <w:b/>
              </w:rPr>
              <w:t>of Shares</w:t>
            </w:r>
          </w:p>
          <w:p>
            <w:pPr>
              <w:pStyle w:val="TableContents"/>
              <w:bidi w:val="0"/>
              <w:spacing w:before="0" w:after="0"/>
              <w:jc w:val="center"/>
              <w:rPr>
                <w:b/>
              </w:rPr>
            </w:pPr>
            <w:r>
              <w:rPr>
                <w:b/>
              </w:rPr>
              <w:t>Purchased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Price Paid</w:t>
            </w:r>
          </w:p>
          <w:p>
            <w:pPr>
              <w:pStyle w:val="TableContents"/>
              <w:bidi w:val="0"/>
              <w:spacing w:before="0" w:after="0"/>
              <w:jc w:val="center"/>
              <w:rPr>
                <w:b/>
              </w:rPr>
            </w:pPr>
            <w:r>
              <w:rPr>
                <w:b/>
              </w:rPr>
              <w:t>per Share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 Number of</w:t>
            </w:r>
          </w:p>
          <w:p>
            <w:pPr>
              <w:pStyle w:val="TableContents"/>
              <w:bidi w:val="0"/>
              <w:spacing w:before="0" w:after="0"/>
              <w:jc w:val="center"/>
              <w:rPr>
                <w:b/>
              </w:rPr>
            </w:pPr>
            <w:r>
              <w:rPr>
                <w:b/>
              </w:rPr>
              <w:t>Shares Purchased</w:t>
            </w:r>
          </w:p>
          <w:p>
            <w:pPr>
              <w:pStyle w:val="TableContents"/>
              <w:bidi w:val="0"/>
              <w:spacing w:before="0" w:after="0"/>
              <w:jc w:val="center"/>
              <w:rPr>
                <w:b/>
              </w:rPr>
            </w:pPr>
            <w:r>
              <w:rPr>
                <w:b/>
              </w:rPr>
              <w:t>as Part of Publicly</w:t>
            </w:r>
          </w:p>
          <w:p>
            <w:pPr>
              <w:pStyle w:val="TableContents"/>
              <w:bidi w:val="0"/>
              <w:spacing w:before="0" w:after="0"/>
              <w:jc w:val="center"/>
              <w:rPr>
                <w:b/>
              </w:rPr>
            </w:pPr>
            <w:r>
              <w:rPr>
                <w:b/>
              </w:rPr>
              <w:t>Announced Plans</w:t>
            </w:r>
          </w:p>
          <w:p>
            <w:pPr>
              <w:pStyle w:val="TableContents"/>
              <w:bidi w:val="0"/>
              <w:spacing w:before="0" w:after="0"/>
              <w:jc w:val="center"/>
              <w:rPr>
                <w:b/>
              </w:rPr>
            </w:pPr>
            <w:r>
              <w:rPr>
                <w:b/>
              </w:rPr>
              <w:t>or Programs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Approximate Dollar</w:t>
            </w:r>
          </w:p>
          <w:p>
            <w:pPr>
              <w:pStyle w:val="TableContents"/>
              <w:bidi w:val="0"/>
              <w:spacing w:before="0" w:after="0"/>
              <w:jc w:val="center"/>
              <w:rPr>
                <w:b/>
              </w:rPr>
            </w:pPr>
            <w:r>
              <w:rPr>
                <w:b/>
              </w:rPr>
              <w:t>Value of Shares that May</w:t>
            </w:r>
          </w:p>
          <w:p>
            <w:pPr>
              <w:pStyle w:val="TableContents"/>
              <w:bidi w:val="0"/>
              <w:spacing w:before="0" w:after="0"/>
              <w:jc w:val="center"/>
              <w:rPr>
                <w:b/>
              </w:rPr>
            </w:pPr>
            <w:r>
              <w:rPr>
                <w:b/>
              </w:rPr>
              <w:t>Yet Be Purchased Under</w:t>
            </w:r>
          </w:p>
          <w:p>
            <w:pPr>
              <w:pStyle w:val="TableContents"/>
              <w:bidi w:val="0"/>
              <w:spacing w:before="0" w:after="0"/>
              <w:jc w:val="center"/>
              <w:rPr>
                <w:b/>
              </w:rPr>
            </w:pPr>
            <w:r>
              <w:rPr>
                <w:b/>
              </w:rPr>
              <w:t>the Plans or Programs</w:t>
            </w:r>
          </w:p>
          <w:p>
            <w:pPr>
              <w:pStyle w:val="TableContents"/>
              <w:bidi w:val="0"/>
              <w:spacing w:lineRule="auto" w:line="240" w:before="0" w:after="0"/>
              <w:jc w:val="center"/>
              <w:rPr/>
            </w:pPr>
            <w:r>
              <w:rPr/>
              <w:t>(in millions)(1)</w:t>
            </w:r>
          </w:p>
        </w:tc>
        <w:tc>
          <w:tcPr>
            <w:tcW w:w="75" w:type="dxa"/>
            <w:tcBorders/>
            <w:vAlign w:val="bottom"/>
          </w:tcPr>
          <w:p>
            <w:pPr>
              <w:pStyle w:val="TableContents"/>
              <w:bidi w:val="0"/>
              <w:spacing w:before="0" w:after="283"/>
              <w:jc w:val="left"/>
              <w:rPr/>
            </w:pPr>
            <w:r>
              <w:rPr/>
              <w:t> </w:t>
            </w:r>
          </w:p>
        </w:tc>
      </w:tr>
      <w:tr>
        <w:trPr/>
        <w:tc>
          <w:tcPr>
            <w:tcW w:w="2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05" w:type="dxa"/>
            <w:tcBorders/>
            <w:shd w:fill="CCEEFF" w:val="clear"/>
            <w:vAlign w:val="bottom"/>
          </w:tcPr>
          <w:p>
            <w:pPr>
              <w:pStyle w:val="TableContents"/>
              <w:bidi w:val="0"/>
              <w:spacing w:before="0" w:after="0"/>
              <w:ind w:left="144" w:right="0" w:hanging="144"/>
              <w:jc w:val="left"/>
              <w:rPr/>
            </w:pPr>
            <w:r>
              <w:rPr/>
              <w:t>January 1 - 31, 2024</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0"/>
              <w:jc w:val="left"/>
              <w:rPr/>
            </w:pPr>
            <w:r>
              <w:rPr/>
              <w:t>$</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left"/>
              <w:rPr/>
            </w:pPr>
            <w:r>
              <w:rPr/>
              <w:t>$</w:t>
            </w:r>
          </w:p>
        </w:tc>
        <w:tc>
          <w:tcPr>
            <w:tcW w:w="2092" w:type="dxa"/>
            <w:tcBorders/>
            <w:shd w:fill="CCEEFF" w:val="clear"/>
            <w:vAlign w:val="bottom"/>
          </w:tcPr>
          <w:p>
            <w:pPr>
              <w:pStyle w:val="TableContents"/>
              <w:bidi w:val="0"/>
              <w:spacing w:before="0" w:after="0"/>
              <w:jc w:val="right"/>
              <w:rPr/>
            </w:pPr>
            <w:r>
              <w:rPr/>
              <w:t>162.4</w:t>
            </w:r>
          </w:p>
        </w:tc>
        <w:tc>
          <w:tcPr>
            <w:tcW w:w="75" w:type="dxa"/>
            <w:tcBorders/>
            <w:shd w:fill="CCEEFF" w:val="clear"/>
            <w:vAlign w:val="bottom"/>
          </w:tcPr>
          <w:p>
            <w:pPr>
              <w:pStyle w:val="TableContents"/>
              <w:bidi w:val="0"/>
              <w:spacing w:before="0" w:after="283"/>
              <w:jc w:val="left"/>
              <w:rPr/>
            </w:pPr>
            <w:r>
              <w:rPr/>
              <w:t> </w:t>
            </w:r>
          </w:p>
        </w:tc>
      </w:tr>
      <w:tr>
        <w:trPr/>
        <w:tc>
          <w:tcPr>
            <w:tcW w:w="2105" w:type="dxa"/>
            <w:tcBorders/>
            <w:vAlign w:val="bottom"/>
          </w:tcPr>
          <w:p>
            <w:pPr>
              <w:pStyle w:val="TableContents"/>
              <w:bidi w:val="0"/>
              <w:spacing w:before="0" w:after="0"/>
              <w:ind w:left="144" w:right="0" w:hanging="144"/>
              <w:jc w:val="left"/>
              <w:rPr/>
            </w:pPr>
            <w:r>
              <w:rPr/>
              <w:t>February 1 - 29, 2024</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0"/>
              <w:jc w:val="left"/>
              <w:rPr/>
            </w:pPr>
            <w:r>
              <w:rPr/>
              <w:t>$</w:t>
            </w:r>
          </w:p>
        </w:tc>
        <w:tc>
          <w:tcPr>
            <w:tcW w:w="2092" w:type="dxa"/>
            <w:tcBorders/>
            <w:vAlign w:val="bottom"/>
          </w:tcPr>
          <w:p>
            <w:pPr>
              <w:pStyle w:val="TableContents"/>
              <w:bidi w:val="0"/>
              <w:spacing w:before="0" w:after="0"/>
              <w:jc w:val="right"/>
              <w:rPr/>
            </w:pPr>
            <w:r>
              <w:rPr/>
              <w:t>162.4</w:t>
            </w:r>
          </w:p>
        </w:tc>
        <w:tc>
          <w:tcPr>
            <w:tcW w:w="75" w:type="dxa"/>
            <w:tcBorders/>
            <w:vAlign w:val="bottom"/>
          </w:tcPr>
          <w:p>
            <w:pPr>
              <w:pStyle w:val="TableContents"/>
              <w:bidi w:val="0"/>
              <w:spacing w:before="0" w:after="283"/>
              <w:jc w:val="left"/>
              <w:rPr/>
            </w:pPr>
            <w:r>
              <w:rPr/>
              <w:t> </w:t>
            </w:r>
          </w:p>
        </w:tc>
      </w:tr>
      <w:tr>
        <w:trPr/>
        <w:tc>
          <w:tcPr>
            <w:tcW w:w="2105" w:type="dxa"/>
            <w:tcBorders/>
            <w:shd w:fill="CCEEFF" w:val="clear"/>
            <w:vAlign w:val="bottom"/>
          </w:tcPr>
          <w:p>
            <w:pPr>
              <w:pStyle w:val="TableContents"/>
              <w:bidi w:val="0"/>
              <w:spacing w:before="0" w:after="0"/>
              <w:ind w:left="144" w:right="0" w:hanging="144"/>
              <w:jc w:val="left"/>
              <w:rPr/>
            </w:pPr>
            <w:r>
              <w:rPr/>
              <w:t>March 1 -31, 2024</w:t>
            </w:r>
          </w:p>
        </w:tc>
        <w:tc>
          <w:tcPr>
            <w:tcW w:w="6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28"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left"/>
              <w:rPr/>
            </w:pPr>
            <w:r>
              <w:rPr/>
              <w:t>$</w:t>
            </w:r>
          </w:p>
        </w:tc>
        <w:tc>
          <w:tcPr>
            <w:tcW w:w="2092" w:type="dxa"/>
            <w:tcBorders/>
            <w:shd w:fill="CCEEFF" w:val="clear"/>
            <w:vAlign w:val="bottom"/>
          </w:tcPr>
          <w:p>
            <w:pPr>
              <w:pStyle w:val="TableContents"/>
              <w:bidi w:val="0"/>
              <w:spacing w:before="0" w:after="0"/>
              <w:jc w:val="right"/>
              <w:rPr/>
            </w:pPr>
            <w:r>
              <w:rPr/>
              <w:t>162.4</w:t>
            </w:r>
          </w:p>
        </w:tc>
        <w:tc>
          <w:tcPr>
            <w:tcW w:w="75" w:type="dxa"/>
            <w:tcBorders/>
            <w:shd w:fill="CCEEFF" w:val="clear"/>
            <w:vAlign w:val="bottom"/>
          </w:tcPr>
          <w:p>
            <w:pPr>
              <w:pStyle w:val="TableContents"/>
              <w:bidi w:val="0"/>
              <w:spacing w:before="0" w:after="283"/>
              <w:jc w:val="left"/>
              <w:rPr/>
            </w:pPr>
            <w:r>
              <w:rPr/>
              <w:t> </w:t>
            </w:r>
          </w:p>
        </w:tc>
      </w:tr>
      <w:tr>
        <w:trPr/>
        <w:tc>
          <w:tcPr>
            <w:tcW w:w="2105" w:type="dxa"/>
            <w:tcBorders/>
            <w:vAlign w:val="bottom"/>
          </w:tcPr>
          <w:p>
            <w:pPr>
              <w:pStyle w:val="TableContents"/>
              <w:bidi w:val="0"/>
              <w:spacing w:before="0" w:after="0"/>
              <w:ind w:left="288" w:right="0" w:hanging="144"/>
              <w:jc w:val="left"/>
              <w:rPr/>
            </w:pPr>
            <w:r>
              <w:rPr/>
              <w:t>Total</w:t>
            </w:r>
          </w:p>
        </w:tc>
        <w:tc>
          <w:tcPr>
            <w:tcW w:w="60" w:type="dxa"/>
            <w:tcBorders/>
            <w:vAlign w:val="bottom"/>
          </w:tcPr>
          <w:p>
            <w:pPr>
              <w:pStyle w:val="TableContents"/>
              <w:bidi w:val="0"/>
              <w:spacing w:before="0" w:after="283"/>
              <w:jc w:val="left"/>
              <w:rPr/>
            </w:pPr>
            <w:r>
              <w:rPr/>
              <w:t> </w:t>
            </w:r>
          </w:p>
        </w:tc>
        <w:tc>
          <w:tcPr>
            <w:tcW w:w="206" w:type="dxa"/>
            <w:tcBorders>
              <w:bottom w:val="double" w:sz="8" w:space="0" w:color="000000"/>
            </w:tcBorders>
            <w:tcMar>
              <w:bottom w:w="28" w:type="dxa"/>
            </w:tcMar>
            <w:vAlign w:val="bottom"/>
          </w:tcPr>
          <w:p>
            <w:pPr>
              <w:pStyle w:val="TableContents"/>
              <w:bidi w:val="0"/>
              <w:spacing w:before="0" w:after="283"/>
              <w:jc w:val="left"/>
              <w:rPr/>
            </w:pPr>
            <w:r>
              <w:rPr/>
              <w:t> </w:t>
            </w:r>
          </w:p>
        </w:tc>
        <w:tc>
          <w:tcPr>
            <w:tcW w:w="894" w:type="dxa"/>
            <w:tcBorders>
              <w:bottom w:val="double" w:sz="8"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0"/>
              <w:jc w:val="left"/>
              <w:rPr/>
            </w:pPr>
            <w:r>
              <w:rPr/>
              <w:t>$</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 w:type="dxa"/>
            <w:tcBorders>
              <w:bottom w:val="double" w:sz="8" w:space="0" w:color="000000"/>
            </w:tcBorders>
            <w:tcMar>
              <w:bottom w:w="28" w:type="dxa"/>
            </w:tcMar>
            <w:vAlign w:val="bottom"/>
          </w:tcPr>
          <w:p>
            <w:pPr>
              <w:pStyle w:val="TableContents"/>
              <w:bidi w:val="0"/>
              <w:spacing w:before="0" w:after="283"/>
              <w:jc w:val="left"/>
              <w:rPr/>
            </w:pPr>
            <w:r>
              <w:rPr/>
              <w:t> </w:t>
            </w:r>
          </w:p>
        </w:tc>
        <w:tc>
          <w:tcPr>
            <w:tcW w:w="1528" w:type="dxa"/>
            <w:tcBorders>
              <w:bottom w:val="double" w:sz="8"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092"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both"/>
              <w:rPr/>
            </w:pPr>
            <w:r>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 w:name="DEFAULTSUPONSENIORSECURIT"/>
      <w:bookmarkStart w:id="22" w:name="DEFAULTSUPONSENIORSECURIT"/>
      <w:bookmarkEnd w:id="22"/>
    </w:p>
    <w:tbl>
      <w:tblPr>
        <w:tblW w:w="5560" w:type="dxa"/>
        <w:jc w:val="left"/>
        <w:tblInd w:w="0" w:type="dxa"/>
        <w:tblLayout w:type="fixed"/>
        <w:tblCellMar>
          <w:top w:w="0" w:type="dxa"/>
          <w:left w:w="0" w:type="dxa"/>
          <w:bottom w:w="0" w:type="dxa"/>
          <w:right w:w="0" w:type="dxa"/>
        </w:tblCellMar>
      </w:tblPr>
      <w:tblGrid>
        <w:gridCol w:w="920"/>
        <w:gridCol w:w="4640"/>
      </w:tblGrid>
      <w:tr>
        <w:trPr/>
        <w:tc>
          <w:tcPr>
            <w:tcW w:w="920" w:type="dxa"/>
            <w:tcBorders/>
            <w:vAlign w:val="center"/>
          </w:tcPr>
          <w:p>
            <w:pPr>
              <w:pStyle w:val="TableContents"/>
              <w:bidi w:val="0"/>
              <w:spacing w:before="0" w:after="283"/>
              <w:jc w:val="left"/>
              <w:rPr>
                <w:b/>
              </w:rPr>
            </w:pPr>
            <w:r>
              <w:rPr>
                <w:b/>
              </w:rPr>
              <w:t>ITEM 3.</w:t>
            </w:r>
          </w:p>
        </w:tc>
        <w:tc>
          <w:tcPr>
            <w:tcW w:w="4640" w:type="dxa"/>
            <w:tcBorders/>
            <w:vAlign w:val="center"/>
          </w:tcPr>
          <w:p>
            <w:pPr>
              <w:pStyle w:val="TableContents"/>
              <w:bidi w:val="0"/>
              <w:spacing w:before="0" w:after="0"/>
              <w:jc w:val="left"/>
              <w:rPr>
                <w:b/>
                <w:u w:val="single"/>
              </w:rPr>
            </w:pPr>
            <w:r>
              <w:rPr>
                <w:b/>
                <w:u w:val="single"/>
              </w:rPr>
              <w:t>DEFAULTS UPON SENIOR SECURITIES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 w:name="MINESAFETYDISCLOSURES"/>
      <w:bookmarkStart w:id="24" w:name="MINESAFETYDISCLOSURES"/>
      <w:bookmarkEnd w:id="24"/>
    </w:p>
    <w:tbl>
      <w:tblPr>
        <w:tblW w:w="4435" w:type="dxa"/>
        <w:jc w:val="left"/>
        <w:tblInd w:w="0" w:type="dxa"/>
        <w:tblLayout w:type="fixed"/>
        <w:tblCellMar>
          <w:top w:w="0" w:type="dxa"/>
          <w:left w:w="0" w:type="dxa"/>
          <w:bottom w:w="0" w:type="dxa"/>
          <w:right w:w="0" w:type="dxa"/>
        </w:tblCellMar>
      </w:tblPr>
      <w:tblGrid>
        <w:gridCol w:w="920"/>
        <w:gridCol w:w="3515"/>
      </w:tblGrid>
      <w:tr>
        <w:trPr/>
        <w:tc>
          <w:tcPr>
            <w:tcW w:w="920" w:type="dxa"/>
            <w:tcBorders/>
            <w:vAlign w:val="center"/>
          </w:tcPr>
          <w:p>
            <w:pPr>
              <w:pStyle w:val="TableContents"/>
              <w:bidi w:val="0"/>
              <w:spacing w:before="0" w:after="283"/>
              <w:jc w:val="left"/>
              <w:rPr>
                <w:b/>
              </w:rPr>
            </w:pPr>
            <w:r>
              <w:rPr>
                <w:b/>
              </w:rPr>
              <w:t>ITEM 4.</w:t>
            </w:r>
          </w:p>
        </w:tc>
        <w:tc>
          <w:tcPr>
            <w:tcW w:w="3515" w:type="dxa"/>
            <w:tcBorders/>
            <w:vAlign w:val="center"/>
          </w:tcPr>
          <w:p>
            <w:pPr>
              <w:pStyle w:val="TableContents"/>
              <w:bidi w:val="0"/>
              <w:spacing w:before="0" w:after="0"/>
              <w:jc w:val="left"/>
              <w:rPr>
                <w:b/>
                <w:u w:val="single"/>
              </w:rPr>
            </w:pPr>
            <w:r>
              <w:rPr>
                <w:b/>
                <w:u w:val="single"/>
              </w:rPr>
              <w:t>MINE SAFETY DISCLOSURES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 w:name="OTHERINFORMATION"/>
      <w:bookmarkStart w:id="26" w:name="OTHERINFORMATION"/>
      <w:bookmarkEnd w:id="26"/>
    </w:p>
    <w:tbl>
      <w:tblPr>
        <w:tblW w:w="2988" w:type="dxa"/>
        <w:jc w:val="left"/>
        <w:tblInd w:w="0" w:type="dxa"/>
        <w:tblLayout w:type="fixed"/>
        <w:tblCellMar>
          <w:top w:w="0" w:type="dxa"/>
          <w:left w:w="0" w:type="dxa"/>
          <w:bottom w:w="0" w:type="dxa"/>
          <w:right w:w="0" w:type="dxa"/>
        </w:tblCellMar>
      </w:tblPr>
      <w:tblGrid>
        <w:gridCol w:w="38"/>
        <w:gridCol w:w="740"/>
        <w:gridCol w:w="2210"/>
      </w:tblGrid>
      <w:tr>
        <w:trPr/>
        <w:tc>
          <w:tcPr>
            <w:tcW w:w="38" w:type="dxa"/>
            <w:tcBorders/>
            <w:vAlign w:val="center"/>
          </w:tcPr>
          <w:p>
            <w:pPr>
              <w:pStyle w:val="TableContents"/>
              <w:bidi w:val="0"/>
              <w:spacing w:before="0" w:after="283"/>
              <w:jc w:val="left"/>
              <w:rPr/>
            </w:pPr>
            <w:r>
              <w:rPr/>
            </w:r>
          </w:p>
        </w:tc>
        <w:tc>
          <w:tcPr>
            <w:tcW w:w="740" w:type="dxa"/>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ITEM 5.</w:t>
            </w:r>
          </w:p>
        </w:tc>
        <w:tc>
          <w:tcPr>
            <w:tcW w:w="2210" w:type="dxa"/>
            <w:tcBorders/>
            <w:vAlign w:val="center"/>
          </w:tcPr>
          <w:p>
            <w:pPr>
              <w:pStyle w:val="TableContents"/>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OTHER INFORMATION</w:t>
            </w:r>
          </w:p>
        </w:tc>
      </w:tr>
    </w:tbl>
    <w:p>
      <w:pPr>
        <w:pStyle w:val="TextBody"/>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r>
    </w:p>
    <w:p>
      <w:pPr>
        <w:pStyle w:val="TextBody"/>
        <w:bidi w:val="0"/>
        <w:spacing w:before="0" w:after="0"/>
        <w:jc w:val="both"/>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Consulting Agreement with Joseph Y. Chang</w:t>
      </w:r>
    </w:p>
    <w:p>
      <w:pPr>
        <w:pStyle w:val="TextBody"/>
        <w:bidi w:val="0"/>
        <w:spacing w:before="0" w:after="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On March 28, 2024, we entered into a consulting agreement (the “Agreement”), effective as of March 30, 2024, with Joseph Y. Chang, who served as the Company’s Chief Scientific Officer until March 30, 2024. The Agreement provides that Dr. Chang will serve as a consultant for a four-year term and will receive consulting fees of $287,500 per year. Dr. Chang will also receive a payment of $500 each month for medical insurance, as well as certain other benefits. The Agreement provides that Dr. Chang will be bound by non-competition, non-solicitation, non-endorsement and non-disparagement covenants. The foregoing description of the Agreement is not intended to be complete and is qualified in its entirety by reference to the full text of the Agreement, which is filed as Exhibit 10.1 to this report.</w:t>
      </w:r>
    </w:p>
    <w:p>
      <w:pPr>
        <w:pStyle w:val="TextBody"/>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r>
    </w:p>
    <w:p>
      <w:pPr>
        <w:pStyle w:val="TextBody"/>
        <w:bidi w:val="0"/>
        <w:spacing w:before="0" w:after="0"/>
        <w:jc w:val="both"/>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Trading Plans</w:t>
      </w:r>
    </w:p>
    <w:p>
      <w:pPr>
        <w:pStyle w:val="TextBody"/>
        <w:bidi w:val="0"/>
        <w:spacing w:before="0" w:after="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None.</w:t>
      </w:r>
    </w:p>
    <w:p>
      <w:pPr>
        <w:pStyle w:val="TextBody"/>
        <w:bidi w:val="0"/>
        <w:spacing w:before="0" w:after="0"/>
        <w:jc w:val="both"/>
        <w:rPr>
          <w:rFonts w:ascii="Times New Roman" w:hAnsi="Times New Roman"/>
          <w:i w:val="false"/>
          <w:caps w:val="false"/>
          <w:smallCaps w:val="false"/>
          <w:sz w:val="20"/>
        </w:rPr>
      </w:pPr>
      <w:r>
        <w:rPr>
          <w:rFonts w:ascii="Times New Roman" w:hAnsi="Times New Roman"/>
          <w:i w:val="false"/>
          <w:caps w:val="false"/>
          <w:smallCaps w:val="false"/>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27" w:name="EXHIBITS"/>
      <w:bookmarkStart w:id="28" w:name="EXHIBITS"/>
      <w:bookmarkEnd w:id="28"/>
    </w:p>
    <w:tbl>
      <w:tblPr>
        <w:tblW w:w="1735" w:type="dxa"/>
        <w:jc w:val="left"/>
        <w:tblInd w:w="0" w:type="dxa"/>
        <w:tblLayout w:type="fixed"/>
        <w:tblCellMar>
          <w:top w:w="0" w:type="dxa"/>
          <w:left w:w="0" w:type="dxa"/>
          <w:bottom w:w="0" w:type="dxa"/>
          <w:right w:w="0" w:type="dxa"/>
        </w:tblCellMar>
      </w:tblPr>
      <w:tblGrid>
        <w:gridCol w:w="755"/>
        <w:gridCol w:w="980"/>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6.</w:t>
            </w:r>
          </w:p>
        </w:tc>
        <w:tc>
          <w:tcPr>
            <w:tcW w:w="980" w:type="dxa"/>
            <w:tcBorders/>
            <w:vAlign w:val="center"/>
          </w:tcPr>
          <w:p>
            <w:pPr>
              <w:pStyle w:val="TableContents"/>
              <w:bidi w:val="0"/>
              <w:spacing w:before="0" w:after="0"/>
              <w:jc w:val="left"/>
              <w:rPr>
                <w:rFonts w:ascii="Times New Roman;Times;serif" w:hAnsi="Times New Roman;Times;serif"/>
                <w:b/>
                <w:sz w:val="20"/>
                <w:u w:val="single"/>
              </w:rPr>
            </w:pPr>
            <w:r>
              <w:rPr>
                <w:rFonts w:ascii="Times New Roman;Times;serif" w:hAnsi="Times New Roman;Times;serif"/>
                <w:b/>
                <w:sz w:val="20"/>
                <w:u w:val="single"/>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134"/>
        <w:gridCol w:w="60"/>
        <w:gridCol w:w="9011"/>
      </w:tblGrid>
      <w:tr>
        <w:trPr/>
        <w:tc>
          <w:tcPr>
            <w:tcW w:w="113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Exhibits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Regulation S-K</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9011" w:type="dxa"/>
            <w:tcBorders>
              <w:bottom w:val="single" w:sz="12" w:space="0" w:color="000000"/>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Description</w:t>
            </w:r>
          </w:p>
        </w:tc>
      </w:tr>
      <w:tr>
        <w:trPr/>
        <w:tc>
          <w:tcPr>
            <w:tcW w:w="1134" w:type="dxa"/>
            <w:tcBorders/>
            <w:shd w:fill="CCEEFF" w:val="clear"/>
            <w:tcMar>
              <w:bottom w:w="0" w:type="dxa"/>
            </w:tcMar>
            <w:vAlign w:val="center"/>
          </w:tcPr>
          <w:p>
            <w:pPr>
              <w:pStyle w:val="TableContents"/>
              <w:bidi w:val="0"/>
              <w:spacing w:before="0" w:after="0"/>
              <w:jc w:val="left"/>
              <w:rPr/>
            </w:pPr>
            <w:hyperlink r:id="rId2">
              <w:r>
                <w:rPr>
                  <w:rStyle w:val="InternetLink"/>
                  <w:rFonts w:ascii="Times New Roman;Times;serif" w:hAnsi="Times New Roman;Times;serif"/>
                  <w:sz w:val="20"/>
                </w:rPr>
                <w:t>3.1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011" w:type="dxa"/>
            <w:tcBorders/>
            <w:shd w:fill="CCEE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Fifth Amended and Restated Bylaws of Nu Skin Enterprises, Inc. (incorporated by reference to Exhibit 3.1 to the Company’s Current Report on Form 8-K filed February 6, 2024).</w:t>
            </w:r>
          </w:p>
        </w:tc>
      </w:tr>
      <w:tr>
        <w:trPr/>
        <w:tc>
          <w:tcPr>
            <w:tcW w:w="1134" w:type="dxa"/>
            <w:tcBorders/>
            <w:tcMar>
              <w:bottom w:w="0" w:type="dxa"/>
            </w:tcMar>
            <w:vAlign w:val="center"/>
          </w:tcPr>
          <w:p>
            <w:pPr>
              <w:pStyle w:val="TableContents"/>
              <w:bidi w:val="0"/>
              <w:spacing w:before="0" w:after="0"/>
              <w:jc w:val="left"/>
              <w:rPr/>
            </w:pPr>
            <w:hyperlink w:anchor="ef20026282_ex10-1.htm">
              <w:r>
                <w:rPr>
                  <w:rStyle w:val="InternetLink"/>
                  <w:rFonts w:ascii="Times New Roman;Times;serif" w:hAnsi="Times New Roman;Times;serif"/>
                  <w:sz w:val="20"/>
                  <w:u w:val="single"/>
                </w:rPr>
                <w:t>10.1</w:t>
              </w:r>
            </w:hyperlink>
          </w:p>
        </w:tc>
        <w:tc>
          <w:tcPr>
            <w:tcW w:w="60" w:type="dxa"/>
            <w:tcBorders/>
            <w:tcMar>
              <w:bottom w:w="0" w:type="dxa"/>
            </w:tcMar>
            <w:vAlign w:val="center"/>
          </w:tcPr>
          <w:p>
            <w:pPr>
              <w:pStyle w:val="TableContents"/>
              <w:bidi w:val="0"/>
              <w:spacing w:before="0" w:after="283"/>
              <w:jc w:val="left"/>
              <w:rPr/>
            </w:pPr>
            <w:r>
              <w:rPr/>
              <w:t> </w:t>
            </w:r>
          </w:p>
        </w:tc>
        <w:tc>
          <w:tcPr>
            <w:tcW w:w="9011" w:type="dxa"/>
            <w:tcBorders/>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Consulting Agreement between the Company and Joseph Y. Chang, effective as of March 30, 2024.</w:t>
            </w:r>
          </w:p>
        </w:tc>
      </w:tr>
      <w:tr>
        <w:trPr/>
        <w:tc>
          <w:tcPr>
            <w:tcW w:w="1134" w:type="dxa"/>
            <w:tcBorders/>
            <w:shd w:fill="CCEEFF" w:val="clear"/>
            <w:tcMar>
              <w:bottom w:w="0" w:type="dxa"/>
            </w:tcMar>
            <w:vAlign w:val="center"/>
          </w:tcPr>
          <w:p>
            <w:pPr>
              <w:pStyle w:val="TableContents"/>
              <w:bidi w:val="0"/>
              <w:spacing w:before="0" w:after="0"/>
              <w:jc w:val="left"/>
              <w:rPr/>
            </w:pPr>
            <w:hyperlink w:anchor="ef20026282_ex31-1.htm">
              <w:r>
                <w:rPr>
                  <w:rStyle w:val="InternetLink"/>
                  <w:rFonts w:ascii="Times New Roman;Times;serif" w:hAnsi="Times New Roman;Times;serif"/>
                  <w:sz w:val="20"/>
                  <w:u w:val="single"/>
                </w:rPr>
                <w:t>31.1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011" w:type="dxa"/>
            <w:tcBorders/>
            <w:shd w:fill="CCEE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by Ryan S. Napierski, Chief Executive Officer, pursuant to Rule 13a-14(a) of the Securities Exchange Act of 1934, as adopted pursuant to Section 302 of the Sarbanes-Oxley Act of 2002.</w:t>
            </w:r>
          </w:p>
        </w:tc>
      </w:tr>
      <w:tr>
        <w:trPr/>
        <w:tc>
          <w:tcPr>
            <w:tcW w:w="1134" w:type="dxa"/>
            <w:tcBorders/>
            <w:tcMar>
              <w:bottom w:w="0" w:type="dxa"/>
            </w:tcMar>
            <w:vAlign w:val="center"/>
          </w:tcPr>
          <w:p>
            <w:pPr>
              <w:pStyle w:val="TableContents"/>
              <w:bidi w:val="0"/>
              <w:spacing w:before="0" w:after="0"/>
              <w:jc w:val="left"/>
              <w:rPr/>
            </w:pPr>
            <w:hyperlink w:anchor="ef20026282_ex31-2.htm">
              <w:r>
                <w:rPr>
                  <w:rStyle w:val="InternetLink"/>
                  <w:rFonts w:ascii="Times New Roman;Times;serif" w:hAnsi="Times New Roman;Times;serif"/>
                  <w:sz w:val="20"/>
                  <w:u w:val="single"/>
                </w:rPr>
                <w:t>31.2</w:t>
              </w:r>
            </w:hyperlink>
          </w:p>
        </w:tc>
        <w:tc>
          <w:tcPr>
            <w:tcW w:w="60" w:type="dxa"/>
            <w:tcBorders/>
            <w:tcMar>
              <w:bottom w:w="0" w:type="dxa"/>
            </w:tcMar>
            <w:vAlign w:val="center"/>
          </w:tcPr>
          <w:p>
            <w:pPr>
              <w:pStyle w:val="TableContents"/>
              <w:bidi w:val="0"/>
              <w:spacing w:before="0" w:after="283"/>
              <w:jc w:val="left"/>
              <w:rPr/>
            </w:pPr>
            <w:r>
              <w:rPr/>
              <w:t> </w:t>
            </w:r>
          </w:p>
        </w:tc>
        <w:tc>
          <w:tcPr>
            <w:tcW w:w="9011" w:type="dxa"/>
            <w:tcBorders/>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by James D. Thomas, Chief Financial Officer, pursuant to Rule 13a-14(a) of the Securities Exchange Act of 1934, as adopted pursuant to Section 302 of the Sarbanes-Oxley Act of 2002.</w:t>
            </w:r>
          </w:p>
        </w:tc>
      </w:tr>
      <w:tr>
        <w:trPr/>
        <w:tc>
          <w:tcPr>
            <w:tcW w:w="1134" w:type="dxa"/>
            <w:tcBorders/>
            <w:shd w:fill="CCEEFF" w:val="clear"/>
            <w:tcMar>
              <w:bottom w:w="0" w:type="dxa"/>
            </w:tcMar>
            <w:vAlign w:val="center"/>
          </w:tcPr>
          <w:p>
            <w:pPr>
              <w:pStyle w:val="TableContents"/>
              <w:bidi w:val="0"/>
              <w:spacing w:before="0" w:after="0"/>
              <w:jc w:val="left"/>
              <w:rPr/>
            </w:pPr>
            <w:hyperlink w:anchor="ef20026282_ex32-1.htm">
              <w:r>
                <w:rPr>
                  <w:rStyle w:val="InternetLink"/>
                  <w:rFonts w:ascii="Times New Roman;Times;serif" w:hAnsi="Times New Roman;Times;serif"/>
                  <w:sz w:val="20"/>
                  <w:u w:val="single"/>
                </w:rPr>
                <w:t>32.1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011" w:type="dxa"/>
            <w:tcBorders/>
            <w:shd w:fill="CCEE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by Ryan S. Napierski, Chief Executive Officer, pursuant to Section 1350, Chapter 63 of Title 18, United States Code, as adopted pursuant to Section 906 of the Sarbanes-Oxley Act of 2002.</w:t>
            </w:r>
          </w:p>
        </w:tc>
      </w:tr>
      <w:tr>
        <w:trPr/>
        <w:tc>
          <w:tcPr>
            <w:tcW w:w="1134" w:type="dxa"/>
            <w:tcBorders/>
            <w:tcMar>
              <w:bottom w:w="0" w:type="dxa"/>
            </w:tcMar>
            <w:vAlign w:val="center"/>
          </w:tcPr>
          <w:p>
            <w:pPr>
              <w:pStyle w:val="TableContents"/>
              <w:bidi w:val="0"/>
              <w:spacing w:before="0" w:after="0"/>
              <w:jc w:val="left"/>
              <w:rPr/>
            </w:pPr>
            <w:hyperlink w:anchor="ef20026282_ex32-2.htm">
              <w:r>
                <w:rPr>
                  <w:rStyle w:val="InternetLink"/>
                  <w:rFonts w:ascii="Times New Roman;Times;serif" w:hAnsi="Times New Roman;Times;serif"/>
                  <w:sz w:val="20"/>
                  <w:u w:val="single"/>
                </w:rPr>
                <w:t>32.2</w:t>
              </w:r>
            </w:hyperlink>
          </w:p>
        </w:tc>
        <w:tc>
          <w:tcPr>
            <w:tcW w:w="60" w:type="dxa"/>
            <w:tcBorders/>
            <w:tcMar>
              <w:bottom w:w="0" w:type="dxa"/>
            </w:tcMar>
            <w:vAlign w:val="center"/>
          </w:tcPr>
          <w:p>
            <w:pPr>
              <w:pStyle w:val="TableContents"/>
              <w:bidi w:val="0"/>
              <w:spacing w:before="0" w:after="283"/>
              <w:jc w:val="left"/>
              <w:rPr/>
            </w:pPr>
            <w:r>
              <w:rPr/>
              <w:t> </w:t>
            </w:r>
          </w:p>
        </w:tc>
        <w:tc>
          <w:tcPr>
            <w:tcW w:w="9011" w:type="dxa"/>
            <w:tcBorders/>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by James D. Thomas, Chief Financial Officer, pursuant to Section 1350, Chapter 63 of Title 18, United States Code, as adopted pursuant to Section 906 of the Sarbanes-Oxley Act of 2002.</w:t>
            </w:r>
          </w:p>
        </w:tc>
      </w:tr>
      <w:tr>
        <w:trPr/>
        <w:tc>
          <w:tcPr>
            <w:tcW w:w="113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1" w:type="dxa"/>
            <w:tcBorders/>
            <w:shd w:fill="CCEE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1134"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101.SCH</w:t>
            </w:r>
          </w:p>
        </w:tc>
        <w:tc>
          <w:tcPr>
            <w:tcW w:w="60" w:type="dxa"/>
            <w:tcBorders/>
            <w:tcMar>
              <w:bottom w:w="0" w:type="dxa"/>
            </w:tcMar>
            <w:vAlign w:val="center"/>
          </w:tcPr>
          <w:p>
            <w:pPr>
              <w:pStyle w:val="TableContents"/>
              <w:bidi w:val="0"/>
              <w:spacing w:before="0" w:after="283"/>
              <w:jc w:val="left"/>
              <w:rPr/>
            </w:pPr>
            <w:r>
              <w:rPr/>
              <w:t> </w:t>
            </w:r>
          </w:p>
        </w:tc>
        <w:tc>
          <w:tcPr>
            <w:tcW w:w="9011"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13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134"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101.DEF</w:t>
            </w:r>
          </w:p>
        </w:tc>
        <w:tc>
          <w:tcPr>
            <w:tcW w:w="60" w:type="dxa"/>
            <w:tcBorders/>
            <w:tcMar>
              <w:bottom w:w="0" w:type="dxa"/>
            </w:tcMar>
            <w:vAlign w:val="center"/>
          </w:tcPr>
          <w:p>
            <w:pPr>
              <w:pStyle w:val="TableContents"/>
              <w:bidi w:val="0"/>
              <w:spacing w:before="0" w:after="283"/>
              <w:jc w:val="left"/>
              <w:rPr/>
            </w:pPr>
            <w:r>
              <w:rPr/>
              <w:t> </w:t>
            </w:r>
          </w:p>
        </w:tc>
        <w:tc>
          <w:tcPr>
            <w:tcW w:w="9011"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13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134"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101.PRE</w:t>
            </w:r>
          </w:p>
        </w:tc>
        <w:tc>
          <w:tcPr>
            <w:tcW w:w="60" w:type="dxa"/>
            <w:tcBorders/>
            <w:tcMar>
              <w:bottom w:w="0" w:type="dxa"/>
            </w:tcMar>
            <w:vAlign w:val="center"/>
          </w:tcPr>
          <w:p>
            <w:pPr>
              <w:pStyle w:val="TableContents"/>
              <w:bidi w:val="0"/>
              <w:spacing w:before="0" w:after="283"/>
              <w:jc w:val="left"/>
              <w:rPr/>
            </w:pPr>
            <w:r>
              <w:rPr/>
              <w:t> </w:t>
            </w:r>
          </w:p>
        </w:tc>
        <w:tc>
          <w:tcPr>
            <w:tcW w:w="9011"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13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Times;serif" w:hAnsi="Times New Roman;Times;serif"/>
          <w:b/>
          <w:color w:val="000000"/>
          <w:sz w:val="20"/>
          <w:shd w:fill="FFFFFF" w:val="clear"/>
        </w:rPr>
      </w:pPr>
      <w:bookmarkStart w:id="29" w:name="SIGNATURE"/>
      <w:bookmarkEnd w:id="29"/>
      <w:r>
        <w:rPr>
          <w:rFonts w:ascii="Times New Roman;Times;serif" w:hAnsi="Times New Roman;Times;serif"/>
          <w:b/>
          <w:color w:val="000000"/>
          <w:sz w:val="20"/>
          <w:shd w:fill="FFFFFF" w:val="clear"/>
        </w:rPr>
        <w:t>SIGNATURE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May 8, 2024</w:t>
      </w:r>
    </w:p>
    <w:p>
      <w:pPr>
        <w:pStyle w:val="TextBody"/>
        <w:bidi w:val="0"/>
        <w:spacing w:before="0" w:after="0"/>
        <w:jc w:val="left"/>
        <w:rPr/>
      </w:pPr>
      <w:r>
        <w:rPr/>
      </w:r>
    </w:p>
    <w:tbl>
      <w:tblPr>
        <w:tblW w:w="5050" w:type="dxa"/>
        <w:jc w:val="left"/>
        <w:tblInd w:w="0" w:type="dxa"/>
        <w:tblLayout w:type="fixed"/>
        <w:tblCellMar>
          <w:top w:w="0" w:type="dxa"/>
          <w:left w:w="0" w:type="dxa"/>
          <w:bottom w:w="0" w:type="dxa"/>
          <w:right w:w="0" w:type="dxa"/>
        </w:tblCellMar>
      </w:tblPr>
      <w:tblGrid>
        <w:gridCol w:w="335"/>
        <w:gridCol w:w="4640"/>
        <w:gridCol w:w="75"/>
      </w:tblGrid>
      <w:tr>
        <w:trPr/>
        <w:tc>
          <w:tcPr>
            <w:tcW w:w="5050" w:type="dxa"/>
            <w:gridSpan w:val="3"/>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NU SKIN ENTERPRISES, INC.</w:t>
            </w:r>
          </w:p>
        </w:tc>
      </w:tr>
      <w:tr>
        <w:trPr/>
        <w:tc>
          <w:tcPr>
            <w:tcW w:w="335" w:type="dxa"/>
            <w:tcBorders/>
            <w:vAlign w:val="center"/>
          </w:tcPr>
          <w:p>
            <w:pPr>
              <w:pStyle w:val="TableContents"/>
              <w:bidi w:val="0"/>
              <w:spacing w:before="0" w:after="283"/>
              <w:jc w:val="left"/>
              <w:rPr/>
            </w:pPr>
            <w:r>
              <w:rPr/>
              <w:t> </w:t>
            </w:r>
          </w:p>
        </w:tc>
        <w:tc>
          <w:tcPr>
            <w:tcW w:w="4715" w:type="dxa"/>
            <w:gridSpan w:val="2"/>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By:</w:t>
            </w:r>
          </w:p>
        </w:tc>
        <w:tc>
          <w:tcPr>
            <w:tcW w:w="464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James D. Thomas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James D. Thomas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(Duly Authorized Officer and Principal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16"/>
          <w:shd w:fill="FFFFFF" w:val="clear"/>
        </w:rPr>
      </w:pPr>
      <w:r>
        <w:rPr>
          <w:rFonts w:ascii="Times New Roman;Times;serif" w:hAnsi="Times New Roman;Times;serif"/>
          <w:color w:val="000000"/>
          <w:sz w:val="16"/>
          <w:shd w:fill="FFFFFF" w:val="clear"/>
        </w:rPr>
        <w:t>30</w:t>
      </w:r>
    </w:p>
    <w:p>
      <w:pPr>
        <w:pStyle w:val="HorizontalLine"/>
        <w:bidi w:val="0"/>
        <w:jc w:val="left"/>
        <w:rPr/>
      </w:pPr>
      <w:r>
        <w:rPr/>
      </w:r>
    </w:p>
    <w:p>
      <w:pPr>
        <w:pStyle w:val="HorizontalLine"/>
        <w:pBdr>
          <w:bottom w:val="single" w:sz="12" w:space="0" w:color="808080"/>
        </w:pBdr>
        <w:bidi w:val="0"/>
        <w:jc w:val="left"/>
        <w:rPr/>
      </w:pPr>
      <w:r>
        <w:rPr/>
      </w:r>
      <w:bookmarkStart w:id="30" w:name="ef20026282_ex10-1.htm"/>
      <w:bookmarkStart w:id="31" w:name="ksef20026282_ex101"/>
      <w:bookmarkStart w:id="32" w:name="ef20026282_ex10-1.htm"/>
      <w:bookmarkStart w:id="33" w:name="ksef20026282_ex101"/>
      <w:bookmarkEnd w:id="32"/>
      <w:bookmarkEnd w:id="3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CONSULTING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Consulting Agreement (this “Agreement”) is entered into effective as of March 30, 2024 (the “Effective Date”), by and between Nu Skin Enterprises, Inc., a Delaware corporation (the “Company”) and Joseph Y. Chang, an individual (“Consultant”). The Company and Employee are sometimes hereinafter referred to as “party” or “parties.”</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RECITALS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eb31cabeeb484784ba54840ef1f3cbb0"/>
      <w:bookmarkStart w:id="35" w:name="zeb31cabeeb484784ba54840ef1f3cbb0"/>
      <w:bookmarkEnd w:id="3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pPr>
            <w:r>
              <w:rPr/>
              <w:t>A.</w:t>
            </w:r>
          </w:p>
        </w:tc>
        <w:tc>
          <w:tcPr>
            <w:tcW w:w="9930" w:type="dxa"/>
            <w:tcBorders/>
            <w:vAlign w:val="center"/>
          </w:tcPr>
          <w:p>
            <w:pPr>
              <w:pStyle w:val="TableContents"/>
              <w:bidi w:val="0"/>
              <w:spacing w:before="0" w:after="0"/>
              <w:jc w:val="both"/>
              <w:rPr/>
            </w:pPr>
            <w:r>
              <w:rPr/>
              <w:t>Prior to the termination of Consultant’s employment, Consultant served as an Executive of the Company, pursuant to an employment agreement dated October 15, 2020 (the “Employment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24a274b000154949921a82f343c0799d"/>
      <w:bookmarkStart w:id="37" w:name="z24a274b000154949921a82f343c0799d"/>
      <w:bookmarkEnd w:id="37"/>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pPr>
            <w:r>
              <w:rPr/>
              <w:t>B.</w:t>
            </w:r>
          </w:p>
        </w:tc>
        <w:tc>
          <w:tcPr>
            <w:tcW w:w="9945" w:type="dxa"/>
            <w:tcBorders/>
            <w:vAlign w:val="center"/>
          </w:tcPr>
          <w:p>
            <w:pPr>
              <w:pStyle w:val="TableContents"/>
              <w:bidi w:val="0"/>
              <w:spacing w:before="0" w:after="0"/>
              <w:jc w:val="both"/>
              <w:rPr/>
            </w:pPr>
            <w:r>
              <w:rPr/>
              <w:t>The Company desires to obtain certain rights related to Consultant and to retain Consultant as an independent contractor to provide certain consulting services to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306845e069694b63a09ec5fe6294e0d3"/>
      <w:bookmarkStart w:id="39" w:name="z306845e069694b63a09ec5fe6294e0d3"/>
      <w:bookmarkEnd w:id="39"/>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pPr>
            <w:r>
              <w:rPr/>
              <w:t>C.</w:t>
            </w:r>
          </w:p>
        </w:tc>
        <w:tc>
          <w:tcPr>
            <w:tcW w:w="9945" w:type="dxa"/>
            <w:tcBorders/>
            <w:vAlign w:val="center"/>
          </w:tcPr>
          <w:p>
            <w:pPr>
              <w:pStyle w:val="TableContents"/>
              <w:bidi w:val="0"/>
              <w:spacing w:before="0" w:after="0"/>
              <w:jc w:val="both"/>
              <w:rPr/>
            </w:pPr>
            <w:r>
              <w:rPr/>
              <w:t>The Consultant is willing to grant such rights and provide such services pursuant to the terms and conditions set forth in this Agreement.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consideration of the mutual promises and covenants set forth herein, and for other good and valuable consideration, the receipt, adequacy, and legal sufficiency of which are hereby acknowledged, the parties hereby mutually agree as follows: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1.</w:t>
      </w:r>
      <w:r>
        <w:rPr>
          <w:rFonts w:ascii="Times New Roman" w:hAnsi="Times New Roman"/>
          <w:color w:val="000000"/>
          <w:sz w:val="20"/>
        </w:rPr>
        <w:t>          </w:t>
      </w:r>
      <w:r>
        <w:rPr>
          <w:rFonts w:ascii="Times New Roman" w:hAnsi="Times New Roman"/>
          <w:i/>
          <w:color w:val="000000"/>
          <w:sz w:val="20"/>
        </w:rPr>
        <w:t xml:space="preserve">Term. </w:t>
      </w:r>
      <w:r>
        <w:rPr>
          <w:rFonts w:ascii="Times New Roman" w:hAnsi="Times New Roman"/>
          <w:color w:val="000000"/>
          <w:sz w:val="20"/>
        </w:rPr>
        <w:t>This Agreement shall commence on the Effective Date and shall continue for four years, unless otherwise terminated or extended (the “Consulting Term”). Either party may terminate this Agreement immediately if the other party commits a material breach of this Agreement. Upon termination of this Agreement, all obligations of the parties hereunder shall terminate except that (i) each party shall remain liable for any breach by such party of any covenant or obligation under this Agreement prior to the termination of this Agreement, and (ii) Consultant shall remain obligated and liable under the provisions of Sections 7.5, 7.7, 8, 9, 10, 12, 18 and 19, which shall survive the expiration or termination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2.</w:t>
      </w:r>
      <w:r>
        <w:rPr>
          <w:rFonts w:ascii="Times New Roman" w:hAnsi="Times New Roman"/>
          <w:color w:val="000000"/>
          <w:sz w:val="20"/>
        </w:rPr>
        <w:t>          </w:t>
      </w:r>
      <w:r>
        <w:rPr>
          <w:rFonts w:ascii="Times New Roman" w:hAnsi="Times New Roman"/>
          <w:i/>
          <w:color w:val="000000"/>
          <w:sz w:val="20"/>
        </w:rPr>
        <w:t>Engagement.</w:t>
      </w:r>
      <w:r>
        <w:rPr>
          <w:rFonts w:ascii="Times New Roman" w:hAnsi="Times New Roman"/>
          <w:color w:val="000000"/>
          <w:sz w:val="20"/>
        </w:rPr>
        <w:t>  The Company hereby engages Consultant as an independent contractor to provide certain rights and consulting services as set forth in Section 3 below (the “Rights and Consulting Services”) to the Company and its affiliated entities during the Consulting Term, and Consultant hereby accepts such engagement on the terms and conditions set forth herein.  Consultant may provide the Rights and Consulting Services as an individual in his own name, or through a business entity established for that purpose.  In the event that Consultant provides the Rights and Consulting Services through a business entity, then both Consultant and the business entity shall be subject to all of the obligations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3.</w:t>
      </w:r>
      <w:r>
        <w:rPr>
          <w:rFonts w:ascii="Times New Roman" w:hAnsi="Times New Roman"/>
          <w:color w:val="000000"/>
          <w:sz w:val="20"/>
        </w:rPr>
        <w:t>          </w:t>
      </w:r>
      <w:r>
        <w:rPr>
          <w:rFonts w:ascii="Times New Roman" w:hAnsi="Times New Roman"/>
          <w:i/>
          <w:color w:val="000000"/>
          <w:sz w:val="20"/>
        </w:rPr>
        <w:t>Rights and Consulting Services.</w:t>
      </w:r>
      <w:r>
        <w:rPr>
          <w:rFonts w:ascii="Times New Roman" w:hAnsi="Times New Roman"/>
          <w:color w:val="000000"/>
          <w:sz w:val="20"/>
        </w:rPr>
        <w:t>  During the Consulting Term, Consultant shall provide the following Rights and Consulting Services to the Company: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19af18dc187a40c49dcd3cdc1804dcc9"/>
      <w:bookmarkStart w:id="41" w:name="z19af18dc187a40c49dcd3cdc1804dcc9"/>
      <w:bookmarkEnd w:id="41"/>
    </w:p>
    <w:tbl>
      <w:tblPr>
        <w:tblW w:w="4585" w:type="dxa"/>
        <w:jc w:val="left"/>
        <w:tblInd w:w="0" w:type="dxa"/>
        <w:tblLayout w:type="fixed"/>
        <w:tblCellMar>
          <w:top w:w="0" w:type="dxa"/>
          <w:left w:w="0" w:type="dxa"/>
          <w:bottom w:w="0" w:type="dxa"/>
          <w:right w:w="0" w:type="dxa"/>
        </w:tblCellMar>
      </w:tblPr>
      <w:tblGrid>
        <w:gridCol w:w="200"/>
        <w:gridCol w:w="4385"/>
      </w:tblGrid>
      <w:tr>
        <w:trPr/>
        <w:tc>
          <w:tcPr>
            <w:tcW w:w="200" w:type="dxa"/>
            <w:tcBorders/>
            <w:vAlign w:val="center"/>
          </w:tcPr>
          <w:p>
            <w:pPr>
              <w:pStyle w:val="TableContents"/>
              <w:bidi w:val="0"/>
              <w:spacing w:before="0" w:after="0"/>
              <w:ind w:left="1440" w:right="0" w:hanging="0"/>
              <w:jc w:val="left"/>
              <w:rPr/>
            </w:pPr>
            <w:r>
              <w:rPr/>
              <w:t>a.</w:t>
            </w:r>
          </w:p>
        </w:tc>
        <w:tc>
          <w:tcPr>
            <w:tcW w:w="4385" w:type="dxa"/>
            <w:tcBorders/>
            <w:vAlign w:val="center"/>
          </w:tcPr>
          <w:p>
            <w:pPr>
              <w:pStyle w:val="TableContents"/>
              <w:bidi w:val="0"/>
              <w:spacing w:before="0" w:after="0"/>
              <w:jc w:val="both"/>
              <w:rPr/>
            </w:pPr>
            <w:r>
              <w:rPr/>
              <w:t>Consulting services up to 10 hours per month;</w:t>
            </w:r>
          </w:p>
        </w:tc>
      </w:tr>
    </w:tbl>
    <w:p>
      <w:pPr>
        <w:pStyle w:val="Normal"/>
        <w:bidi w:val="0"/>
        <w:spacing w:before="0" w:after="0"/>
        <w:jc w:val="left"/>
        <w:rPr>
          <w:sz w:val="4"/>
          <w:szCs w:val="4"/>
        </w:rPr>
      </w:pPr>
      <w:r>
        <w:rPr>
          <w:sz w:val="4"/>
          <w:szCs w:val="4"/>
        </w:rPr>
      </w:r>
      <w:bookmarkStart w:id="42" w:name="z5afb66b629a04e2c9ce0c2d2882cc495"/>
      <w:bookmarkStart w:id="43" w:name="z5afb66b629a04e2c9ce0c2d2882cc495"/>
      <w:bookmarkEnd w:id="43"/>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1440" w:right="0" w:hanging="0"/>
              <w:jc w:val="left"/>
              <w:rPr/>
            </w:pPr>
            <w:r>
              <w:rPr/>
              <w:t>b.</w:t>
            </w:r>
          </w:p>
        </w:tc>
        <w:tc>
          <w:tcPr>
            <w:tcW w:w="9990" w:type="dxa"/>
            <w:tcBorders/>
            <w:vAlign w:val="center"/>
          </w:tcPr>
          <w:p>
            <w:pPr>
              <w:pStyle w:val="TableContents"/>
              <w:bidi w:val="0"/>
              <w:spacing w:before="0" w:after="0"/>
              <w:jc w:val="both"/>
              <w:rPr/>
            </w:pPr>
            <w:r>
              <w:rPr/>
              <w:t>Service as a member (and Chairman as long as such role is mutually agreeable) of the Company’s Scientific Advisory Board (the standard duties of members of such Board are set forth in Exhibit A);</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4" w:name="z6cfb93f7bb3d4aabb5cd1b6b885c9013"/>
      <w:bookmarkStart w:id="45" w:name="z6cfb93f7bb3d4aabb5cd1b6b885c9013"/>
      <w:bookmarkEnd w:id="45"/>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ind w:left="1440" w:right="0" w:hanging="0"/>
              <w:jc w:val="left"/>
              <w:rPr/>
            </w:pPr>
            <w:r>
              <w:rPr/>
              <w:t>c.</w:t>
            </w:r>
          </w:p>
        </w:tc>
        <w:tc>
          <w:tcPr>
            <w:tcW w:w="10005" w:type="dxa"/>
            <w:tcBorders/>
            <w:vAlign w:val="center"/>
          </w:tcPr>
          <w:p>
            <w:pPr>
              <w:pStyle w:val="TableContents"/>
              <w:bidi w:val="0"/>
              <w:spacing w:before="0" w:after="0"/>
              <w:jc w:val="both"/>
              <w:rPr/>
            </w:pPr>
            <w:r>
              <w:rPr/>
              <w:t>Appearances and speaking engagements up to 10 days per year that comply with the Company’s approved product claims and scripts; and</w:t>
            </w:r>
          </w:p>
        </w:tc>
      </w:tr>
    </w:tbl>
    <w:p>
      <w:pPr>
        <w:pStyle w:val="Normal"/>
        <w:bidi w:val="0"/>
        <w:spacing w:before="0" w:after="0"/>
        <w:jc w:val="left"/>
        <w:rPr>
          <w:sz w:val="4"/>
          <w:szCs w:val="4"/>
        </w:rPr>
      </w:pPr>
      <w:r>
        <w:rPr>
          <w:sz w:val="4"/>
          <w:szCs w:val="4"/>
        </w:rPr>
      </w:r>
      <w:bookmarkStart w:id="46" w:name="zb2fba08c66bd42db89fd4f593bd8ee0a"/>
      <w:bookmarkStart w:id="47" w:name="zb2fba08c66bd42db89fd4f593bd8ee0a"/>
      <w:bookmarkEnd w:id="47"/>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1440" w:right="0" w:hanging="0"/>
              <w:jc w:val="left"/>
              <w:rPr/>
            </w:pPr>
            <w:r>
              <w:rPr/>
              <w:t>d.</w:t>
            </w:r>
          </w:p>
        </w:tc>
        <w:tc>
          <w:tcPr>
            <w:tcW w:w="9990" w:type="dxa"/>
            <w:tcBorders/>
            <w:vAlign w:val="center"/>
          </w:tcPr>
          <w:p>
            <w:pPr>
              <w:pStyle w:val="TableContents"/>
              <w:bidi w:val="0"/>
              <w:spacing w:before="0" w:after="0"/>
              <w:jc w:val="both"/>
              <w:rPr/>
            </w:pPr>
            <w:r>
              <w:rPr/>
              <w:t>Full rights and authorization to use Consultant’s name and likeness for the Company’s marketing and other purposes.</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Consultant and the Company anticipate that Consultant’s services will be less than 20% of a full-time employee’s services.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4.</w:t>
      </w:r>
      <w:r>
        <w:rPr>
          <w:rFonts w:ascii="Times New Roman" w:hAnsi="Times New Roman"/>
          <w:color w:val="000000"/>
          <w:sz w:val="20"/>
        </w:rPr>
        <w:t>          </w:t>
      </w:r>
      <w:r>
        <w:rPr>
          <w:rFonts w:ascii="Times New Roman" w:hAnsi="Times New Roman"/>
          <w:i/>
          <w:color w:val="000000"/>
          <w:sz w:val="20"/>
        </w:rPr>
        <w:t>Consulting Fees and Other Compensation</w:t>
      </w:r>
      <w:r>
        <w:rPr>
          <w:rFonts w:ascii="Times New Roman" w:hAnsi="Times New Roman"/>
          <w:color w:val="000000"/>
          <w:sz w:val="20"/>
        </w:rPr>
        <w:t>. During the Consulting Term, the Company agrees to pay Consultant an annual consulting fee of $287,500 less any severance payments pursuant to Section 3 or 6 of the Executive Severance Policy (other than Accrued Rights, as defined in such policy) paid to Consultant during the year (the “Consulting Fee”). The Consulting Fee shall be paid in equal monthly installments. Consultant also is entitled to the following during the Consulting Term: (1) continued access and use of his office at the Company’s corporate headquarters; (2) continued use of the Company’s Red Ledges and Entrada properties pursuant to the same terms and conditions as the Company’s executive officers; and (3) a monthly payment by the Company to Consultant in the amount of $500.00 for supplemental Medicare or health insurance premiums. Consultant understands and agrees that he has the sole responsibility to contract for such insurance coverage, comply with the requirements of the insurance coverage, and pay all monthly premiums in the manner required by the insurer.  Consultant is not entitled to any additional benefits or perquisites, including but not limited to health insurance, life insurance, pension or retirement, vacation pay or sick pay, and Consultant acknowledges that the Company will not cover any medical expenses resulting from work-related injuries.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5.</w:t>
      </w:r>
      <w:r>
        <w:rPr>
          <w:rFonts w:ascii="Times New Roman" w:hAnsi="Times New Roman"/>
          <w:color w:val="000000"/>
          <w:sz w:val="20"/>
        </w:rPr>
        <w:t>          </w:t>
      </w:r>
      <w:r>
        <w:rPr>
          <w:rFonts w:ascii="Times New Roman" w:hAnsi="Times New Roman"/>
          <w:i/>
          <w:color w:val="000000"/>
          <w:sz w:val="20"/>
        </w:rPr>
        <w:t>Reimbursement of Expenses</w:t>
      </w:r>
      <w:r>
        <w:rPr>
          <w:rFonts w:ascii="Times New Roman" w:hAnsi="Times New Roman"/>
          <w:color w:val="000000"/>
          <w:sz w:val="20"/>
        </w:rPr>
        <w:t>. The Company agrees to reimburse Consultant for, or pay directly, reasonable expenses Consultant incurs in connection with the services provided hereunder, provided such expenses have been approved in advance by the Company and Consultant submits adequate documentation for such expenses including receipts, the purpose of the expense, and the names of all persons who participated in any meetings or meals covered by such expenses.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6.</w:t>
      </w:r>
      <w:r>
        <w:rPr>
          <w:rFonts w:ascii="Times New Roman" w:hAnsi="Times New Roman"/>
          <w:color w:val="000000"/>
          <w:sz w:val="20"/>
        </w:rPr>
        <w:t>          </w:t>
      </w:r>
      <w:r>
        <w:rPr>
          <w:rFonts w:ascii="Times New Roman" w:hAnsi="Times New Roman"/>
          <w:i/>
          <w:color w:val="000000"/>
          <w:sz w:val="20"/>
        </w:rPr>
        <w:t>Independent Contractor</w:t>
      </w:r>
      <w:r>
        <w:rPr>
          <w:rFonts w:ascii="Times New Roman" w:hAnsi="Times New Roman"/>
          <w:color w:val="000000"/>
          <w:sz w:val="20"/>
        </w:rPr>
        <w:t>. Consultant acknowledges that he is an independent contractor and the Company shall not be responsible to compensate Consultant for, or make any withholdings such as, FICA, worker’s compensation, unemployment taxes, or any other similar taxes or fees associated with employment.  Under no circumstances is Consultant to be considered an employee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7.          Restrictive Covenants.</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i/>
          <w:color w:val="000000"/>
          <w:sz w:val="20"/>
        </w:rPr>
        <w:t>7.1</w:t>
      </w:r>
      <w:r>
        <w:rPr>
          <w:rFonts w:ascii="Times New Roman" w:hAnsi="Times New Roman"/>
          <w:color w:val="000000"/>
          <w:sz w:val="20"/>
        </w:rPr>
        <w:t xml:space="preserve">        </w:t>
      </w:r>
      <w:r>
        <w:rPr>
          <w:rFonts w:ascii="Times New Roman" w:hAnsi="Times New Roman"/>
          <w:i/>
          <w:color w:val="000000"/>
          <w:sz w:val="20"/>
        </w:rPr>
        <w:t>Definitions</w:t>
      </w:r>
      <w:r>
        <w:rPr>
          <w:rFonts w:ascii="Times New Roman" w:hAnsi="Times New Roman"/>
          <w:color w:val="000000"/>
          <w:sz w:val="20"/>
        </w:rPr>
        <w:t>.  For purposes of this Agreement, the following defined terms shall have the meaning indicated:</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           “Competitive Business” shall mean Direct Selling.</w:t>
      </w:r>
    </w:p>
    <w:p>
      <w:pPr>
        <w:pStyle w:val="TextBody"/>
        <w:bidi w:val="0"/>
        <w:spacing w:before="0" w:after="0"/>
        <w:ind w:left="720" w:right="0" w:firstLine="720"/>
        <w:jc w:val="both"/>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(ii)          “Competing Entity” shall mean any entity or person that is engaged, directly or indirectly, in a Competitive Business.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(iii)        “Direct Selling” means (i) the multi-level marketing channel through which products and services are marketed directly to consumers through a sales force of independent contractors (including, without limitation, through person to person contact, via the telephone or through the Internet) who receive rewards or commissions based upon a compensation plan which contemplates a genealogical sales force of multiple levels, with such commissions paid for by (A) sales of products and services by such contractor, and/or (B) sales of products and services by other independent contractors in such contractor’s genealogical downline, and (ii)  a home-based business opportunity focused on selling products directly to the consumers.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(iv)        “Territory” shall mean those countries where the Company, or any of its affiliates, engages in business or sells products or plans to conduct business.  This definition is intended to reflect the Consultant’s knowledge about the operations and activities of the Company as a whole.</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i/>
          <w:color w:val="000000"/>
          <w:sz w:val="20"/>
        </w:rPr>
        <w:t>7.2</w:t>
      </w:r>
      <w:r>
        <w:rPr>
          <w:rFonts w:ascii="Times New Roman" w:hAnsi="Times New Roman"/>
          <w:color w:val="000000"/>
          <w:sz w:val="20"/>
        </w:rPr>
        <w:t xml:space="preserve">        </w:t>
      </w:r>
      <w:r>
        <w:rPr>
          <w:rFonts w:ascii="Times New Roman" w:hAnsi="Times New Roman"/>
          <w:i/>
          <w:color w:val="000000"/>
          <w:sz w:val="20"/>
        </w:rPr>
        <w:t>Non-Competition</w:t>
      </w:r>
      <w:r>
        <w:rPr>
          <w:rFonts w:ascii="Times New Roman" w:hAnsi="Times New Roman"/>
          <w:color w:val="000000"/>
          <w:sz w:val="20"/>
        </w:rPr>
        <w:t>. Consultant shall not in any way, directly or indirectly, at any time during the Consulting Term, within the Territory: (i) engage in any Competitive Business; (ii) undertake to plan or organize any Competing Entity; (iii) become associated or connected in any way with, participate in, be employed by, render services to, or consult with, any Competing Entity (nor shall Consultant discuss the possibility of employment or other relationship with any Competing Entity); or (iv) own any direct or indirect interest in any other Competing Entity; provided, however, this limitation shall not be interpreted as prohibiting Consultant from investing in a Competing Entity that is a public company so long as such investment does not exceed 1% of the outstanding securities of such public company and Consultant discloses in writing to the Company (a) the name of the public company and the number of shares which he owns, and (b) any material change in Consultant’s ownership. This Section 7.2 shall not restrict the right of the Employee to practice law in violation of any applicable rules of professional conduct.</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i/>
          <w:color w:val="000000"/>
          <w:sz w:val="20"/>
        </w:rPr>
        <w:t>7.3</w:t>
      </w:r>
      <w:r>
        <w:rPr>
          <w:rFonts w:ascii="Times New Roman" w:hAnsi="Times New Roman"/>
          <w:color w:val="000000"/>
          <w:sz w:val="20"/>
        </w:rPr>
        <w:t xml:space="preserve">        </w:t>
      </w:r>
      <w:r>
        <w:rPr>
          <w:rFonts w:ascii="Times New Roman" w:hAnsi="Times New Roman"/>
          <w:i/>
          <w:color w:val="000000"/>
          <w:sz w:val="20"/>
        </w:rPr>
        <w:t>Non-Solicitation</w:t>
      </w:r>
      <w:r>
        <w:rPr>
          <w:rFonts w:ascii="Times New Roman" w:hAnsi="Times New Roman"/>
          <w:color w:val="000000"/>
          <w:sz w:val="20"/>
        </w:rPr>
        <w:t>. Consultant shall not in any way, directly or indirectly, at any time during the Consulting Term solicit any employee, independent contractor, consultant or other person or entity in the employment or service of the Company or any of its respective subsidiaries or affiliates (each of the preceding, a “Group Company”), at the time of such solicitation, in any case to (i) terminate such employment or service, and/or (ii) accept employment, or enter into any consulting or other service arrangement, with any person or entity other than a Group Company.</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i/>
          <w:color w:val="000000"/>
          <w:sz w:val="20"/>
        </w:rPr>
        <w:t>7.4</w:t>
      </w:r>
      <w:r>
        <w:rPr>
          <w:rFonts w:ascii="Times New Roman" w:hAnsi="Times New Roman"/>
          <w:color w:val="000000"/>
          <w:sz w:val="20"/>
        </w:rPr>
        <w:t xml:space="preserve">      </w:t>
      </w:r>
      <w:r>
        <w:rPr>
          <w:rFonts w:ascii="Times New Roman" w:hAnsi="Times New Roman"/>
          <w:i/>
          <w:color w:val="000000"/>
          <w:sz w:val="20"/>
        </w:rPr>
        <w:t>Non-Endorsement</w:t>
      </w:r>
      <w:r>
        <w:rPr>
          <w:rFonts w:ascii="Times New Roman" w:hAnsi="Times New Roman"/>
          <w:color w:val="000000"/>
          <w:sz w:val="20"/>
        </w:rPr>
        <w:t>. Consultant shall not in any way, directly or indirectly, at any time during the Consulting Term endorse any Competitive Business or competing product, promote or speak on behalf of any Competitive Business or competing product, or allow Consultant’s name or likeness to be used in any way to promote any Competitive Business or competing product.</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i/>
          <w:color w:val="000000"/>
          <w:sz w:val="20"/>
        </w:rPr>
        <w:t>7.5</w:t>
      </w:r>
      <w:r>
        <w:rPr>
          <w:rFonts w:ascii="Times New Roman" w:hAnsi="Times New Roman"/>
          <w:color w:val="000000"/>
          <w:sz w:val="20"/>
        </w:rPr>
        <w:t xml:space="preserve">       </w:t>
      </w:r>
      <w:r>
        <w:rPr>
          <w:rFonts w:ascii="Times New Roman" w:hAnsi="Times New Roman"/>
          <w:i/>
          <w:color w:val="000000"/>
          <w:sz w:val="20"/>
        </w:rPr>
        <w:t>Non-Disparagement</w:t>
      </w:r>
      <w:r>
        <w:rPr>
          <w:rFonts w:ascii="Times New Roman" w:hAnsi="Times New Roman"/>
          <w:color w:val="000000"/>
          <w:sz w:val="20"/>
        </w:rPr>
        <w:t>. Consultant agrees that Consultant will not at any time make any maliciously untrue defamatory, libelous, or slanderous statements—meaning that the statement was made with knowledge of its falsity or with reckless disregard for its truth or falsity—about the Company, its products, or sales force. Nothing in this Agreement shall in any way limit Consultant from: (1) fully cooperating with any governmental investigation or inquiry or from responding fully and truthfully to any questions or information requests made by any government agency or entity in connection with such government investigation or inquiry, or from testifying truthfully or otherwise responding to legal process; or (2) personally, or helping others in, exercising protected rights, or reporting possible violations of law or regulation to any governmental agency or entity, including but not limited to the United States Department of Justice, the Securities and Exchange Commission, the NLRB, and any other agency, or making other disclosures that are protected under the NLRA or any whistleblower provisions of law or regulation.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i/>
          <w:color w:val="000000"/>
          <w:sz w:val="20"/>
        </w:rPr>
        <w:t>7.6</w:t>
      </w:r>
      <w:r>
        <w:rPr>
          <w:rFonts w:ascii="Times New Roman" w:hAnsi="Times New Roman"/>
          <w:color w:val="000000"/>
          <w:sz w:val="20"/>
        </w:rPr>
        <w:t xml:space="preserve">        </w:t>
      </w:r>
      <w:r>
        <w:rPr>
          <w:rFonts w:ascii="Times New Roman" w:hAnsi="Times New Roman"/>
          <w:i/>
          <w:color w:val="000000"/>
          <w:sz w:val="20"/>
        </w:rPr>
        <w:t>Acknowledgement</w:t>
      </w:r>
      <w:r>
        <w:rPr>
          <w:rFonts w:ascii="Times New Roman" w:hAnsi="Times New Roman"/>
          <w:color w:val="000000"/>
          <w:sz w:val="20"/>
        </w:rPr>
        <w:t>. Consultant acknowledges that the Rights and Consulting Services are critical and vital to the on-going success of the Company’s operation in each product category and in each geographic location in which the Company operates.  In addition, the Consultant acknowledges that Consultant’s experience with, and knowledge of the Company’s operations as a whole constitute skills and knowledge which are special, unique and extraordinary with respect to Consultant’s service to the Company.  Therefore, Consultant acknowledges that the non-competition, non-solicitation, non-endorsement and non-disparagement covenants hereunder are fair, reasonable and necessary to protect the legitimate business interests of the Company.  These covenants, and each of them, should be construed to apply to the fullest extent possible by applicable laws. Consultant has carefully read this Agreement, has consulted with independent legal counsel to the extent Consultant deems appropriate, and has given careful consideration to the restraints imposed by this Agreement. Consultant acknowledges that the terms of this Agreement are enforceable regardless of the manner in which this Agreement is terminated.</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i/>
          <w:color w:val="000000"/>
          <w:sz w:val="20"/>
        </w:rPr>
        <w:t>7.7</w:t>
      </w:r>
      <w:r>
        <w:rPr>
          <w:rFonts w:ascii="Times New Roman" w:hAnsi="Times New Roman"/>
          <w:color w:val="000000"/>
          <w:sz w:val="20"/>
        </w:rPr>
        <w:t xml:space="preserve">         </w:t>
      </w:r>
      <w:r>
        <w:rPr>
          <w:rFonts w:ascii="Times New Roman" w:hAnsi="Times New Roman"/>
          <w:i/>
          <w:color w:val="000000"/>
          <w:sz w:val="20"/>
        </w:rPr>
        <w:t>Remedies</w:t>
      </w:r>
      <w:r>
        <w:rPr>
          <w:rFonts w:ascii="Times New Roman" w:hAnsi="Times New Roman"/>
          <w:color w:val="000000"/>
          <w:sz w:val="20"/>
        </w:rPr>
        <w:t>. Consultant acknowledges: (a) that compliance with the restrictive covenants contained in this Section 7 are necessary to protect the business and goodwill of the Company or its affiliates and (b) that a breach of the restrictive covenants contained in this Section 7 may result in irreparable and continuing damage to the Company or its affiliates, for which money damages may not provide adequate relief.  Consequently, Consultant agrees that, in the event that Consultant breaches or threatens to breach these restrictive covenants, the Company or its affiliates shall be entitled to (1) a preliminary or permanent injunction, without bond, to prevent the continuation of harm and (2) money damages insofar as they can be determined with respect to a material breach.  Nothing in this Agreement shall be construed to prohibit the Company or its affiliates from also pursuing any other remedy, the parties having agreed that all remedies are cumulative.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8.</w:t>
      </w:r>
      <w:r>
        <w:rPr>
          <w:rFonts w:ascii="Times New Roman" w:hAnsi="Times New Roman"/>
          <w:color w:val="000000"/>
          <w:sz w:val="20"/>
        </w:rPr>
        <w:t>          </w:t>
      </w:r>
      <w:r>
        <w:rPr>
          <w:rFonts w:ascii="Times New Roman" w:hAnsi="Times New Roman"/>
          <w:i/>
          <w:color w:val="000000"/>
          <w:sz w:val="20"/>
        </w:rPr>
        <w:t>Work Product</w:t>
      </w:r>
      <w:r>
        <w:rPr>
          <w:rFonts w:ascii="Times New Roman" w:hAnsi="Times New Roman"/>
          <w:color w:val="000000"/>
          <w:sz w:val="20"/>
        </w:rPr>
        <w:t>. The Company shall have the sole proprietary interest in the work product produced by Consultant pursuant to the Rights and Consulting Services provided under this Agreement (the “Work Product”) in accordance with applicable laws.  Further, Consultant expressly assigns to the Company or its designee all rights, title and interest in and to all copyrights, patents, trade secrets, improvements, inventions, sketches, models and all documents related thereto, innovations, business plans, designs and any other Work Product developed by Consultant in connection with the Rights and Consulting Services in accordance with applicable laws. Consultant further agrees to promptly disclose any and all Work Product to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9.</w:t>
      </w:r>
      <w:r>
        <w:rPr>
          <w:rFonts w:ascii="Times New Roman" w:hAnsi="Times New Roman"/>
          <w:color w:val="000000"/>
          <w:sz w:val="20"/>
        </w:rPr>
        <w:t>          </w:t>
      </w:r>
      <w:r>
        <w:rPr>
          <w:rFonts w:ascii="Times New Roman" w:hAnsi="Times New Roman"/>
          <w:i/>
          <w:color w:val="000000"/>
          <w:sz w:val="20"/>
        </w:rPr>
        <w:t>Confidential Information</w:t>
      </w:r>
      <w:r>
        <w:rPr>
          <w:rFonts w:ascii="Times New Roman" w:hAnsi="Times New Roman"/>
          <w:color w:val="000000"/>
          <w:sz w:val="20"/>
        </w:rPr>
        <w:t>. Consultant acknowledges that during the Consulting Term he may develop, learn and be exposed to information about the Company and its business, including but not limited to formulas, business plan and processes, financial data, vendor lists, product and marketing plans, sales force lists and other trade secrets which information is secret and confidential (“Confidential Information”). Consultant agrees that Consultant will not at any time during or after the Consulting Term, without the express written consent of the Company, disclose, copy, retain, remove from the Company’s premises or make any use of such Confidential Information except as may be required in the course of the Rights and Consulting Services.  At the end of the Consulting Term, or at the earlier request of the Company, Consultant shall promptly return to the Company all Confidential Information. Consultant expressly assigns to the Company or its designee all rights, title and interest in all Confidential Information. Notwithstanding the foregoing, for purposes of this Agreement, Confidential Information does not include any information which is currently in the public domain or which hereafter becomes public knowledge in a way that does not involve a breach of an obligation of confidentiality.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10.</w:t>
      </w:r>
      <w:r>
        <w:rPr>
          <w:rFonts w:ascii="Times New Roman" w:hAnsi="Times New Roman"/>
          <w:color w:val="000000"/>
          <w:sz w:val="20"/>
        </w:rPr>
        <w:t>          </w:t>
      </w:r>
      <w:r>
        <w:rPr>
          <w:rFonts w:ascii="Times New Roman" w:hAnsi="Times New Roman"/>
          <w:i/>
          <w:color w:val="000000"/>
          <w:sz w:val="20"/>
        </w:rPr>
        <w:t>Cooperation</w:t>
      </w:r>
      <w:r>
        <w:rPr>
          <w:rFonts w:ascii="Times New Roman" w:hAnsi="Times New Roman"/>
          <w:color w:val="000000"/>
          <w:sz w:val="20"/>
        </w:rPr>
        <w:t>.  Consultant agrees that, upon the Company’s reasonable request, Consultant in good faith and using diligent efforts shall cooperate and assist the Company in any dispute, controversy or litigation in which the Company may be involved including, without limitation, Consultant’s participation in any court or arbitration proceedings, the giving of testimony, the signing of affidavits or such other personal cooperation as counsel for the Company may reasonably request.  Such cooperation shall not be unreasonably burdensome without reasonable compensation.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11.</w:t>
      </w:r>
      <w:r>
        <w:rPr>
          <w:rFonts w:ascii="Times New Roman" w:hAnsi="Times New Roman"/>
          <w:color w:val="000000"/>
          <w:sz w:val="20"/>
        </w:rPr>
        <w:t xml:space="preserve">         </w:t>
      </w:r>
      <w:r>
        <w:rPr>
          <w:rFonts w:ascii="Times New Roman" w:hAnsi="Times New Roman"/>
          <w:i/>
          <w:color w:val="000000"/>
          <w:sz w:val="20"/>
        </w:rPr>
        <w:t>Compliance with Laws</w:t>
      </w:r>
      <w:r>
        <w:rPr>
          <w:rFonts w:ascii="Times New Roman" w:hAnsi="Times New Roman"/>
          <w:color w:val="000000"/>
          <w:sz w:val="20"/>
        </w:rPr>
        <w:t>.  Consultant agrees to comply with all applicable laws in the performance of his obligations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12.</w:t>
      </w:r>
      <w:r>
        <w:rPr>
          <w:rFonts w:ascii="Times New Roman" w:hAnsi="Times New Roman"/>
          <w:color w:val="000000"/>
          <w:sz w:val="20"/>
        </w:rPr>
        <w:t xml:space="preserve">         </w:t>
      </w:r>
      <w:r>
        <w:rPr>
          <w:rFonts w:ascii="Times New Roman" w:hAnsi="Times New Roman"/>
          <w:i/>
          <w:color w:val="000000"/>
          <w:sz w:val="20"/>
        </w:rPr>
        <w:t>Indemnification</w:t>
      </w:r>
      <w:r>
        <w:rPr>
          <w:rFonts w:ascii="Times New Roman" w:hAnsi="Times New Roman"/>
          <w:color w:val="000000"/>
          <w:sz w:val="20"/>
        </w:rPr>
        <w:t>. Consultant shall indemnify and hold the Company and its affiliates, and each of their respective officers, directors, employees and agents, harmless from any and all liabilities, damages, judgments, or expenses, including reasonable attorney’s fees, resulting or arising from, directly or indirectly, any acts or omissions by Consultant. Consultant further agrees to indemnify and hold each of the Company and its affiliates, and each of their officers, directors, employees and agents, harmless from any withholding tax, unemployment payments, fees, penalties, expenses, assessments or other liabilities that the Company or its affiliates may incur as a result of any determination or claim that Consultant is an employee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13.</w:t>
      </w:r>
      <w:r>
        <w:rPr>
          <w:rFonts w:ascii="Times New Roman" w:hAnsi="Times New Roman"/>
          <w:color w:val="000000"/>
          <w:sz w:val="20"/>
        </w:rPr>
        <w:t xml:space="preserve">         </w:t>
      </w:r>
      <w:r>
        <w:rPr>
          <w:rFonts w:ascii="Times New Roman" w:hAnsi="Times New Roman"/>
          <w:i/>
          <w:color w:val="000000"/>
          <w:sz w:val="20"/>
        </w:rPr>
        <w:t>Assignment</w:t>
      </w:r>
      <w:r>
        <w:rPr>
          <w:rFonts w:ascii="Times New Roman" w:hAnsi="Times New Roman"/>
          <w:color w:val="000000"/>
          <w:sz w:val="20"/>
        </w:rPr>
        <w:t>. This Agreement is for the unique personal services of Consultant and is not assignable or delegable in whole or in part by Consultant or the Company without the prior written consent of the other party; provided the Company may assign its rights and obligations hereunder to an Affiliate of the Company or in connection with the sale of its business, and provided Consultant may perform his personal services through a business entity established for those purposes.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14.</w:t>
      </w:r>
      <w:r>
        <w:rPr>
          <w:rFonts w:ascii="Times New Roman" w:hAnsi="Times New Roman"/>
          <w:color w:val="000000"/>
          <w:sz w:val="20"/>
        </w:rPr>
        <w:t xml:space="preserve">        </w:t>
      </w:r>
      <w:r>
        <w:rPr>
          <w:rFonts w:ascii="Times New Roman" w:hAnsi="Times New Roman"/>
          <w:i/>
          <w:color w:val="000000"/>
          <w:sz w:val="20"/>
        </w:rPr>
        <w:t>Waiver and Modification</w:t>
      </w:r>
      <w:r>
        <w:rPr>
          <w:rFonts w:ascii="Times New Roman" w:hAnsi="Times New Roman"/>
          <w:color w:val="000000"/>
          <w:sz w:val="20"/>
        </w:rPr>
        <w:t>.  Any waiver, change, modification, extension, discharge, or amendment of any provision of this Agreement shall be effective only if in writing in a document that specifically refers to this Agreement and the party against whom enforcement of such waiver, change, modification, extension, discharge, or amendment is sought signs such document.  The waiver by either party of a breach of any provision of this Agreement by the other party shall not operate or be construed as a waiver of any other provision hereof or any subsequent breach of the same provision.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15.</w:t>
      </w:r>
      <w:r>
        <w:rPr>
          <w:rFonts w:ascii="Times New Roman" w:hAnsi="Times New Roman"/>
          <w:color w:val="000000"/>
          <w:sz w:val="20"/>
        </w:rPr>
        <w:t xml:space="preserve">        </w:t>
      </w:r>
      <w:r>
        <w:rPr>
          <w:rFonts w:ascii="Times New Roman" w:hAnsi="Times New Roman"/>
          <w:i/>
          <w:color w:val="000000"/>
          <w:sz w:val="20"/>
        </w:rPr>
        <w:t>Severability, Interpretation</w:t>
      </w:r>
      <w:r>
        <w:rPr>
          <w:rFonts w:ascii="Times New Roman" w:hAnsi="Times New Roman"/>
          <w:color w:val="000000"/>
          <w:sz w:val="20"/>
        </w:rPr>
        <w:t>.  If any provision of this Agreement is found to be unenforceable by a court of competent jurisdiction, the remaining provisions hereof shall nevertheless remain in full force and effect.  Notwithstanding any rule or maxim of construction to the contrary, any ambiguity or uncertainty in this Agreement shall not be construed against either of the parties based upon authorship of any of the provisions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16.</w:t>
      </w:r>
      <w:r>
        <w:rPr>
          <w:rFonts w:ascii="Times New Roman" w:hAnsi="Times New Roman"/>
          <w:color w:val="000000"/>
          <w:sz w:val="20"/>
        </w:rPr>
        <w:t xml:space="preserve">        </w:t>
      </w:r>
      <w:r>
        <w:rPr>
          <w:rFonts w:ascii="Times New Roman" w:hAnsi="Times New Roman"/>
          <w:i/>
          <w:color w:val="000000"/>
          <w:sz w:val="20"/>
        </w:rPr>
        <w:t>Reformation</w:t>
      </w:r>
      <w:r>
        <w:rPr>
          <w:rFonts w:ascii="Times New Roman" w:hAnsi="Times New Roman"/>
          <w:color w:val="000000"/>
          <w:sz w:val="20"/>
        </w:rPr>
        <w:t>. The Company intends to restrict the activities of the Consultant only to the extent necessary for the protection of the legitimate business interests of the Company and its affiliates.  It is the intention and agreement of the parties that all of the terms and conditions hereof be enforced to the fullest extent permitted by law.  If the provisions of this Agreement should ever be deemed or adjudged by a court of competent jurisdiction to exceed the time or geographical limitations permitted by applicable law, then such provisions shall nevertheless be valid and enforceable to the extent necessary for such protection as determined by such court, and such provisions will be reformed to the maximum time or geographic limitations as determined by such court.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17.</w:t>
      </w:r>
      <w:r>
        <w:rPr>
          <w:rFonts w:ascii="Times New Roman" w:hAnsi="Times New Roman"/>
          <w:color w:val="000000"/>
          <w:sz w:val="20"/>
        </w:rPr>
        <w:t xml:space="preserve">         </w:t>
      </w:r>
      <w:r>
        <w:rPr>
          <w:rFonts w:ascii="Times New Roman" w:hAnsi="Times New Roman"/>
          <w:i/>
          <w:color w:val="000000"/>
          <w:sz w:val="20"/>
        </w:rPr>
        <w:t>Notices</w:t>
      </w:r>
      <w:r>
        <w:rPr>
          <w:rFonts w:ascii="Times New Roman" w:hAnsi="Times New Roman"/>
          <w:color w:val="000000"/>
          <w:sz w:val="20"/>
        </w:rPr>
        <w:t>.  Any notice required or permitted hereunder to be given by either party shall be in writing and shall be delivered personally, by certified or registered mail, postage prepaid, by private overnight courier, by facsimile (with a conforming copy sent by overnight mail), or by electronic mail to an address or fax number set forth below or to such other address as either party may designate from time to time according to the terms of this Section 17:</w:t>
      </w:r>
    </w:p>
    <w:p>
      <w:pPr>
        <w:pStyle w:val="TextBody"/>
        <w:bidi w:val="0"/>
        <w:spacing w:before="0" w:after="0"/>
        <w:jc w:val="left"/>
        <w:rPr>
          <w:color w:val="000000"/>
        </w:rPr>
      </w:pPr>
      <w:r>
        <w:rPr>
          <w:color w:val="000000"/>
        </w:rPr>
        <w:t> </w:t>
      </w:r>
    </w:p>
    <w:p>
      <w:pPr>
        <w:pStyle w:val="Normal"/>
        <w:bidi w:val="0"/>
        <w:spacing w:before="0" w:after="0"/>
        <w:ind w:left="720" w:right="0" w:hanging="0"/>
        <w:jc w:val="left"/>
        <w:rPr>
          <w:sz w:val="4"/>
          <w:szCs w:val="4"/>
        </w:rPr>
      </w:pPr>
      <w:r>
        <w:rPr>
          <w:sz w:val="4"/>
          <w:szCs w:val="4"/>
        </w:rPr>
      </w:r>
      <w:bookmarkStart w:id="48" w:name="z538d6fa9e56544ca93ab60e68f2d8475"/>
      <w:bookmarkStart w:id="49" w:name="z538d6fa9e56544ca93ab60e68f2d8475"/>
      <w:bookmarkEnd w:id="49"/>
    </w:p>
    <w:tbl>
      <w:tblPr>
        <w:tblW w:w="5710" w:type="dxa"/>
        <w:jc w:val="left"/>
        <w:tblInd w:w="720" w:type="dxa"/>
        <w:tblLayout w:type="fixed"/>
        <w:tblCellMar>
          <w:top w:w="0" w:type="dxa"/>
          <w:left w:w="0" w:type="dxa"/>
          <w:bottom w:w="0" w:type="dxa"/>
          <w:right w:w="0" w:type="dxa"/>
        </w:tblCellMar>
      </w:tblPr>
      <w:tblGrid>
        <w:gridCol w:w="1805"/>
        <w:gridCol w:w="3905"/>
      </w:tblGrid>
      <w:tr>
        <w:trPr/>
        <w:tc>
          <w:tcPr>
            <w:tcW w:w="1805" w:type="dxa"/>
            <w:tcBorders/>
            <w:vAlign w:val="center"/>
          </w:tcPr>
          <w:p>
            <w:pPr>
              <w:pStyle w:val="TableContents"/>
              <w:bidi w:val="0"/>
              <w:spacing w:before="0" w:after="0"/>
              <w:jc w:val="both"/>
              <w:rPr/>
            </w:pPr>
            <w:r>
              <w:rPr/>
              <w:t>If to Consultant:</w:t>
            </w:r>
          </w:p>
        </w:tc>
        <w:tc>
          <w:tcPr>
            <w:tcW w:w="3905" w:type="dxa"/>
            <w:tcBorders/>
            <w:vAlign w:val="center"/>
          </w:tcPr>
          <w:p>
            <w:pPr>
              <w:pStyle w:val="TableContents"/>
              <w:bidi w:val="0"/>
              <w:spacing w:before="0" w:after="0"/>
              <w:jc w:val="both"/>
              <w:rPr/>
            </w:pPr>
            <w:r>
              <w:rPr/>
              <w:t>Joseph Chang</w:t>
            </w:r>
          </w:p>
        </w:tc>
      </w:tr>
      <w:tr>
        <w:trPr/>
        <w:tc>
          <w:tcPr>
            <w:tcW w:w="180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both"/>
              <w:rPr>
                <w:b/>
                <w:i/>
              </w:rPr>
            </w:pPr>
            <w:r>
              <w:rPr>
                <w:b/>
                <w:i/>
              </w:rPr>
              <w:t>[Personal contact information redacted]</w:t>
            </w:r>
          </w:p>
        </w:tc>
      </w:tr>
      <w:tr>
        <w:trPr/>
        <w:tc>
          <w:tcPr>
            <w:tcW w:w="1805" w:type="dxa"/>
            <w:tcBorders/>
            <w:vAlign w:val="center"/>
          </w:tcPr>
          <w:p>
            <w:pPr>
              <w:pStyle w:val="TableContents"/>
              <w:bidi w:val="0"/>
              <w:spacing w:before="0" w:after="0"/>
              <w:jc w:val="both"/>
              <w:rPr/>
            </w:pPr>
            <w:r>
              <w:rPr/>
              <w:t>If to the Company:</w:t>
            </w:r>
          </w:p>
        </w:tc>
        <w:tc>
          <w:tcPr>
            <w:tcW w:w="3905" w:type="dxa"/>
            <w:tcBorders/>
            <w:vAlign w:val="center"/>
          </w:tcPr>
          <w:p>
            <w:pPr>
              <w:pStyle w:val="TableContents"/>
              <w:bidi w:val="0"/>
              <w:spacing w:before="0" w:after="0"/>
              <w:jc w:val="both"/>
              <w:rPr/>
            </w:pPr>
            <w:r>
              <w:rPr/>
              <w:t>Nu Skin Enterprises, Inc.</w:t>
            </w:r>
          </w:p>
        </w:tc>
      </w:tr>
      <w:tr>
        <w:trPr/>
        <w:tc>
          <w:tcPr>
            <w:tcW w:w="180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both"/>
              <w:rPr/>
            </w:pPr>
            <w:r>
              <w:rPr/>
              <w:t>c/o General Counsel</w:t>
            </w:r>
          </w:p>
        </w:tc>
      </w:tr>
      <w:tr>
        <w:trPr/>
        <w:tc>
          <w:tcPr>
            <w:tcW w:w="180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both"/>
              <w:rPr/>
            </w:pPr>
            <w:r>
              <w:rPr/>
              <w:t>75 W Center Street</w:t>
            </w:r>
          </w:p>
        </w:tc>
      </w:tr>
      <w:tr>
        <w:trPr/>
        <w:tc>
          <w:tcPr>
            <w:tcW w:w="180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both"/>
              <w:rPr/>
            </w:pPr>
            <w:r>
              <w:rPr/>
              <w:t>Provo, Utah 84601</w:t>
            </w:r>
          </w:p>
        </w:tc>
      </w:tr>
      <w:tr>
        <w:trPr/>
        <w:tc>
          <w:tcPr>
            <w:tcW w:w="180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both"/>
              <w:rPr>
                <w:b/>
                <w:i/>
              </w:rPr>
            </w:pPr>
            <w:r>
              <w:rPr>
                <w:b/>
                <w:i/>
              </w:rPr>
              <w:t>[Personal contact information redacted]</w:t>
            </w:r>
          </w:p>
        </w:tc>
      </w:tr>
    </w:tbl>
    <w:p>
      <w:pPr>
        <w:pStyle w:val="TextBody"/>
        <w:bidi w:val="0"/>
        <w:spacing w:before="0" w:after="0"/>
        <w:ind w:left="720" w:right="0" w:hanging="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notice delivered personally shall be effective upon receipt.  A notice sent by facsimile shall be effective the date delivered, provided confirmation of delivery is obtained and a copy is delivered by overnight mail, 24 hours after the dispatch thereof.  A notice delivered by private overnight courier or electronic mail shall be effective on the day delivered or if delivered by mail, the third day after the day of mailing.  Either party may change its address for purposes of this Section 17 by providing the other party notice as required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18.</w:t>
      </w:r>
      <w:r>
        <w:rPr>
          <w:rFonts w:ascii="Times New Roman" w:hAnsi="Times New Roman"/>
          <w:color w:val="000000"/>
          <w:sz w:val="20"/>
        </w:rPr>
        <w:t xml:space="preserve">        </w:t>
      </w:r>
      <w:r>
        <w:rPr>
          <w:rFonts w:ascii="Times New Roman" w:hAnsi="Times New Roman"/>
          <w:i/>
          <w:color w:val="000000"/>
          <w:sz w:val="20"/>
        </w:rPr>
        <w:t>Attorneys’ Fees</w:t>
      </w:r>
      <w:r>
        <w:rPr>
          <w:rFonts w:ascii="Times New Roman" w:hAnsi="Times New Roman"/>
          <w:color w:val="000000"/>
          <w:sz w:val="20"/>
        </w:rPr>
        <w:t>.  In the event of any action at law or in equity to enforce or interpret the terms of this Agreement, the prevailing party shall be entitled to reasonable attorneys’ fees and court costs in addition to any other relief to which such party may be entitled.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19.</w:t>
      </w:r>
      <w:r>
        <w:rPr>
          <w:rFonts w:ascii="Times New Roman" w:hAnsi="Times New Roman"/>
          <w:color w:val="000000"/>
          <w:sz w:val="20"/>
        </w:rPr>
        <w:t xml:space="preserve">        </w:t>
      </w:r>
      <w:r>
        <w:rPr>
          <w:rFonts w:ascii="Times New Roman" w:hAnsi="Times New Roman"/>
          <w:i/>
          <w:color w:val="000000"/>
          <w:sz w:val="20"/>
        </w:rPr>
        <w:t>Governing Law, Jurisdiction and Venue</w:t>
      </w:r>
      <w:r>
        <w:rPr>
          <w:rFonts w:ascii="Times New Roman" w:hAnsi="Times New Roman"/>
          <w:color w:val="000000"/>
          <w:sz w:val="20"/>
        </w:rPr>
        <w:t>.  The validity of this Agreement and the interpretation and performance of all of its terms shall be governed by the substantive and procedural laws of the State of Utah.  Each party expressly submits and consents to exclusive personal jurisdiction and venue in the courts of Utah County, State of Utah or in any Federal District Court in Utah.</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i/>
          <w:color w:val="000000"/>
          <w:sz w:val="20"/>
        </w:rPr>
        <w:t>20.</w:t>
      </w:r>
      <w:r>
        <w:rPr>
          <w:rFonts w:ascii="Times New Roman" w:hAnsi="Times New Roman"/>
          <w:color w:val="000000"/>
          <w:sz w:val="20"/>
        </w:rPr>
        <w:t xml:space="preserve">        </w:t>
      </w:r>
      <w:r>
        <w:rPr>
          <w:rFonts w:ascii="Times New Roman" w:hAnsi="Times New Roman"/>
          <w:i/>
          <w:color w:val="000000"/>
          <w:sz w:val="20"/>
        </w:rPr>
        <w:t>Entire Agreement</w:t>
      </w:r>
      <w:r>
        <w:rPr>
          <w:rFonts w:ascii="Times New Roman" w:hAnsi="Times New Roman"/>
          <w:color w:val="000000"/>
          <w:sz w:val="20"/>
        </w:rPr>
        <w:t>.  This Consulting Agreement, together with the Separation and Release Agreement entered into pursuant to the Company’s Executive Severance Policy, the Employment Agreement and the Key-Employee Covenants Agreement as amended by the Employment Agreement, and the agreements related to the Company’s deferred compensation plan, the Company’s 401(k) plan, and Consultant’s stock option agreements (the “Sole Agreements”), constitute the entire and sole agreements between Consultant and the Company and its affiliates.  No other promises or agreements have been made to Consultant or the Company other than those contained in the Sole Agreements. Consultant and the Company acknowledge that they have read this Consulting Agreement carefully, fully understand the meaning of the terms of this Consulting Agreement, and are signing this Consulting Agreement knowingly and voluntarily.  This Consulting Agreement may not be modified except by an instrument in writing signed by all of the parties hereto.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WITNESS WHEREOF, the parties have executed this Agreement effective as of the date first set forth above.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 w:name="zd91c75b552ea48f2acd7ebe7b9ec6056"/>
      <w:bookmarkStart w:id="51" w:name="zd91c75b552ea48f2acd7ebe7b9ec6056"/>
      <w:bookmarkEnd w:id="51"/>
    </w:p>
    <w:tbl>
      <w:tblPr>
        <w:tblW w:w="3283" w:type="dxa"/>
        <w:jc w:val="left"/>
        <w:tblInd w:w="0" w:type="dxa"/>
        <w:tblLayout w:type="fixed"/>
        <w:tblCellMar>
          <w:top w:w="0" w:type="dxa"/>
          <w:left w:w="0" w:type="dxa"/>
          <w:bottom w:w="0" w:type="dxa"/>
          <w:right w:w="0" w:type="dxa"/>
        </w:tblCellMar>
      </w:tblPr>
      <w:tblGrid>
        <w:gridCol w:w="23"/>
        <w:gridCol w:w="3260"/>
      </w:tblGrid>
      <w:tr>
        <w:trPr/>
        <w:tc>
          <w:tcPr>
            <w:tcW w:w="23" w:type="dxa"/>
            <w:tcBorders/>
            <w:vAlign w:val="center"/>
          </w:tcPr>
          <w:p>
            <w:pPr>
              <w:pStyle w:val="TableContents"/>
              <w:bidi w:val="0"/>
              <w:spacing w:before="0" w:after="283"/>
              <w:jc w:val="left"/>
              <w:rPr/>
            </w:pPr>
            <w:r>
              <w:rPr/>
            </w:r>
          </w:p>
        </w:tc>
        <w:tc>
          <w:tcPr>
            <w:tcW w:w="3260" w:type="dxa"/>
            <w:tcBorders/>
            <w:vAlign w:val="center"/>
          </w:tcPr>
          <w:p>
            <w:pPr>
              <w:pStyle w:val="TableContents"/>
              <w:bidi w:val="0"/>
              <w:spacing w:before="0" w:after="0"/>
              <w:jc w:val="both"/>
              <w:rPr/>
            </w:pPr>
            <w:r>
              <w:rPr/>
              <w:t>NU SKIN ENTERPRISES, INC.</w:t>
            </w:r>
          </w:p>
        </w:tc>
      </w:tr>
      <w:tr>
        <w:trPr/>
        <w:tc>
          <w:tcPr>
            <w:tcW w:w="23" w:type="dxa"/>
            <w:tcBorders/>
            <w:vAlign w:val="center"/>
          </w:tcPr>
          <w:p>
            <w:pPr>
              <w:pStyle w:val="TableContents"/>
              <w:bidi w:val="0"/>
              <w:spacing w:before="0" w:after="283"/>
              <w:jc w:val="left"/>
              <w:rPr/>
            </w:pPr>
            <w:r>
              <w:rPr/>
            </w:r>
          </w:p>
        </w:tc>
        <w:tc>
          <w:tcPr>
            <w:tcW w:w="3260" w:type="dxa"/>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3260" w:type="dxa"/>
            <w:tcBorders>
              <w:bottom w:val="single" w:sz="12" w:space="0" w:color="000000"/>
            </w:tcBorders>
            <w:tcMar>
              <w:bottom w:w="28" w:type="dxa"/>
            </w:tcMar>
            <w:vAlign w:val="center"/>
          </w:tcPr>
          <w:p>
            <w:pPr>
              <w:pStyle w:val="TableContents"/>
              <w:bidi w:val="0"/>
              <w:spacing w:before="0" w:after="0"/>
              <w:jc w:val="both"/>
              <w:rPr/>
            </w:pPr>
            <w:r>
              <w:rPr/>
              <w:t>/s/ Ryan S. Napierski</w:t>
            </w:r>
          </w:p>
        </w:tc>
      </w:tr>
    </w:tbl>
    <w:p>
      <w:pPr>
        <w:pStyle w:val="Normal"/>
        <w:bidi w:val="0"/>
        <w:spacing w:before="0" w:after="0"/>
        <w:jc w:val="left"/>
        <w:rPr>
          <w:sz w:val="4"/>
          <w:szCs w:val="4"/>
        </w:rPr>
      </w:pPr>
      <w:r>
        <w:rPr>
          <w:sz w:val="4"/>
          <w:szCs w:val="4"/>
        </w:rPr>
      </w:r>
      <w:bookmarkStart w:id="52" w:name="ze6d62539488d4ee886085bc3517b9ab8"/>
      <w:bookmarkStart w:id="53" w:name="ze6d62539488d4ee886085bc3517b9ab8"/>
      <w:bookmarkEnd w:id="53"/>
    </w:p>
    <w:tbl>
      <w:tblPr>
        <w:tblW w:w="2268" w:type="dxa"/>
        <w:jc w:val="left"/>
        <w:tblInd w:w="0" w:type="dxa"/>
        <w:tblLayout w:type="fixed"/>
        <w:tblCellMar>
          <w:top w:w="0" w:type="dxa"/>
          <w:left w:w="0" w:type="dxa"/>
          <w:bottom w:w="0" w:type="dxa"/>
          <w:right w:w="0" w:type="dxa"/>
        </w:tblCellMar>
      </w:tblPr>
      <w:tblGrid>
        <w:gridCol w:w="23"/>
        <w:gridCol w:w="425"/>
        <w:gridCol w:w="1820"/>
      </w:tblGrid>
      <w:tr>
        <w:trPr/>
        <w:tc>
          <w:tcPr>
            <w:tcW w:w="23" w:type="dxa"/>
            <w:tcBorders/>
            <w:vAlign w:val="center"/>
          </w:tcPr>
          <w:p>
            <w:pPr>
              <w:pStyle w:val="TableContents"/>
              <w:bidi w:val="0"/>
              <w:spacing w:before="0" w:after="283"/>
              <w:jc w:val="left"/>
              <w:rPr/>
            </w:pPr>
            <w:r>
              <w:rPr/>
            </w:r>
          </w:p>
        </w:tc>
        <w:tc>
          <w:tcPr>
            <w:tcW w:w="425" w:type="dxa"/>
            <w:tcBorders/>
            <w:vAlign w:val="center"/>
          </w:tcPr>
          <w:p>
            <w:pPr>
              <w:pStyle w:val="TableContents"/>
              <w:bidi w:val="0"/>
              <w:spacing w:before="0" w:after="0"/>
              <w:jc w:val="both"/>
              <w:rPr/>
            </w:pPr>
            <w:r>
              <w:rPr/>
              <w:t xml:space="preserve">By: </w:t>
            </w:r>
          </w:p>
        </w:tc>
        <w:tc>
          <w:tcPr>
            <w:tcW w:w="1820" w:type="dxa"/>
            <w:tcBorders/>
            <w:vAlign w:val="center"/>
          </w:tcPr>
          <w:p>
            <w:pPr>
              <w:pStyle w:val="TableContents"/>
              <w:bidi w:val="0"/>
              <w:spacing w:before="0" w:after="283"/>
              <w:jc w:val="left"/>
              <w:rPr/>
            </w:pPr>
            <w:r>
              <w:rPr/>
              <w:t> </w:t>
            </w:r>
            <w:r>
              <w:rPr/>
              <w:t>Ryan S. Napierski</w:t>
            </w:r>
          </w:p>
        </w:tc>
      </w:tr>
      <w:tr>
        <w:trPr/>
        <w:tc>
          <w:tcPr>
            <w:tcW w:w="23" w:type="dxa"/>
            <w:tcBorders/>
            <w:vAlign w:val="center"/>
          </w:tcPr>
          <w:p>
            <w:pPr>
              <w:pStyle w:val="TableContents"/>
              <w:bidi w:val="0"/>
              <w:spacing w:before="0" w:after="283"/>
              <w:jc w:val="left"/>
              <w:rPr/>
            </w:pPr>
            <w:r>
              <w:rPr/>
            </w:r>
          </w:p>
        </w:tc>
        <w:tc>
          <w:tcPr>
            <w:tcW w:w="2245" w:type="dxa"/>
            <w:gridSpan w:val="2"/>
            <w:tcBorders/>
            <w:vAlign w:val="center"/>
          </w:tcPr>
          <w:p>
            <w:pPr>
              <w:pStyle w:val="TableContents"/>
              <w:bidi w:val="0"/>
              <w:spacing w:before="0" w:after="0"/>
              <w:jc w:val="both"/>
              <w:rPr/>
            </w:pPr>
            <w:r>
              <w:rPr/>
              <w:t>Its: President and CEO</w:t>
            </w:r>
          </w:p>
        </w:tc>
      </w:tr>
      <w:tr>
        <w:trPr/>
        <w:tc>
          <w:tcPr>
            <w:tcW w:w="23" w:type="dxa"/>
            <w:tcBorders/>
            <w:vAlign w:val="center"/>
          </w:tcPr>
          <w:p>
            <w:pPr>
              <w:pStyle w:val="TableContents"/>
              <w:bidi w:val="0"/>
              <w:spacing w:before="0" w:after="283"/>
              <w:jc w:val="left"/>
              <w:rPr/>
            </w:pPr>
            <w:r>
              <w:rPr/>
            </w:r>
          </w:p>
        </w:tc>
        <w:tc>
          <w:tcPr>
            <w:tcW w:w="2245" w:type="dxa"/>
            <w:gridSpan w:val="2"/>
            <w:tcBorders/>
            <w:vAlign w:val="center"/>
          </w:tcPr>
          <w:p>
            <w:pPr>
              <w:pStyle w:val="TableContents"/>
              <w:bidi w:val="0"/>
              <w:spacing w:before="0" w:after="0"/>
              <w:jc w:val="both"/>
              <w:rPr/>
            </w:pPr>
            <w:r>
              <w:rPr/>
              <w:t>2024-03-28</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67136e0e9e2847ddab8648b760ba5f49"/>
      <w:bookmarkStart w:id="55" w:name="z67136e0e9e2847ddab8648b760ba5f49"/>
      <w:bookmarkEnd w:id="55"/>
    </w:p>
    <w:tbl>
      <w:tblPr>
        <w:tblW w:w="1948" w:type="dxa"/>
        <w:jc w:val="left"/>
        <w:tblInd w:w="0" w:type="dxa"/>
        <w:tblLayout w:type="fixed"/>
        <w:tblCellMar>
          <w:top w:w="0" w:type="dxa"/>
          <w:left w:w="0" w:type="dxa"/>
          <w:bottom w:w="0" w:type="dxa"/>
          <w:right w:w="0" w:type="dxa"/>
        </w:tblCellMar>
      </w:tblPr>
      <w:tblGrid>
        <w:gridCol w:w="23"/>
        <w:gridCol w:w="1925"/>
      </w:tblGrid>
      <w:tr>
        <w:trPr/>
        <w:tc>
          <w:tcPr>
            <w:tcW w:w="23" w:type="dxa"/>
            <w:tcBorders/>
            <w:vAlign w:val="center"/>
          </w:tcPr>
          <w:p>
            <w:pPr>
              <w:pStyle w:val="TableContents"/>
              <w:bidi w:val="0"/>
              <w:spacing w:before="0" w:after="283"/>
              <w:jc w:val="left"/>
              <w:rPr/>
            </w:pPr>
            <w:r>
              <w:rPr/>
            </w:r>
          </w:p>
        </w:tc>
        <w:tc>
          <w:tcPr>
            <w:tcW w:w="1925" w:type="dxa"/>
            <w:tcBorders/>
            <w:vAlign w:val="center"/>
          </w:tcPr>
          <w:p>
            <w:pPr>
              <w:pStyle w:val="TableContents"/>
              <w:bidi w:val="0"/>
              <w:spacing w:before="0" w:after="0"/>
              <w:jc w:val="both"/>
              <w:rPr/>
            </w:pPr>
            <w:r>
              <w:rPr/>
              <w:t>CONSULTANT</w:t>
            </w:r>
          </w:p>
        </w:tc>
      </w:tr>
      <w:tr>
        <w:trPr/>
        <w:tc>
          <w:tcPr>
            <w:tcW w:w="23" w:type="dxa"/>
            <w:tcBorders/>
            <w:vAlign w:val="center"/>
          </w:tcPr>
          <w:p>
            <w:pPr>
              <w:pStyle w:val="TableContents"/>
              <w:bidi w:val="0"/>
              <w:spacing w:before="0" w:after="283"/>
              <w:jc w:val="left"/>
              <w:rPr/>
            </w:pPr>
            <w:r>
              <w:rPr/>
            </w:r>
          </w:p>
        </w:tc>
        <w:tc>
          <w:tcPr>
            <w:tcW w:w="1925" w:type="dxa"/>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1925" w:type="dxa"/>
            <w:tcBorders>
              <w:bottom w:val="single" w:sz="12" w:space="0" w:color="000000"/>
            </w:tcBorders>
            <w:tcMar>
              <w:bottom w:w="28" w:type="dxa"/>
            </w:tcMar>
            <w:vAlign w:val="center"/>
          </w:tcPr>
          <w:p>
            <w:pPr>
              <w:pStyle w:val="TableContents"/>
              <w:bidi w:val="0"/>
              <w:spacing w:before="0" w:after="0"/>
              <w:jc w:val="both"/>
              <w:rPr/>
            </w:pPr>
            <w:r>
              <w:rPr/>
              <w:t>/s/ Joseph Y. Chang</w:t>
            </w:r>
          </w:p>
        </w:tc>
      </w:tr>
      <w:tr>
        <w:trPr/>
        <w:tc>
          <w:tcPr>
            <w:tcW w:w="23" w:type="dxa"/>
            <w:tcBorders/>
            <w:vAlign w:val="center"/>
          </w:tcPr>
          <w:p>
            <w:pPr>
              <w:pStyle w:val="TableContents"/>
              <w:bidi w:val="0"/>
              <w:spacing w:before="0" w:after="283"/>
              <w:jc w:val="left"/>
              <w:rPr/>
            </w:pPr>
            <w:r>
              <w:rPr/>
            </w:r>
          </w:p>
        </w:tc>
        <w:tc>
          <w:tcPr>
            <w:tcW w:w="1925" w:type="dxa"/>
            <w:tcBorders/>
            <w:vAlign w:val="center"/>
          </w:tcPr>
          <w:p>
            <w:pPr>
              <w:pStyle w:val="TableContents"/>
              <w:bidi w:val="0"/>
              <w:spacing w:before="0" w:after="0"/>
              <w:jc w:val="both"/>
              <w:rPr/>
            </w:pPr>
            <w:r>
              <w:rPr/>
              <w:t>Joseph Y. Chang</w:t>
            </w:r>
          </w:p>
        </w:tc>
      </w:tr>
      <w:tr>
        <w:trPr/>
        <w:tc>
          <w:tcPr>
            <w:tcW w:w="23" w:type="dxa"/>
            <w:tcBorders/>
            <w:vAlign w:val="center"/>
          </w:tcPr>
          <w:p>
            <w:pPr>
              <w:pStyle w:val="TableContents"/>
              <w:bidi w:val="0"/>
              <w:spacing w:before="0" w:after="283"/>
              <w:jc w:val="left"/>
              <w:rPr/>
            </w:pPr>
            <w:r>
              <w:rPr/>
            </w:r>
          </w:p>
        </w:tc>
        <w:tc>
          <w:tcPr>
            <w:tcW w:w="1925" w:type="dxa"/>
            <w:tcBorders/>
            <w:vAlign w:val="center"/>
          </w:tcPr>
          <w:p>
            <w:pPr>
              <w:pStyle w:val="TableContents"/>
              <w:bidi w:val="0"/>
              <w:spacing w:before="0" w:after="0"/>
              <w:jc w:val="both"/>
              <w:rPr/>
            </w:pPr>
            <w:r>
              <w:rPr/>
              <w:t>2024-03-28</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Scientific Advisory Board Member Duties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Scientific Advisory Board (“SAB”) Members’ principal duties are: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Participate in SAB meetings, with the number and frequency of meetings to be at the discretion of the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 Advise the Company on scientific issues pertaining to SAB Member’s areas of expertise.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 At the prior request of the Company, act as spokesperson for the Company on health issues that are related to SAB Member’s expertise.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 Provide the Company with ideas for the development of new products and for the improvement or expansion of existing Company products.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 Consult with research and development personnel from the Company on scientific matters.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 Support scientific meetings of mutual interest and inform NSEP of relevant scientific meetings and represent the Company at such meetings at the Company’s express request and expense.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 Provide such other services as the Company may request.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 Narrate and participate in the recording of audio and videotapes, the subject matter of which will be the Company's products; including videos, audios, test statements for the Company’s website and marketing brochures.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Participate in the Company’s distributor meetings and conventions if requested by the Company and if a mutually agreeable time can be established.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 Be available for calls.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6" w:name="ef20026282_ex31-1.htm"/>
      <w:bookmarkStart w:id="57" w:name="ksef20026282_ex311"/>
      <w:bookmarkStart w:id="58" w:name="ef20026282_ex31-1.htm"/>
      <w:bookmarkStart w:id="59" w:name="ksef20026282_ex311"/>
      <w:bookmarkEnd w:id="58"/>
      <w:bookmarkEnd w:id="5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CERTIFICATION OF CHIEF EXECUTIVE OFFICER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Ryan S. Napierski,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dc78cae3435845919048a3d03aaf8b57"/>
      <w:bookmarkStart w:id="61" w:name="zdc78cae3435845919048a3d03aaf8b57"/>
      <w:bookmarkEnd w:id="61"/>
    </w:p>
    <w:tbl>
      <w:tblPr>
        <w:tblW w:w="7855" w:type="dxa"/>
        <w:jc w:val="left"/>
        <w:tblInd w:w="0" w:type="dxa"/>
        <w:tblLayout w:type="fixed"/>
        <w:tblCellMar>
          <w:top w:w="0" w:type="dxa"/>
          <w:left w:w="0" w:type="dxa"/>
          <w:bottom w:w="0" w:type="dxa"/>
          <w:right w:w="0" w:type="dxa"/>
        </w:tblCellMar>
      </w:tblPr>
      <w:tblGrid>
        <w:gridCol w:w="215"/>
        <w:gridCol w:w="7640"/>
      </w:tblGrid>
      <w:tr>
        <w:trPr/>
        <w:tc>
          <w:tcPr>
            <w:tcW w:w="215" w:type="dxa"/>
            <w:tcBorders/>
            <w:vAlign w:val="center"/>
          </w:tcPr>
          <w:p>
            <w:pPr>
              <w:pStyle w:val="TableContents"/>
              <w:bidi w:val="0"/>
              <w:spacing w:before="0" w:after="283"/>
              <w:jc w:val="left"/>
              <w:rPr/>
            </w:pPr>
            <w:r>
              <w:rPr/>
              <w:t>1.</w:t>
            </w:r>
          </w:p>
        </w:tc>
        <w:tc>
          <w:tcPr>
            <w:tcW w:w="7640" w:type="dxa"/>
            <w:tcBorders/>
            <w:vAlign w:val="center"/>
          </w:tcPr>
          <w:p>
            <w:pPr>
              <w:pStyle w:val="TableContents"/>
              <w:bidi w:val="0"/>
              <w:spacing w:before="0" w:after="0"/>
              <w:jc w:val="both"/>
              <w:rPr/>
            </w:pPr>
            <w:r>
              <w:rPr/>
              <w:t>I have reviewed this quarterly report on Form 10-Q of Nu Skin Enterprises,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99e691715c244d1bb1df168481181dca"/>
      <w:bookmarkStart w:id="63" w:name="z99e691715c244d1bb1df168481181dca"/>
      <w:bookmarkEnd w:id="63"/>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z4a696af5e4754792bb172f02ecd17172"/>
      <w:bookmarkStart w:id="65" w:name="z4a696af5e4754792bb172f02ecd17172"/>
      <w:bookmarkEnd w:id="65"/>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f0f41a03ee3b4d9abfaa9fe058c38299"/>
      <w:bookmarkStart w:id="67" w:name="zf0f41a03ee3b4d9abfaa9fe058c38299"/>
      <w:bookmarkEnd w:id="67"/>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a1ddfaa7e4c84ab1a154c1b6f76f14e0"/>
      <w:bookmarkStart w:id="69" w:name="za1ddfaa7e4c84ab1a154c1b6f76f14e0"/>
      <w:bookmarkEnd w:id="69"/>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651cf16d94e34e13a093de90632d0e58"/>
      <w:bookmarkStart w:id="71" w:name="z651cf16d94e34e13a093de90632d0e58"/>
      <w:bookmarkEnd w:id="71"/>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d2d5b0c494334369bd9f79732b315210"/>
      <w:bookmarkStart w:id="73" w:name="zd2d5b0c494334369bd9f79732b315210"/>
      <w:bookmarkEnd w:id="73"/>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zbd1f1ba8a6bf431491e977a9dcbcb917"/>
      <w:bookmarkStart w:id="75" w:name="zbd1f1ba8a6bf431491e977a9dcbcb917"/>
      <w:bookmarkEnd w:id="75"/>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zd4740e82b4354094904dfd34b20eb99a"/>
      <w:bookmarkStart w:id="77" w:name="zd4740e82b4354094904dfd34b20eb99a"/>
      <w:bookmarkEnd w:id="77"/>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25f550a3c47a458199d4e873bfd31919"/>
      <w:bookmarkStart w:id="79" w:name="z25f550a3c47a458199d4e873bfd31919"/>
      <w:bookmarkEnd w:id="79"/>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022479a521fe4bf7a848e2deecaf785c"/>
      <w:bookmarkStart w:id="81" w:name="z022479a521fe4bf7a848e2deecaf785c"/>
      <w:bookmarkEnd w:id="81"/>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c798954d7ccf4963916ed514fa52108c"/>
      <w:bookmarkStart w:id="83" w:name="zc798954d7ccf4963916ed514fa52108c"/>
      <w:bookmarkEnd w:id="83"/>
    </w:p>
    <w:tbl>
      <w:tblPr>
        <w:tblW w:w="4113" w:type="dxa"/>
        <w:jc w:val="left"/>
        <w:tblInd w:w="0" w:type="dxa"/>
        <w:tblLayout w:type="fixed"/>
        <w:tblCellMar>
          <w:top w:w="0" w:type="dxa"/>
          <w:left w:w="0" w:type="dxa"/>
          <w:bottom w:w="0" w:type="dxa"/>
          <w:right w:w="0" w:type="dxa"/>
        </w:tblCellMar>
      </w:tblPr>
      <w:tblGrid>
        <w:gridCol w:w="1805"/>
        <w:gridCol w:w="2285"/>
        <w:gridCol w:w="23"/>
      </w:tblGrid>
      <w:tr>
        <w:trPr/>
        <w:tc>
          <w:tcPr>
            <w:tcW w:w="1805" w:type="dxa"/>
            <w:tcBorders/>
            <w:vAlign w:val="center"/>
          </w:tcPr>
          <w:p>
            <w:pPr>
              <w:pStyle w:val="TableContents"/>
              <w:bidi w:val="0"/>
              <w:spacing w:before="0" w:after="0"/>
              <w:jc w:val="left"/>
              <w:rPr/>
            </w:pPr>
            <w:r>
              <w:rPr/>
              <w:t>Date: May 8, 2024</w:t>
            </w:r>
          </w:p>
        </w:tc>
        <w:tc>
          <w:tcPr>
            <w:tcW w:w="2285" w:type="dxa"/>
            <w:tcBorders>
              <w:bottom w:val="single" w:sz="12" w:space="0" w:color="000000"/>
            </w:tcBorders>
            <w:tcMar>
              <w:bottom w:w="28" w:type="dxa"/>
            </w:tcMar>
            <w:vAlign w:val="center"/>
          </w:tcPr>
          <w:p>
            <w:pPr>
              <w:pStyle w:val="TableContents"/>
              <w:bidi w:val="0"/>
              <w:spacing w:before="0" w:after="0"/>
              <w:jc w:val="left"/>
              <w:rPr/>
            </w:pPr>
            <w:r>
              <w:rPr/>
              <w:t>/s/ Ryan S. Napierski</w:t>
            </w:r>
          </w:p>
        </w:tc>
        <w:tc>
          <w:tcPr>
            <w:tcW w:w="23" w:type="dxa"/>
            <w:tcBorders/>
            <w:vAlign w:val="center"/>
          </w:tcPr>
          <w:p>
            <w:pPr>
              <w:pStyle w:val="TableContents"/>
              <w:bidi w:val="0"/>
              <w:spacing w:before="0" w:after="283"/>
              <w:jc w:val="left"/>
              <w:rPr/>
            </w:pPr>
            <w:r>
              <w:rPr/>
            </w:r>
          </w:p>
        </w:tc>
      </w:tr>
      <w:tr>
        <w:trPr/>
        <w:tc>
          <w:tcPr>
            <w:tcW w:w="1805" w:type="dxa"/>
            <w:tcBorders/>
            <w:vAlign w:val="center"/>
          </w:tcPr>
          <w:p>
            <w:pPr>
              <w:pStyle w:val="TableContents"/>
              <w:bidi w:val="0"/>
              <w:spacing w:before="0" w:after="283"/>
              <w:jc w:val="left"/>
              <w:rPr/>
            </w:pPr>
            <w:r>
              <w:rPr/>
            </w:r>
          </w:p>
        </w:tc>
        <w:tc>
          <w:tcPr>
            <w:tcW w:w="2285" w:type="dxa"/>
            <w:tcBorders/>
            <w:vAlign w:val="center"/>
          </w:tcPr>
          <w:p>
            <w:pPr>
              <w:pStyle w:val="TableContents"/>
              <w:bidi w:val="0"/>
              <w:spacing w:before="0" w:after="0"/>
              <w:jc w:val="left"/>
              <w:rPr/>
            </w:pPr>
            <w:r>
              <w:rPr/>
              <w:t>Ryan S. Napierski</w:t>
            </w:r>
          </w:p>
        </w:tc>
        <w:tc>
          <w:tcPr>
            <w:tcW w:w="23" w:type="dxa"/>
            <w:tcBorders/>
            <w:vAlign w:val="center"/>
          </w:tcPr>
          <w:p>
            <w:pPr>
              <w:pStyle w:val="TableContents"/>
              <w:bidi w:val="0"/>
              <w:spacing w:before="0" w:after="283"/>
              <w:jc w:val="left"/>
              <w:rPr/>
            </w:pPr>
            <w:r>
              <w:rPr/>
            </w:r>
          </w:p>
        </w:tc>
      </w:tr>
      <w:tr>
        <w:trPr/>
        <w:tc>
          <w:tcPr>
            <w:tcW w:w="1805" w:type="dxa"/>
            <w:tcBorders/>
            <w:vAlign w:val="center"/>
          </w:tcPr>
          <w:p>
            <w:pPr>
              <w:pStyle w:val="TableContents"/>
              <w:bidi w:val="0"/>
              <w:spacing w:before="0" w:after="283"/>
              <w:jc w:val="left"/>
              <w:rPr/>
            </w:pPr>
            <w:r>
              <w:rPr/>
            </w:r>
          </w:p>
        </w:tc>
        <w:tc>
          <w:tcPr>
            <w:tcW w:w="2285" w:type="dxa"/>
            <w:tcBorders/>
            <w:vAlign w:val="center"/>
          </w:tcPr>
          <w:p>
            <w:pPr>
              <w:pStyle w:val="TableContents"/>
              <w:bidi w:val="0"/>
              <w:spacing w:before="0" w:after="0"/>
              <w:jc w:val="left"/>
              <w:rPr/>
            </w:pPr>
            <w:r>
              <w:rPr/>
              <w:t>Chief Executive Officer</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4" w:name="ef20026282_ex31-2.htm"/>
      <w:bookmarkStart w:id="85" w:name="ksef20026282_ex312"/>
      <w:bookmarkStart w:id="86" w:name="ef20026282_ex31-2.htm"/>
      <w:bookmarkStart w:id="87" w:name="ksef20026282_ex312"/>
      <w:bookmarkEnd w:id="86"/>
      <w:bookmarkEnd w:id="8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CERTIFICATION OF CHIEF FINANCIAL OFFICER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James D. Thomas,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736f4764b224434b81874064974ad26f"/>
      <w:bookmarkStart w:id="89" w:name="z736f4764b224434b81874064974ad26f"/>
      <w:bookmarkEnd w:id="89"/>
    </w:p>
    <w:tbl>
      <w:tblPr>
        <w:tblW w:w="7855" w:type="dxa"/>
        <w:jc w:val="left"/>
        <w:tblInd w:w="0" w:type="dxa"/>
        <w:tblLayout w:type="fixed"/>
        <w:tblCellMar>
          <w:top w:w="0" w:type="dxa"/>
          <w:left w:w="0" w:type="dxa"/>
          <w:bottom w:w="0" w:type="dxa"/>
          <w:right w:w="0" w:type="dxa"/>
        </w:tblCellMar>
      </w:tblPr>
      <w:tblGrid>
        <w:gridCol w:w="215"/>
        <w:gridCol w:w="7640"/>
      </w:tblGrid>
      <w:tr>
        <w:trPr/>
        <w:tc>
          <w:tcPr>
            <w:tcW w:w="215" w:type="dxa"/>
            <w:tcBorders/>
            <w:vAlign w:val="center"/>
          </w:tcPr>
          <w:p>
            <w:pPr>
              <w:pStyle w:val="TableContents"/>
              <w:bidi w:val="0"/>
              <w:spacing w:before="0" w:after="283"/>
              <w:jc w:val="left"/>
              <w:rPr/>
            </w:pPr>
            <w:r>
              <w:rPr/>
              <w:t>1.</w:t>
            </w:r>
          </w:p>
        </w:tc>
        <w:tc>
          <w:tcPr>
            <w:tcW w:w="7640" w:type="dxa"/>
            <w:tcBorders/>
            <w:vAlign w:val="center"/>
          </w:tcPr>
          <w:p>
            <w:pPr>
              <w:pStyle w:val="TableContents"/>
              <w:bidi w:val="0"/>
              <w:spacing w:before="0" w:after="0"/>
              <w:jc w:val="both"/>
              <w:rPr/>
            </w:pPr>
            <w:r>
              <w:rPr/>
              <w:t>I have reviewed this quarterly report on Form 10-Q of Nu Skin Enterprises,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f94569297225405c8402dae36585c674"/>
      <w:bookmarkStart w:id="91" w:name="zf94569297225405c8402dae36585c674"/>
      <w:bookmarkEnd w:id="91"/>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zd113c0c93ef8491abe01d19135ae41bf"/>
      <w:bookmarkStart w:id="93" w:name="zd113c0c93ef8491abe01d19135ae41bf"/>
      <w:bookmarkEnd w:id="93"/>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eaededb6958e4a0e998d09924206c03b"/>
      <w:bookmarkStart w:id="95" w:name="zeaededb6958e4a0e998d09924206c03b"/>
      <w:bookmarkEnd w:id="95"/>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13b2e291a7a1413e80e36c6c17056038"/>
      <w:bookmarkStart w:id="97" w:name="z13b2e291a7a1413e80e36c6c17056038"/>
      <w:bookmarkEnd w:id="97"/>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8" w:name="zb8f6c9db8c5b46cfa6e332015de22f67"/>
      <w:bookmarkStart w:id="99" w:name="zb8f6c9db8c5b46cfa6e332015de22f67"/>
      <w:bookmarkEnd w:id="99"/>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0" w:name="z8e93a23be951485ab27add077bad9a0d"/>
      <w:bookmarkStart w:id="101" w:name="z8e93a23be951485ab27add077bad9a0d"/>
      <w:bookmarkEnd w:id="101"/>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2" w:name="z70d4ea5cf7e54c68b2eee478c14c90b6"/>
      <w:bookmarkStart w:id="103" w:name="z70d4ea5cf7e54c68b2eee478c14c90b6"/>
      <w:bookmarkEnd w:id="103"/>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4" w:name="zf61b6673676349a7b676765e65e5c153"/>
      <w:bookmarkStart w:id="105" w:name="zf61b6673676349a7b676765e65e5c153"/>
      <w:bookmarkEnd w:id="105"/>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6" w:name="z18ab7d35636f48c9997c22ab9c9d32ae"/>
      <w:bookmarkStart w:id="107" w:name="z18ab7d35636f48c9997c22ab9c9d32ae"/>
      <w:bookmarkEnd w:id="107"/>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8" w:name="z3ed2477e8c3c4aa8851b76ffa32a948c"/>
      <w:bookmarkStart w:id="109" w:name="z3ed2477e8c3c4aa8851b76ffa32a948c"/>
      <w:bookmarkEnd w:id="109"/>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0" w:name="ze1c4e4a6d34a4fce8d36abec0c50ece4"/>
      <w:bookmarkStart w:id="111" w:name="ze1c4e4a6d34a4fce8d36abec0c50ece4"/>
      <w:bookmarkEnd w:id="111"/>
    </w:p>
    <w:tbl>
      <w:tblPr>
        <w:tblW w:w="4075" w:type="dxa"/>
        <w:jc w:val="left"/>
        <w:tblInd w:w="0" w:type="dxa"/>
        <w:tblLayout w:type="fixed"/>
        <w:tblCellMar>
          <w:top w:w="0" w:type="dxa"/>
          <w:left w:w="0" w:type="dxa"/>
          <w:bottom w:w="0" w:type="dxa"/>
          <w:right w:w="0" w:type="dxa"/>
        </w:tblCellMar>
      </w:tblPr>
      <w:tblGrid>
        <w:gridCol w:w="1805"/>
        <w:gridCol w:w="2210"/>
        <w:gridCol w:w="60"/>
      </w:tblGrid>
      <w:tr>
        <w:trPr/>
        <w:tc>
          <w:tcPr>
            <w:tcW w:w="1805" w:type="dxa"/>
            <w:tcBorders/>
            <w:vAlign w:val="center"/>
          </w:tcPr>
          <w:p>
            <w:pPr>
              <w:pStyle w:val="TableContents"/>
              <w:bidi w:val="0"/>
              <w:spacing w:before="0" w:after="0"/>
              <w:jc w:val="left"/>
              <w:rPr/>
            </w:pPr>
            <w:r>
              <w:rPr/>
              <w:t>Date: May 8, 2024</w:t>
            </w:r>
          </w:p>
        </w:tc>
        <w:tc>
          <w:tcPr>
            <w:tcW w:w="2210" w:type="dxa"/>
            <w:tcBorders>
              <w:bottom w:val="single" w:sz="12" w:space="0" w:color="000000"/>
            </w:tcBorders>
            <w:tcMar>
              <w:bottom w:w="28" w:type="dxa"/>
            </w:tcMar>
            <w:vAlign w:val="center"/>
          </w:tcPr>
          <w:p>
            <w:pPr>
              <w:pStyle w:val="TableContents"/>
              <w:bidi w:val="0"/>
              <w:spacing w:before="0" w:after="0"/>
              <w:jc w:val="left"/>
              <w:rPr/>
            </w:pPr>
            <w:r>
              <w:rPr/>
              <w:t>/s/ James D. Thomas</w:t>
            </w:r>
          </w:p>
        </w:tc>
        <w:tc>
          <w:tcPr>
            <w:tcW w:w="6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James D. Thomas</w:t>
            </w:r>
          </w:p>
        </w:tc>
        <w:tc>
          <w:tcPr>
            <w:tcW w:w="6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12" w:name="ef20026282_ex32-1.htm"/>
      <w:bookmarkStart w:id="113" w:name="ksef20026282_ex321"/>
      <w:bookmarkStart w:id="114" w:name="ef20026282_ex32-1.htm"/>
      <w:bookmarkStart w:id="115" w:name="ksef20026282_ex321"/>
      <w:bookmarkEnd w:id="114"/>
      <w:bookmarkEnd w:id="11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CERTIFICATION OF CHIEF EXECUTIVE OFFICER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18 U.S.C. SECTION 1350, 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Nu Skin Enterprises, Inc. (the “Company”) on Form 10-Q for the period ended March 31, 2024 (the “Report”), I, Ryan S. Napierski, Chief Executive Officer of the Company, certify, pursuant to 18 U.S.C. §1350, as adopted pursuant to Section 906 of the Sarbanes-Oxley Act of 2002, that to the best of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6" w:name="z2eb6a01c170b42c2a55c344d78f42b96"/>
      <w:bookmarkStart w:id="117" w:name="z2eb6a01c170b42c2a55c344d78f42b96"/>
      <w:bookmarkEnd w:id="117"/>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0"/>
              <w:jc w:val="both"/>
              <w:rPr/>
            </w:pPr>
            <w:r>
              <w:rPr/>
              <w:t>The Report fully complies with the requirements of Section 13(a) or 15(d) of the Securities Exchange Act of 1934;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zb5a50ef8bbb64f49bd82e6e2006af9ab"/>
      <w:bookmarkStart w:id="119" w:name="zb5a50ef8bbb64f49bd82e6e2006af9ab"/>
      <w:bookmarkEnd w:id="119"/>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0" w:name="z84d608ef4d994d62af9d1979878fea10"/>
      <w:bookmarkStart w:id="121" w:name="z84d608ef4d994d62af9d1979878fea10"/>
      <w:bookmarkEnd w:id="121"/>
    </w:p>
    <w:tbl>
      <w:tblPr>
        <w:tblW w:w="4113" w:type="dxa"/>
        <w:jc w:val="left"/>
        <w:tblInd w:w="0" w:type="dxa"/>
        <w:tblLayout w:type="fixed"/>
        <w:tblCellMar>
          <w:top w:w="0" w:type="dxa"/>
          <w:left w:w="0" w:type="dxa"/>
          <w:bottom w:w="0" w:type="dxa"/>
          <w:right w:w="0" w:type="dxa"/>
        </w:tblCellMar>
      </w:tblPr>
      <w:tblGrid>
        <w:gridCol w:w="1805"/>
        <w:gridCol w:w="2285"/>
        <w:gridCol w:w="23"/>
      </w:tblGrid>
      <w:tr>
        <w:trPr/>
        <w:tc>
          <w:tcPr>
            <w:tcW w:w="1805" w:type="dxa"/>
            <w:tcBorders/>
            <w:vAlign w:val="center"/>
          </w:tcPr>
          <w:p>
            <w:pPr>
              <w:pStyle w:val="TableContents"/>
              <w:bidi w:val="0"/>
              <w:spacing w:before="0" w:after="0"/>
              <w:jc w:val="left"/>
              <w:rPr/>
            </w:pPr>
            <w:r>
              <w:rPr/>
              <w:t>Date: May 8, 2024</w:t>
            </w:r>
          </w:p>
        </w:tc>
        <w:tc>
          <w:tcPr>
            <w:tcW w:w="2285" w:type="dxa"/>
            <w:tcBorders>
              <w:bottom w:val="single" w:sz="12" w:space="0" w:color="000000"/>
            </w:tcBorders>
            <w:tcMar>
              <w:bottom w:w="28" w:type="dxa"/>
            </w:tcMar>
            <w:vAlign w:val="center"/>
          </w:tcPr>
          <w:p>
            <w:pPr>
              <w:pStyle w:val="TableContents"/>
              <w:bidi w:val="0"/>
              <w:spacing w:before="0" w:after="0"/>
              <w:jc w:val="left"/>
              <w:rPr/>
            </w:pPr>
            <w:r>
              <w:rPr/>
              <w:t>/s/ Ryan S. Napierski</w:t>
            </w:r>
          </w:p>
        </w:tc>
        <w:tc>
          <w:tcPr>
            <w:tcW w:w="23" w:type="dxa"/>
            <w:tcBorders/>
            <w:vAlign w:val="center"/>
          </w:tcPr>
          <w:p>
            <w:pPr>
              <w:pStyle w:val="TableContents"/>
              <w:bidi w:val="0"/>
              <w:spacing w:before="0" w:after="283"/>
              <w:jc w:val="left"/>
              <w:rPr/>
            </w:pPr>
            <w:r>
              <w:rPr/>
            </w:r>
          </w:p>
        </w:tc>
      </w:tr>
      <w:tr>
        <w:trPr/>
        <w:tc>
          <w:tcPr>
            <w:tcW w:w="1805" w:type="dxa"/>
            <w:tcBorders/>
            <w:vAlign w:val="center"/>
          </w:tcPr>
          <w:p>
            <w:pPr>
              <w:pStyle w:val="TableContents"/>
              <w:bidi w:val="0"/>
              <w:spacing w:before="0" w:after="283"/>
              <w:jc w:val="left"/>
              <w:rPr/>
            </w:pPr>
            <w:r>
              <w:rPr/>
            </w:r>
          </w:p>
        </w:tc>
        <w:tc>
          <w:tcPr>
            <w:tcW w:w="2285" w:type="dxa"/>
            <w:tcBorders/>
            <w:vAlign w:val="center"/>
          </w:tcPr>
          <w:p>
            <w:pPr>
              <w:pStyle w:val="TableContents"/>
              <w:bidi w:val="0"/>
              <w:spacing w:before="0" w:after="0"/>
              <w:jc w:val="left"/>
              <w:rPr/>
            </w:pPr>
            <w:r>
              <w:rPr/>
              <w:t>Ryan S. Napierski</w:t>
            </w:r>
          </w:p>
        </w:tc>
        <w:tc>
          <w:tcPr>
            <w:tcW w:w="23" w:type="dxa"/>
            <w:tcBorders/>
            <w:vAlign w:val="center"/>
          </w:tcPr>
          <w:p>
            <w:pPr>
              <w:pStyle w:val="TableContents"/>
              <w:bidi w:val="0"/>
              <w:spacing w:before="0" w:after="283"/>
              <w:jc w:val="left"/>
              <w:rPr/>
            </w:pPr>
            <w:r>
              <w:rPr/>
            </w:r>
          </w:p>
        </w:tc>
      </w:tr>
      <w:tr>
        <w:trPr/>
        <w:tc>
          <w:tcPr>
            <w:tcW w:w="1805" w:type="dxa"/>
            <w:tcBorders/>
            <w:vAlign w:val="center"/>
          </w:tcPr>
          <w:p>
            <w:pPr>
              <w:pStyle w:val="TableContents"/>
              <w:bidi w:val="0"/>
              <w:spacing w:before="0" w:after="283"/>
              <w:jc w:val="left"/>
              <w:rPr/>
            </w:pPr>
            <w:r>
              <w:rPr/>
            </w:r>
          </w:p>
        </w:tc>
        <w:tc>
          <w:tcPr>
            <w:tcW w:w="2285" w:type="dxa"/>
            <w:tcBorders/>
            <w:vAlign w:val="center"/>
          </w:tcPr>
          <w:p>
            <w:pPr>
              <w:pStyle w:val="TableContents"/>
              <w:bidi w:val="0"/>
              <w:spacing w:before="0" w:after="0"/>
              <w:jc w:val="left"/>
              <w:rPr/>
            </w:pPr>
            <w:r>
              <w:rPr/>
              <w:t>Chief Executive Officer</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22" w:name="ef20026282_ex32-2.htm"/>
      <w:bookmarkStart w:id="123" w:name="ksef20026282_ex322"/>
      <w:bookmarkStart w:id="124" w:name="ef20026282_ex32-2.htm"/>
      <w:bookmarkStart w:id="125" w:name="ksef20026282_ex322"/>
      <w:bookmarkEnd w:id="124"/>
      <w:bookmarkEnd w:id="12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CERTIFICATION OF CHIEF FINANCIAL OFFICER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18 U.S.C. SECTION 1350, 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Nu Skin Enterprises, Inc. (the “Company”) on Form 10-Q for the period ended March 31, 2024 (the “Report”), I, James D. Thomas, Chief Financial Officer of the Company, certify, pursuant to 18 U.S.C. § 1350, as adopted pursuant to Section 906 of the Sarbanes-Oxley Act of 2002, that to the best of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z016bdefb7b424f9db93d6cd0fb633dd8"/>
      <w:bookmarkStart w:id="127" w:name="z016bdefb7b424f9db93d6cd0fb633dd8"/>
      <w:bookmarkEnd w:id="127"/>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0"/>
              <w:jc w:val="both"/>
              <w:rPr/>
            </w:pPr>
            <w:r>
              <w:rPr/>
              <w:t>The Report fully complies with the requirements of Section 13(a) or 15(d) of the Securities Exchange Act of 1934;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8" w:name="z9f984c9e2bea4e18801e065053aa47e6"/>
      <w:bookmarkStart w:id="129" w:name="z9f984c9e2bea4e18801e065053aa47e6"/>
      <w:bookmarkEnd w:id="129"/>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0" w:name="z4bbae0edb2c641e69225cacdf55c5aba"/>
      <w:bookmarkStart w:id="131" w:name="z4bbae0edb2c641e69225cacdf55c5aba"/>
      <w:bookmarkEnd w:id="131"/>
    </w:p>
    <w:tbl>
      <w:tblPr>
        <w:tblW w:w="4038" w:type="dxa"/>
        <w:jc w:val="left"/>
        <w:tblInd w:w="0" w:type="dxa"/>
        <w:tblLayout w:type="fixed"/>
        <w:tblCellMar>
          <w:top w:w="0" w:type="dxa"/>
          <w:left w:w="0" w:type="dxa"/>
          <w:bottom w:w="0" w:type="dxa"/>
          <w:right w:w="0" w:type="dxa"/>
        </w:tblCellMar>
      </w:tblPr>
      <w:tblGrid>
        <w:gridCol w:w="1805"/>
        <w:gridCol w:w="2210"/>
        <w:gridCol w:w="23"/>
      </w:tblGrid>
      <w:tr>
        <w:trPr/>
        <w:tc>
          <w:tcPr>
            <w:tcW w:w="1805" w:type="dxa"/>
            <w:tcBorders/>
            <w:vAlign w:val="center"/>
          </w:tcPr>
          <w:p>
            <w:pPr>
              <w:pStyle w:val="TableContents"/>
              <w:bidi w:val="0"/>
              <w:spacing w:before="0" w:after="0"/>
              <w:jc w:val="left"/>
              <w:rPr/>
            </w:pPr>
            <w:r>
              <w:rPr/>
              <w:t>Date: May 8, 2024</w:t>
            </w:r>
          </w:p>
        </w:tc>
        <w:tc>
          <w:tcPr>
            <w:tcW w:w="2210" w:type="dxa"/>
            <w:tcBorders>
              <w:bottom w:val="single" w:sz="12" w:space="0" w:color="000000"/>
            </w:tcBorders>
            <w:tcMar>
              <w:bottom w:w="28" w:type="dxa"/>
            </w:tcMar>
            <w:vAlign w:val="center"/>
          </w:tcPr>
          <w:p>
            <w:pPr>
              <w:pStyle w:val="TableContents"/>
              <w:bidi w:val="0"/>
              <w:spacing w:before="0" w:after="0"/>
              <w:jc w:val="left"/>
              <w:rPr/>
            </w:pPr>
            <w:r>
              <w:rPr/>
              <w:t>/s/ James D. Thomas</w:t>
            </w:r>
          </w:p>
        </w:tc>
        <w:tc>
          <w:tcPr>
            <w:tcW w:w="23" w:type="dxa"/>
            <w:tcBorders/>
            <w:vAlign w:val="center"/>
          </w:tcPr>
          <w:p>
            <w:pPr>
              <w:pStyle w:val="TableContents"/>
              <w:bidi w:val="0"/>
              <w:spacing w:before="0" w:after="283"/>
              <w:jc w:val="left"/>
              <w:rPr/>
            </w:pPr>
            <w:r>
              <w:rPr/>
            </w:r>
          </w:p>
        </w:tc>
      </w:tr>
      <w:tr>
        <w:trPr/>
        <w:tc>
          <w:tcPr>
            <w:tcW w:w="1805" w:type="dxa"/>
            <w:tcBorders/>
            <w:vAlign w:val="center"/>
          </w:tcPr>
          <w:p>
            <w:pPr>
              <w:pStyle w:val="TableContents"/>
              <w:bidi w:val="0"/>
              <w:spacing w:before="0" w:after="283"/>
              <w:jc w:val="left"/>
              <w:rPr/>
            </w:pPr>
            <w:r>
              <w:rPr/>
            </w:r>
          </w:p>
        </w:tc>
        <w:tc>
          <w:tcPr>
            <w:tcW w:w="2210" w:type="dxa"/>
            <w:tcBorders/>
            <w:vAlign w:val="center"/>
          </w:tcPr>
          <w:p>
            <w:pPr>
              <w:pStyle w:val="TableContents"/>
              <w:bidi w:val="0"/>
              <w:spacing w:before="0" w:after="0"/>
              <w:jc w:val="left"/>
              <w:rPr/>
            </w:pPr>
            <w:r>
              <w:rPr/>
              <w:t>James D. Thomas</w:t>
            </w:r>
          </w:p>
        </w:tc>
        <w:tc>
          <w:tcPr>
            <w:tcW w:w="23" w:type="dxa"/>
            <w:tcBorders/>
            <w:vAlign w:val="center"/>
          </w:tcPr>
          <w:p>
            <w:pPr>
              <w:pStyle w:val="TableContents"/>
              <w:bidi w:val="0"/>
              <w:spacing w:before="0" w:after="283"/>
              <w:jc w:val="left"/>
              <w:rPr/>
            </w:pPr>
            <w:r>
              <w:rPr/>
            </w:r>
          </w:p>
        </w:tc>
      </w:tr>
      <w:tr>
        <w:trPr/>
        <w:tc>
          <w:tcPr>
            <w:tcW w:w="1805" w:type="dxa"/>
            <w:tcBorders/>
            <w:vAlign w:val="center"/>
          </w:tcPr>
          <w:p>
            <w:pPr>
              <w:pStyle w:val="TableContents"/>
              <w:bidi w:val="0"/>
              <w:spacing w:before="0" w:after="283"/>
              <w:jc w:val="left"/>
              <w:rPr/>
            </w:pPr>
            <w:r>
              <w:rPr/>
            </w:r>
          </w:p>
        </w:tc>
        <w:tc>
          <w:tcPr>
            <w:tcW w:w="2210" w:type="dxa"/>
            <w:tcBorders/>
            <w:vAlign w:val="center"/>
          </w:tcPr>
          <w:p>
            <w:pPr>
              <w:pStyle w:val="TableContents"/>
              <w:bidi w:val="0"/>
              <w:spacing w:before="0" w:after="0"/>
              <w:jc w:val="left"/>
              <w:rPr/>
            </w:pPr>
            <w:r>
              <w:rPr/>
              <w:t>Chief Financial Officer</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1561/000114036124005870/ef20020750_ex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20177</Words>
  <Characters>111612</Characters>
  <CharactersWithSpaces>132925</CharactersWithSpaces>
  <Paragraphs>5180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