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Registration No. 333-167690</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333-190508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333-211617</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333-238908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Registration No. 333-280044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June 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333-167690</w:t>
      </w:r>
    </w:p>
    <w:p>
      <w:pPr>
        <w:spacing w:after="0" w:line="63"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333-190508</w:t>
      </w:r>
    </w:p>
    <w:p>
      <w:pPr>
        <w:spacing w:after="0" w:line="9" w:lineRule="exact"/>
        <w:rPr>
          <w:sz w:val="24"/>
          <w:szCs w:val="24"/>
          <w:color w:val="auto"/>
        </w:rPr>
      </w:pPr>
    </w:p>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333-211617</w:t>
      </w:r>
    </w:p>
    <w:p>
      <w:pPr>
        <w:spacing w:after="0" w:line="9"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333-238908</w:t>
      </w:r>
    </w:p>
    <w:p>
      <w:pPr>
        <w:spacing w:after="0" w:line="9" w:lineRule="exact"/>
        <w:rPr>
          <w:sz w:val="24"/>
          <w:szCs w:val="24"/>
          <w:color w:val="auto"/>
        </w:rPr>
      </w:pPr>
    </w:p>
    <w:p>
      <w:pPr>
        <w:ind w:left="1440"/>
        <w:spacing w:after="0" w:line="207" w:lineRule="exact"/>
        <w:rPr>
          <w:sz w:val="20"/>
          <w:szCs w:val="20"/>
          <w:color w:val="auto"/>
        </w:rPr>
      </w:pPr>
      <w:r>
        <w:rPr>
          <w:rFonts w:ascii="Times New Roman" w:cs="Times New Roman" w:eastAsia="Times New Roman" w:hAnsi="Times New Roman"/>
          <w:sz w:val="18"/>
          <w:szCs w:val="18"/>
          <w:b w:val="1"/>
          <w:bCs w:val="1"/>
          <w:color w:val="auto"/>
        </w:rPr>
        <w:t>POST-EFFECTIVE AMENDMENT NO. 1 TO FORM S</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8 REGISTRATION STATEMENT NO. 333-280044</w:t>
      </w: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194310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NU SKIN ENTERPRISES, INC.</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9" w:right="339" w:bottom="0" w:gutter="0" w:footer="0" w:header="0"/>
        </w:sectPr>
      </w:pPr>
    </w:p>
    <w:p>
      <w:pPr>
        <w:spacing w:after="0" w:line="22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b w:val="1"/>
          <w:bCs w:val="1"/>
          <w:color w:val="auto"/>
        </w:rPr>
        <w:t>87-0565309</w:t>
      </w:r>
    </w:p>
    <w:p>
      <w:pPr>
        <w:spacing w:after="0" w:line="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0" w:lineRule="exact"/>
        <w:rPr>
          <w:sz w:val="24"/>
          <w:szCs w:val="24"/>
          <w:color w:val="auto"/>
        </w:rPr>
      </w:pPr>
    </w:p>
    <w:p>
      <w:pPr>
        <w:sectPr>
          <w:pgSz w:w="11900" w:h="16838" w:orient="portrait"/>
          <w:cols w:equalWidth="0" w:num="2">
            <w:col w:w="7100" w:space="720"/>
            <w:col w:w="3420"/>
          </w:cols>
          <w:pgMar w:left="320" w:top="229" w:right="339" w:bottom="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 West Center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Provo, Utah 84601</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210185</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ectPr>
          <w:pgSz w:w="11900" w:h="16838" w:orient="portrait"/>
          <w:cols w:equalWidth="0" w:num="1">
            <w:col w:w="11240"/>
          </w:cols>
          <w:pgMar w:left="320" w:top="229"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left="660" w:right="1940"/>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Nu Skin Enterprises, Inc. 2010 Omnibus Incentive Plan Amended and Restated Nu Skin Enterprises, Inc. 2010 Omnibus Incentive Plan Second Amended and Restated Nu Skin Enterprises, Inc. 2010 Omnibus Incentive Plan Third Amended and Restated Nu Skin Enterprises, Inc. 2010 Omnibus Incentive Plan Nu Skin Enterprises, Inc. 2024 Omnibus Incentive Plan </w:t>
      </w:r>
      <w:r>
        <w:rPr>
          <w:rFonts w:ascii="Times New Roman" w:cs="Times New Roman" w:eastAsia="Times New Roman" w:hAnsi="Times New Roman"/>
          <w:sz w:val="18"/>
          <w:szCs w:val="18"/>
          <w:color w:val="auto"/>
        </w:rPr>
        <w:t>(Full title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327660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Ryan S. Napierski</w:t>
            </w:r>
          </w:p>
        </w:tc>
      </w:tr>
      <w:tr>
        <w:trPr>
          <w:trHeight w:val="216"/>
        </w:trPr>
        <w:tc>
          <w:tcPr>
            <w:tcW w:w="2120" w:type="dxa"/>
            <w:vAlign w:val="bottom"/>
          </w:tcPr>
          <w:p>
            <w:pPr>
              <w:spacing w:after="0"/>
              <w:rPr>
                <w:sz w:val="18"/>
                <w:szCs w:val="18"/>
                <w:color w:val="auto"/>
              </w:rPr>
            </w:pPr>
          </w:p>
        </w:tc>
        <w:tc>
          <w:tcPr>
            <w:tcW w:w="634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9"/>
              </w:rPr>
              <w:t>President and Chief Executive Officer</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r>
      <w:tr>
        <w:trPr>
          <w:trHeight w:val="216"/>
        </w:trPr>
        <w:tc>
          <w:tcPr>
            <w:tcW w:w="2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r>
      <w:tr>
        <w:trPr>
          <w:trHeight w:val="238"/>
        </w:trPr>
        <w:tc>
          <w:tcPr>
            <w:tcW w:w="2120" w:type="dxa"/>
            <w:vAlign w:val="bottom"/>
          </w:tcPr>
          <w:p>
            <w:pPr>
              <w:spacing w:after="0"/>
              <w:rPr>
                <w:sz w:val="20"/>
                <w:szCs w:val="20"/>
                <w:color w:val="auto"/>
              </w:rPr>
            </w:pPr>
          </w:p>
        </w:tc>
        <w:tc>
          <w:tcPr>
            <w:tcW w:w="280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c>
          <w:tcPr>
            <w:tcW w:w="3540" w:type="dxa"/>
            <w:vAlign w:val="bottom"/>
          </w:tcPr>
          <w:p>
            <w:pPr>
              <w:spacing w:after="0"/>
              <w:rPr>
                <w:sz w:val="20"/>
                <w:szCs w:val="20"/>
                <w:color w:val="auto"/>
              </w:rPr>
            </w:pPr>
          </w:p>
        </w:tc>
      </w:tr>
      <w:tr>
        <w:trPr>
          <w:trHeight w:val="414"/>
        </w:trPr>
        <w:tc>
          <w:tcPr>
            <w:tcW w:w="2120" w:type="dxa"/>
            <w:vAlign w:val="bottom"/>
          </w:tcPr>
          <w:p>
            <w:pPr>
              <w:spacing w:after="0"/>
              <w:rPr>
                <w:sz w:val="24"/>
                <w:szCs w:val="24"/>
                <w:color w:val="auto"/>
              </w:rPr>
            </w:pPr>
          </w:p>
        </w:tc>
        <w:tc>
          <w:tcPr>
            <w:tcW w:w="634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color w:val="auto"/>
                <w:w w:val="99"/>
              </w:rPr>
              <w:t>(Name, address and telephone number,</w:t>
            </w:r>
          </w:p>
        </w:tc>
      </w:tr>
      <w:tr>
        <w:trPr>
          <w:trHeight w:val="234"/>
        </w:trPr>
        <w:tc>
          <w:tcPr>
            <w:tcW w:w="2120" w:type="dxa"/>
            <w:vAlign w:val="bottom"/>
          </w:tcPr>
          <w:p>
            <w:pPr>
              <w:spacing w:after="0"/>
              <w:rPr>
                <w:sz w:val="20"/>
                <w:szCs w:val="20"/>
                <w:color w:val="auto"/>
              </w:rPr>
            </w:pPr>
          </w:p>
        </w:tc>
        <w:tc>
          <w:tcPr>
            <w:tcW w:w="6340" w:type="dxa"/>
            <w:vAlign w:val="bottom"/>
            <w:gridSpan w:val="3"/>
          </w:tcPr>
          <w:p>
            <w:pPr>
              <w:jc w:val="center"/>
              <w:ind w:right="2830"/>
              <w:spacing w:after="0"/>
              <w:rPr>
                <w:sz w:val="20"/>
                <w:szCs w:val="20"/>
                <w:color w:val="auto"/>
              </w:rPr>
            </w:pPr>
            <w:r>
              <w:rPr>
                <w:rFonts w:ascii="Times New Roman" w:cs="Times New Roman" w:eastAsia="Times New Roman" w:hAnsi="Times New Roman"/>
                <w:sz w:val="18"/>
                <w:szCs w:val="18"/>
                <w:color w:val="auto"/>
                <w:w w:val="99"/>
              </w:rPr>
              <w:t>including area code, of agent for service)</w:t>
            </w:r>
          </w:p>
        </w:tc>
      </w:tr>
      <w:tr>
        <w:trPr>
          <w:trHeight w:val="30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3540" w:type="dxa"/>
            <w:vAlign w:val="bottom"/>
          </w:tcPr>
          <w:p>
            <w:pPr>
              <w:spacing w:after="0"/>
              <w:rPr>
                <w:sz w:val="24"/>
                <w:szCs w:val="24"/>
                <w:color w:val="auto"/>
              </w:rPr>
            </w:pPr>
          </w:p>
        </w:tc>
      </w:tr>
      <w:tr>
        <w:trPr>
          <w:trHeight w:val="504"/>
        </w:trPr>
        <w:tc>
          <w:tcPr>
            <w:tcW w:w="2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80" w:type="dxa"/>
            <w:vAlign w:val="bottom"/>
            <w:gridSpan w:val="2"/>
          </w:tcPr>
          <w:p>
            <w:pPr>
              <w:jc w:val="center"/>
              <w:ind w:right="3430"/>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Roger Bivans</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Chayce D. Clark</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Baker &amp; McKenzie LLP</w:t>
            </w:r>
          </w:p>
        </w:tc>
        <w:tc>
          <w:tcPr>
            <w:tcW w:w="560" w:type="dxa"/>
            <w:vAlign w:val="bottom"/>
          </w:tcPr>
          <w:p>
            <w:pPr>
              <w:spacing w:after="0"/>
              <w:rPr>
                <w:sz w:val="18"/>
                <w:szCs w:val="18"/>
                <w:color w:val="auto"/>
              </w:rPr>
            </w:pPr>
          </w:p>
        </w:tc>
        <w:tc>
          <w:tcPr>
            <w:tcW w:w="5780" w:type="dxa"/>
            <w:vAlign w:val="bottom"/>
            <w:gridSpan w:val="2"/>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Executive Vice President and General Counsel</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1900 North Pearl</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 Skin Enterprises, Inc.</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Suite 1500</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75 West Center Street</w:t>
            </w:r>
          </w:p>
        </w:tc>
      </w:tr>
      <w:tr>
        <w:trPr>
          <w:trHeight w:val="216"/>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Dallas, TX 75201</w:t>
            </w:r>
          </w:p>
        </w:tc>
        <w:tc>
          <w:tcPr>
            <w:tcW w:w="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Provo, Utah 84601</w:t>
            </w:r>
          </w:p>
        </w:tc>
      </w:tr>
      <w:tr>
        <w:trPr>
          <w:trHeight w:val="238"/>
        </w:trPr>
        <w:tc>
          <w:tcPr>
            <w:tcW w:w="212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(214) 978-3095</w:t>
            </w:r>
          </w:p>
        </w:tc>
        <w:tc>
          <w:tcPr>
            <w:tcW w:w="6340" w:type="dxa"/>
            <w:vAlign w:val="bottom"/>
            <w:gridSpan w:val="3"/>
          </w:tcPr>
          <w:p>
            <w:pPr>
              <w:jc w:val="center"/>
              <w:ind w:left="2690"/>
              <w:spacing w:after="0"/>
              <w:rPr>
                <w:sz w:val="20"/>
                <w:szCs w:val="20"/>
                <w:color w:val="auto"/>
              </w:rPr>
            </w:pPr>
            <w:r>
              <w:rPr>
                <w:rFonts w:ascii="Times New Roman" w:cs="Times New Roman" w:eastAsia="Times New Roman" w:hAnsi="Times New Roman"/>
                <w:sz w:val="18"/>
                <w:szCs w:val="18"/>
                <w:b w:val="1"/>
                <w:bCs w:val="1"/>
                <w:color w:val="auto"/>
                <w:w w:val="99"/>
              </w:rPr>
              <w:t>(801) 345-1000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196850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ectPr>
          <w:pgSz w:w="11900" w:h="16838" w:orient="portrait"/>
          <w:cols w:equalWidth="0" w:num="1">
            <w:col w:w="11240"/>
          </w:cols>
          <w:pgMar w:left="320" w:top="229" w:right="3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company” in Rule 12b-2 of the Exchange Act.</w:t>
      </w:r>
    </w:p>
    <w:p>
      <w:pPr>
        <w:sectPr>
          <w:pgSz w:w="11900" w:h="16838" w:orient="portrait"/>
          <w:cols w:equalWidth="0" w:num="1">
            <w:col w:w="11080"/>
          </w:cols>
          <w:pgMar w:left="320" w:top="121" w:right="499" w:bottom="1440" w:gutter="0" w:footer="0" w:header="0"/>
        </w:sectPr>
      </w:pPr>
    </w:p>
    <w:p>
      <w:pPr>
        <w:spacing w:after="0" w:line="18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0"/>
          <w:szCs w:val="20"/>
          <w:color w:val="auto"/>
        </w:rPr>
      </w:pPr>
    </w:p>
    <w:p>
      <w:pPr>
        <w:sectPr>
          <w:pgSz w:w="11900" w:h="16838" w:orient="portrait"/>
          <w:cols w:equalWidth="0" w:num="3">
            <w:col w:w="5980" w:space="720"/>
            <w:col w:w="1980" w:space="80"/>
            <w:col w:w="2320"/>
          </w:cols>
          <w:pgMar w:left="320" w:top="121" w:right="499" w:bottom="1440" w:gutter="0" w:footer="0" w:header="0"/>
          <w:type w:val="continuous"/>
        </w:sectPr>
      </w:pPr>
    </w:p>
    <w:p>
      <w:pPr>
        <w:spacing w:after="0" w:line="7"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179705</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Nu Skin Enterprises, Inc. (the “Registrant”), previously filed with the Securities and Exchange Commission (the “SEC”) the following registration statements on Form S-8 (collectively, the “Prior Registration Statements”) on the dates set forth below to register shares of the Registrant’s Class A Common Stock, $0.001 par value per share (the “Common Stock”):</w:t>
      </w:r>
    </w:p>
    <w:p>
      <w:pPr>
        <w:spacing w:after="0" w:line="176" w:lineRule="exact"/>
        <w:rPr>
          <w:sz w:val="20"/>
          <w:szCs w:val="20"/>
          <w:color w:val="auto"/>
        </w:rPr>
      </w:pPr>
    </w:p>
    <w:p>
      <w:pPr>
        <w:ind w:left="1300" w:right="400" w:hanging="320"/>
        <w:spacing w:after="0" w:line="261"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333-167690 on June 23, 2010 to register 7,000,000 shares of Common Stock under the Registrant’s 2010 Omnibus Incentive Plan and its amendments (collectively, the “Prior Plan”)</w:t>
      </w: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333-190508 on August 9, 2013 to register 3,247,616 shares of Common Stock under the Prior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333-211617 on May 25, 2016 to register 3,752,694 shares of Common Stock under the Prior Plan</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333-238908 on June 3, 2020 to register 5,896,993 shares of Common Stock under the Prior Plan</w:t>
      </w:r>
    </w:p>
    <w:p>
      <w:pPr>
        <w:spacing w:after="0" w:line="9" w:lineRule="exact"/>
        <w:rPr>
          <w:rFonts w:ascii="Times New Roman" w:cs="Times New Roman" w:eastAsia="Times New Roman" w:hAnsi="Times New Roman"/>
          <w:sz w:val="18"/>
          <w:szCs w:val="18"/>
          <w:color w:val="auto"/>
        </w:rPr>
      </w:pPr>
    </w:p>
    <w:p>
      <w:pPr>
        <w:ind w:left="1300" w:right="60" w:hanging="320"/>
        <w:spacing w:after="0" w:line="260" w:lineRule="auto"/>
        <w:tabs>
          <w:tab w:leader="none" w:pos="1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No. 333-280044 on June 7, 2024 to register 1,219,919 shares of Common Stock under the Registrant’s Nu Skin Enterprises, Inc. 2024 Omnibus Incentive Plan (the “2024 Plan”)</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Registrant’s stockholders approved the 2024 Plan at the Registrant’s 2024 Annual Meeting of Stockholders on June 5, 2024 (the “Effective Date”), and accordingly, no further awards may be granted under the Prior Plan. Pursuant to the terms of the 2024 Plan, the number of shares of Common Stock reserved and available for grant and issuance pursuant to the 2024 Plan is equal to the sum of (i) 1,219,919 shares of Common Stock (the “Newly Authorized Shares”), plus (ii) the number of shares of Common Stock which as of the Effective Date are available for issuance under the Prior Plan (the “Rollover Shares”), plus (iii) the number of shares of Common Stock subject to outstanding awards granted under the Prior Plan that are therefore issuable under the 2024 Plan (the “Recycled Shares” and together with the “Rollover Shares,” the “Transferred Shares”).</w:t>
      </w:r>
    </w:p>
    <w:p>
      <w:pPr>
        <w:spacing w:after="0" w:line="187"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Registrant is filing this Post-Effective Amendment No. 1 to the Prior Registration Statements (the “Post-Effective Amendment”) pursuant to Regulation S-K Item 512(a)(1)(iii) and SEC Compliance and Disclosure Interpretation 126.43 to amend each of the Prior Registration Statements to register the offer of the Transferred Shares under the 2024 Plan.</w:t>
      </w:r>
    </w:p>
    <w:p>
      <w:pPr>
        <w:spacing w:after="0" w:line="135"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In accordance with SEC Compliance and Disclosure Interpretation 126.43, no new filing fee is due upon the filing of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For the avoidance of doubt, the Registrant is not hereby registering any additional shares of Common Stock on this Post-Effective Amendment that were not previously registered on the Prior Registration Statement or that were not previously approved by the Registrant’s stockholders as of the Effective Date. Contemporaneously with the filing of this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Amendment, the Company is filing a Registration Statement on Form S-8 to register the Newly Authorized Shares under the Plan.</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documents containing the information specified in Item 1 and Item 2 of Part I of Form S-8 will be sent or given to participants as specified by Rule 428(b)(1) under the Securities Act of 1933, as amended (the “Securities Act”). In accordance with the rules and regulations of the U.S. Securities and Exchange Commission (the “Commission”) and the instructions to Form S-8, such documents are not being filed with the Commission either as part of this Post-Effective Amendment or as prospectuses or prospectus supplements pursuant to Rule 424 under the Securities Act.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following documents, which have been filed with the Securities and Exchange Commission (the “Commission”) by Nu Skin Enterprises, Inc. (the “Company”), are incorporated by reference in this Post-Effective Amendment, except to the extent that information therein is deemed furnished and not filed pursuant to securities laws and regulations:</w:t>
      </w:r>
    </w:p>
    <w:p>
      <w:pPr>
        <w:spacing w:after="0" w:line="135" w:lineRule="exact"/>
        <w:rPr>
          <w:sz w:val="20"/>
          <w:szCs w:val="20"/>
          <w:color w:val="auto"/>
        </w:rPr>
      </w:pPr>
    </w:p>
    <w:p>
      <w:pPr>
        <w:ind w:left="1300" w:hanging="320"/>
        <w:spacing w:after="0" w:line="207" w:lineRule="exact"/>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20">
        <w:r>
          <w:rPr>
            <w:rFonts w:ascii="Times New Roman" w:cs="Times New Roman" w:eastAsia="Times New Roman" w:hAnsi="Times New Roman"/>
            <w:sz w:val="18"/>
            <w:szCs w:val="18"/>
            <w:u w:val="single" w:color="auto"/>
            <w:color w:val="0000EE"/>
          </w:rPr>
          <w:t>Form 10</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2023;</w:t>
      </w:r>
    </w:p>
    <w:p>
      <w:pPr>
        <w:spacing w:after="0" w:line="225" w:lineRule="exact"/>
        <w:rPr>
          <w:rFonts w:ascii="Times New Roman" w:cs="Times New Roman" w:eastAsia="Times New Roman" w:hAnsi="Times New Roman"/>
          <w:sz w:val="18"/>
          <w:szCs w:val="18"/>
          <w:color w:val="auto"/>
        </w:rPr>
      </w:pPr>
    </w:p>
    <w:p>
      <w:pPr>
        <w:ind w:left="1300" w:hanging="320"/>
        <w:spacing w:after="0" w:line="207" w:lineRule="exact"/>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Quarterly Report on </w:t>
      </w:r>
      <w:hyperlink r:id="rId21">
        <w:r>
          <w:rPr>
            <w:rFonts w:ascii="Times New Roman" w:cs="Times New Roman" w:eastAsia="Times New Roman" w:hAnsi="Times New Roman"/>
            <w:sz w:val="18"/>
            <w:szCs w:val="18"/>
            <w:u w:val="single" w:color="auto"/>
            <w:color w:val="0000EE"/>
          </w:rPr>
          <w:t>Form 10</w:t>
        </w:r>
        <w:r>
          <w:rPr>
            <w:rFonts w:ascii="MS PGothic" w:cs="MS PGothic" w:eastAsia="MS PGothic" w:hAnsi="MS PGothic"/>
            <w:sz w:val="18"/>
            <w:szCs w:val="18"/>
            <w:u w:val="single" w:color="auto"/>
            <w:color w:val="0000EE"/>
          </w:rPr>
          <w:t>‑</w:t>
        </w:r>
        <w:r>
          <w:rPr>
            <w:rFonts w:ascii="Times New Roman" w:cs="Times New Roman" w:eastAsia="Times New Roman" w:hAnsi="Times New Roman"/>
            <w:sz w:val="18"/>
            <w:szCs w:val="18"/>
            <w:u w:val="single" w:color="auto"/>
            <w:color w:val="0000EE"/>
          </w:rPr>
          <w:t>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2024;</w:t>
      </w:r>
    </w:p>
    <w:p>
      <w:pPr>
        <w:spacing w:after="0" w:line="26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on </w:t>
      </w:r>
      <w:hyperlink r:id="rId22">
        <w:r>
          <w:rPr>
            <w:rFonts w:ascii="Times New Roman" w:cs="Times New Roman" w:eastAsia="Times New Roman" w:hAnsi="Times New Roman"/>
            <w:sz w:val="18"/>
            <w:szCs w:val="18"/>
            <w:u w:val="single" w:color="auto"/>
            <w:color w:val="0000EE"/>
          </w:rPr>
          <w:t>February 6, 2024</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March 18,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5">
        <w:r>
          <w:rPr>
            <w:rFonts w:ascii="Times New Roman" w:cs="Times New Roman" w:eastAsia="Times New Roman" w:hAnsi="Times New Roman"/>
            <w:sz w:val="18"/>
            <w:szCs w:val="18"/>
            <w:u w:val="single" w:color="auto"/>
            <w:color w:val="0000EE"/>
          </w:rPr>
          <w:t>June 6, 2024</w:t>
        </w:r>
      </w:hyperlink>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300" w:right="220" w:hanging="320"/>
        <w:spacing w:after="0" w:line="266" w:lineRule="auto"/>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Class A Common Stock, par value $0.001 per share, filed as </w:t>
      </w:r>
      <w:hyperlink r:id="rId26">
        <w:r>
          <w:rPr>
            <w:rFonts w:ascii="Times New Roman" w:cs="Times New Roman" w:eastAsia="Times New Roman" w:hAnsi="Times New Roman"/>
            <w:sz w:val="18"/>
            <w:szCs w:val="18"/>
            <w:u w:val="single" w:color="auto"/>
            <w:color w:val="0000EE"/>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Company’s Annual Report on Form 10-K for the fiscal year ended December 31, 2023, filed on February 15, 2024, together with any amendment or report filed with the Commission for the purpose of updating such description.</w:t>
      </w:r>
    </w:p>
    <w:p>
      <w:pPr>
        <w:spacing w:after="0" w:line="176" w:lineRule="exact"/>
        <w:rPr>
          <w:rFonts w:ascii="Times New Roman" w:cs="Times New Roman" w:eastAsia="Times New Roman" w:hAnsi="Times New Roman"/>
          <w:sz w:val="18"/>
          <w:szCs w:val="18"/>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All documents filed by the Company pursuant to Sections 13(a), 13(c), 14 and 15(d) of the Securities Exchange Act of 1934, as amended (the “Exchange Act”), subsequent to the date hereof and prior to the filing of a post-effective amendment which indicates that all securities offered hereby have been sold or which deregisters all securities remaining unsold shall be deemed to be incorporated by reference herein and to be a part hereof from the respective dates of filing of such documents.</w:t>
      </w:r>
    </w:p>
    <w:p>
      <w:pPr>
        <w:spacing w:after="0" w:line="180" w:lineRule="exact"/>
        <w:rPr>
          <w:rFonts w:ascii="Times New Roman" w:cs="Times New Roman" w:eastAsia="Times New Roman" w:hAnsi="Times New Roman"/>
          <w:sz w:val="18"/>
          <w:szCs w:val="18"/>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Post-Effective Amendment to the extent that a statement contained herein or in any other subsequently filed document that also is, or is deemed to be, incorporated by reference herein modifies or supersedes such statement. Any statement so modified or superseded shall not be deemed, except as so modified or superseded, to constitute a part of this Post-Effective Amendment.</w:t>
      </w:r>
    </w:p>
    <w:p>
      <w:pPr>
        <w:spacing w:after="0" w:line="176"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229" w:lineRule="exact"/>
        <w:rPr>
          <w:rFonts w:ascii="Times New Roman" w:cs="Times New Roman" w:eastAsia="Times New Roman" w:hAnsi="Times New Roman"/>
          <w:sz w:val="18"/>
          <w:szCs w:val="18"/>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145 of the Delaware General Corporation Law (the “DGCL”) provides that a Delaware corporation may indemnify persons who were, are or are threatened to be made parties to any threatened, pending or completed action, suit or proceeding, whether civil, criminal, administrative or investigative (other than an action by or in the right of such corporation), by reason of the fact that such person is or was a director, officer,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the person reasonably believed to be in or not opposed to the corporation’s best interests and, with respect to any criminal action or proceeding, had no reasonable cause to believe that his or her conduct was unlawful. The registrant’s certificate of incorporation and bylaws provide for the indemnification of the registrant’s officers and directors to the fullest extent permitted by the DGCL. The registrant believes that such indemnification is necessary to attract and retain qualified persons as directors and officers. The registrant has also entered into separate indemnification agreements with each of its directors and executive officers.</w:t>
      </w:r>
    </w:p>
    <w:p>
      <w:pPr>
        <w:sectPr>
          <w:pgSz w:w="11900" w:h="16838" w:orient="portrait"/>
          <w:cols w:equalWidth="0" w:num="1">
            <w:col w:w="11240"/>
          </w:cols>
          <w:pgMar w:left="320" w:top="117" w:right="339" w:bottom="1440" w:gutter="0" w:footer="0" w:header="0"/>
        </w:sectPr>
      </w:pPr>
    </w:p>
    <w:p>
      <w:pPr>
        <w:spacing w:after="0" w:line="363"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Section 145 of the DGCL also permits a Delaware corporation to purchase and maintain insurance on behalf of its directors and officers. The registrant’s certificate of incorporation and bylaws permit the registrant to purchase such insurance on behalf of its directors and officers. The registrant believes that such insurance is necessary to attract and retain qualified persons as directors and officers. The registrant has purchased such insurance on behalf of its directors and officers.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 of Liability</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Section 102(b)(7) of the DGCL provides that the certificate of incorporation of a corporation may contain a provision eliminating or limiting the personal liability of a director or officer to the corporation or its stockholders for monetary damages for breach of fiduciary duty as a director or officer, provided that such provision shall not eliminate or limit the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under Section 174 of the DGCL; (iv) a director or officer for any transaction from which the director or officer derived an improper personal benefit; and (v) an officer in any action by or in the right of the corporation. The registrant’s certificate of incorporation provides for, to the fullest extent permitted by the DGCL, elimination or limitation of liability of its directors to the registrant or its stockholders for breach of fiduciary duty as a director.</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otherwise noted, the SEC file number for exhibits incorporated by reference is 001-12421.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18"/>
                <w:szCs w:val="18"/>
                <w:color w:val="auto"/>
              </w:rPr>
            </w:pPr>
          </w:p>
        </w:tc>
        <w:tc>
          <w:tcPr>
            <w:tcW w:w="10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320" w:type="dxa"/>
            <w:vAlign w:val="bottom"/>
          </w:tcPr>
          <w:p>
            <w:pPr>
              <w:spacing w:after="0"/>
              <w:rPr>
                <w:sz w:val="17"/>
                <w:szCs w:val="17"/>
                <w:color w:val="auto"/>
              </w:rPr>
            </w:pPr>
          </w:p>
        </w:tc>
        <w:tc>
          <w:tcPr>
            <w:tcW w:w="106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9860" w:type="dxa"/>
            <w:vAlign w:val="bottom"/>
            <w:gridSpan w:val="2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3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4.1</w:t>
            </w:r>
          </w:p>
        </w:tc>
        <w:tc>
          <w:tcPr>
            <w:tcW w:w="420" w:type="dxa"/>
            <w:vAlign w:val="bottom"/>
            <w:tcBorders>
              <w:bottom w:val="single" w:sz="8" w:color="CCEEFF"/>
            </w:tcBorders>
            <w:shd w:val="clear" w:color="auto" w:fill="CCEEFF"/>
          </w:tcPr>
          <w:p>
            <w:pPr>
              <w:spacing w:after="0"/>
              <w:rPr>
                <w:sz w:val="15"/>
                <w:szCs w:val="15"/>
                <w:color w:val="auto"/>
              </w:rPr>
            </w:pPr>
          </w:p>
        </w:tc>
        <w:tc>
          <w:tcPr>
            <w:tcW w:w="92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Amended and Restated Certificate of Incorporation of the Company (incorporated by reference to Exhibit 3.1 to the Company’s</w:t>
              </w:r>
            </w:hyperlink>
          </w:p>
        </w:tc>
        <w:tc>
          <w:tcPr>
            <w:tcW w:w="660" w:type="dxa"/>
            <w:vAlign w:val="bottom"/>
            <w:tcBorders>
              <w:bottom w:val="single" w:sz="8" w:color="CCEEFF"/>
            </w:tcBorders>
            <w:gridSpan w:val="9"/>
            <w:shd w:val="clear" w:color="auto" w:fill="CCEEFF"/>
          </w:tcPr>
          <w:p>
            <w:pPr>
              <w:spacing w:after="0"/>
              <w:rPr>
                <w:sz w:val="15"/>
                <w:szCs w:val="15"/>
                <w:color w:val="auto"/>
              </w:rPr>
            </w:pPr>
          </w:p>
        </w:tc>
      </w:tr>
      <w:tr>
        <w:trPr>
          <w:trHeight w:val="217"/>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6080" w:type="dxa"/>
            <w:vAlign w:val="bottom"/>
            <w:tcBorders>
              <w:bottom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w w:val="99"/>
              </w:rPr>
            </w:pPr>
            <w:hyperlink r:id="rId28">
              <w:r>
                <w:rPr>
                  <w:rFonts w:ascii="Times New Roman" w:cs="Times New Roman" w:eastAsia="Times New Roman" w:hAnsi="Times New Roman"/>
                  <w:sz w:val="18"/>
                  <w:szCs w:val="18"/>
                  <w:color w:val="0000EE"/>
                  <w:w w:val="99"/>
                </w:rPr>
                <w:t>Registration Statement on Form S-1 filed September 16, 1996, File No. 333-12073).</w:t>
              </w:r>
            </w:hyperlink>
          </w:p>
        </w:tc>
        <w:tc>
          <w:tcPr>
            <w:tcW w:w="3780" w:type="dxa"/>
            <w:vAlign w:val="bottom"/>
            <w:tcBorders>
              <w:bottom w:val="single" w:sz="8" w:color="CCEEFF"/>
            </w:tcBorders>
            <w:gridSpan w:val="15"/>
            <w:shd w:val="clear" w:color="auto" w:fill="CCEEFF"/>
          </w:tcPr>
          <w:p>
            <w:pPr>
              <w:spacing w:after="0"/>
              <w:rPr>
                <w:sz w:val="18"/>
                <w:szCs w:val="18"/>
                <w:color w:val="auto"/>
              </w:rPr>
            </w:pPr>
          </w:p>
        </w:tc>
      </w:tr>
      <w:tr>
        <w:trPr>
          <w:trHeight w:val="175"/>
        </w:trPr>
        <w:tc>
          <w:tcPr>
            <w:tcW w:w="9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4.2</w:t>
            </w:r>
          </w:p>
        </w:tc>
        <w:tc>
          <w:tcPr>
            <w:tcW w:w="420" w:type="dxa"/>
            <w:vAlign w:val="bottom"/>
          </w:tcPr>
          <w:p>
            <w:pPr>
              <w:spacing w:after="0"/>
              <w:rPr>
                <w:sz w:val="15"/>
                <w:szCs w:val="15"/>
                <w:color w:val="auto"/>
              </w:rPr>
            </w:pPr>
          </w:p>
        </w:tc>
        <w:tc>
          <w:tcPr>
            <w:tcW w:w="9520" w:type="dxa"/>
            <w:vAlign w:val="bottom"/>
            <w:tcBorders>
              <w:bottom w:val="single" w:sz="8" w:color="0000EE"/>
            </w:tcBorders>
            <w:gridSpan w:val="17"/>
          </w:tcPr>
          <w:p>
            <w:pPr>
              <w:spacing w:after="0" w:line="176" w:lineRule="exact"/>
              <w:rPr>
                <w:rFonts w:ascii="Times New Roman" w:cs="Times New Roman" w:eastAsia="Times New Roman" w:hAnsi="Times New Roman"/>
                <w:sz w:val="18"/>
                <w:szCs w:val="18"/>
                <w:color w:val="0000EE"/>
                <w:w w:val="99"/>
              </w:rPr>
            </w:pPr>
            <w:hyperlink r:id="rId29">
              <w:r>
                <w:rPr>
                  <w:rFonts w:ascii="Times New Roman" w:cs="Times New Roman" w:eastAsia="Times New Roman" w:hAnsi="Times New Roman"/>
                  <w:sz w:val="18"/>
                  <w:szCs w:val="18"/>
                  <w:color w:val="0000EE"/>
                  <w:w w:val="99"/>
                </w:rPr>
                <w:t>Certificate of Amendment to the Amended and Restated Certificate of Incorporation (incorporated by reference to Exhibit 3.2 to the</w:t>
              </w:r>
            </w:hyperlink>
          </w:p>
        </w:tc>
        <w:tc>
          <w:tcPr>
            <w:tcW w:w="340" w:type="dxa"/>
            <w:vAlign w:val="bottom"/>
            <w:gridSpan w:val="6"/>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Company’s Annual Report on Form 10-K for the year ended December 31, 2009, filed March 1, 2010).</w:t>
              </w:r>
            </w:hyperlink>
          </w:p>
        </w:tc>
      </w:tr>
      <w:tr>
        <w:trPr>
          <w:trHeight w:val="21"/>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960" w:type="dxa"/>
            <w:vAlign w:val="bottom"/>
            <w:tcBorders>
              <w:bottom w:val="single" w:sz="8" w:color="CCEEFF"/>
            </w:tcBorders>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4.3</w:t>
            </w:r>
          </w:p>
        </w:tc>
        <w:tc>
          <w:tcPr>
            <w:tcW w:w="420" w:type="dxa"/>
            <w:vAlign w:val="bottom"/>
            <w:tcBorders>
              <w:bottom w:val="single" w:sz="8" w:color="CCEEFF"/>
            </w:tcBorders>
            <w:shd w:val="clear" w:color="auto" w:fill="CCEEFF"/>
          </w:tcPr>
          <w:p>
            <w:pPr>
              <w:spacing w:after="0"/>
              <w:rPr>
                <w:sz w:val="15"/>
                <w:szCs w:val="15"/>
                <w:color w:val="auto"/>
              </w:rPr>
            </w:pPr>
          </w:p>
        </w:tc>
        <w:tc>
          <w:tcPr>
            <w:tcW w:w="89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Certificate of Designation, Preferences and Relative Participating, Optional and Other Special Rights of Preferred Stock and</w:t>
              </w:r>
            </w:hyperlink>
          </w:p>
        </w:tc>
        <w:tc>
          <w:tcPr>
            <w:tcW w:w="900" w:type="dxa"/>
            <w:vAlign w:val="bottom"/>
            <w:tcBorders>
              <w:bottom w:val="single" w:sz="8" w:color="CCEEFF"/>
            </w:tcBorders>
            <w:gridSpan w:val="10"/>
            <w:shd w:val="clear" w:color="auto" w:fill="CCEEFF"/>
          </w:tcPr>
          <w:p>
            <w:pPr>
              <w:spacing w:after="0"/>
              <w:rPr>
                <w:sz w:val="15"/>
                <w:szCs w:val="15"/>
                <w:color w:val="auto"/>
              </w:rPr>
            </w:pPr>
          </w:p>
        </w:tc>
      </w:tr>
      <w:tr>
        <w:trPr>
          <w:trHeight w:val="196"/>
        </w:trPr>
        <w:tc>
          <w:tcPr>
            <w:tcW w:w="3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40" w:type="dxa"/>
            <w:vAlign w:val="bottom"/>
            <w:tcBorders>
              <w:bottom w:val="single" w:sz="8" w:color="0000EE"/>
            </w:tcBorders>
            <w:gridSpan w:val="22"/>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Qualifications, Limitations and Restrictions Thereof (incorporated by reference to Exhibit 3.3 to the Company’s Annual Report on Form</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900" w:type="dxa"/>
            <w:vAlign w:val="bottom"/>
            <w:tcBorders>
              <w:bottom w:val="single" w:sz="8" w:color="0000EE"/>
            </w:tcBorders>
            <w:gridSpan w:val="7"/>
            <w:shd w:val="clear" w:color="auto" w:fill="CCEEFF"/>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10-K for the year ended December 31, 2004, filed March 15, 2005).</w:t>
              </w:r>
            </w:hyperlink>
          </w:p>
        </w:tc>
        <w:tc>
          <w:tcPr>
            <w:tcW w:w="4960" w:type="dxa"/>
            <w:vAlign w:val="bottom"/>
            <w:tcBorders>
              <w:bottom w:val="single" w:sz="8" w:color="CCEEFF"/>
            </w:tcBorders>
            <w:gridSpan w:val="16"/>
            <w:shd w:val="clear" w:color="auto" w:fill="CCEEFF"/>
          </w:tcPr>
          <w:p>
            <w:pPr>
              <w:spacing w:after="0"/>
              <w:rPr>
                <w:sz w:val="18"/>
                <w:szCs w:val="18"/>
                <w:color w:val="auto"/>
              </w:rPr>
            </w:pPr>
          </w:p>
        </w:tc>
      </w:tr>
      <w:tr>
        <w:trPr>
          <w:trHeight w:val="176"/>
        </w:trPr>
        <w:tc>
          <w:tcPr>
            <w:tcW w:w="960" w:type="dxa"/>
            <w:vAlign w:val="bottom"/>
            <w:gridSpan w:val="2"/>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4.4</w:t>
            </w:r>
          </w:p>
        </w:tc>
        <w:tc>
          <w:tcPr>
            <w:tcW w:w="420" w:type="dxa"/>
            <w:vAlign w:val="bottom"/>
          </w:tcPr>
          <w:p>
            <w:pPr>
              <w:spacing w:after="0"/>
              <w:rPr>
                <w:sz w:val="15"/>
                <w:szCs w:val="15"/>
                <w:color w:val="auto"/>
              </w:rPr>
            </w:pPr>
          </w:p>
        </w:tc>
        <w:tc>
          <w:tcPr>
            <w:tcW w:w="9600" w:type="dxa"/>
            <w:vAlign w:val="bottom"/>
            <w:tcBorders>
              <w:bottom w:val="single" w:sz="8" w:color="0000EE"/>
            </w:tcBorders>
            <w:gridSpan w:val="18"/>
          </w:tcPr>
          <w:p>
            <w:pPr>
              <w:spacing w:after="0" w:line="17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Fifth Amended and Restated Bylaws of Nu Skin Enterprises, Inc. (incorporated by reference to Exhibit 3.1 to the Company’s Current</w:t>
              </w:r>
            </w:hyperlink>
          </w:p>
        </w:tc>
        <w:tc>
          <w:tcPr>
            <w:tcW w:w="260" w:type="dxa"/>
            <w:vAlign w:val="bottom"/>
            <w:gridSpan w:val="5"/>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Report on Form 8-K filed February 6, 2024).</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jc w:val="center"/>
              <w:ind w:left="250"/>
              <w:spacing w:after="0" w:line="176" w:lineRule="exact"/>
              <w:rPr>
                <w:sz w:val="20"/>
                <w:szCs w:val="20"/>
                <w:color w:val="auto"/>
              </w:rPr>
            </w:pPr>
            <w:r>
              <w:rPr>
                <w:rFonts w:ascii="Times New Roman" w:cs="Times New Roman" w:eastAsia="Times New Roman" w:hAnsi="Times New Roman"/>
                <w:sz w:val="18"/>
                <w:szCs w:val="18"/>
                <w:color w:val="auto"/>
                <w:w w:val="97"/>
              </w:rPr>
              <w:t>4.5</w:t>
            </w:r>
          </w:p>
        </w:tc>
        <w:tc>
          <w:tcPr>
            <w:tcW w:w="420" w:type="dxa"/>
            <w:vAlign w:val="bottom"/>
            <w:shd w:val="clear" w:color="auto" w:fill="CCEEFF"/>
          </w:tcPr>
          <w:p>
            <w:pPr>
              <w:spacing w:after="0"/>
              <w:rPr>
                <w:sz w:val="15"/>
                <w:szCs w:val="15"/>
                <w:color w:val="auto"/>
              </w:rPr>
            </w:pPr>
          </w:p>
        </w:tc>
        <w:tc>
          <w:tcPr>
            <w:tcW w:w="986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Specimen Form of Stock Certificate for Class A Common Stock (incorporated by reference to Exhibit 4.1 to the Company’s Annual</w:t>
              </w:r>
            </w:hyperlink>
          </w:p>
        </w:tc>
      </w:tr>
      <w:tr>
        <w:trPr>
          <w:trHeight w:val="217"/>
        </w:trPr>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6280" w:type="dxa"/>
            <w:vAlign w:val="bottom"/>
            <w:tcBorders>
              <w:top w:val="single" w:sz="8" w:color="0000EE"/>
              <w:bottom w:val="single" w:sz="8" w:color="0000EE"/>
            </w:tcBorders>
            <w:gridSpan w:val="10"/>
            <w:shd w:val="clear" w:color="auto" w:fill="CCEEFF"/>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Report on Form 10-K for the year ended December 31, 2022, filed February 16, 2023).</w:t>
              </w:r>
            </w:hyperlink>
          </w:p>
        </w:tc>
        <w:tc>
          <w:tcPr>
            <w:tcW w:w="322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360" w:type="dxa"/>
            <w:vAlign w:val="bottom"/>
            <w:tcBorders>
              <w:top w:val="single" w:sz="8" w:color="CCEEFF"/>
              <w:bottom w:val="single" w:sz="8" w:color="CCEEFF"/>
            </w:tcBorders>
            <w:gridSpan w:val="7"/>
            <w:shd w:val="clear" w:color="auto" w:fill="CCEEFF"/>
          </w:tcPr>
          <w:p>
            <w:pPr>
              <w:spacing w:after="0"/>
              <w:rPr>
                <w:sz w:val="18"/>
                <w:szCs w:val="18"/>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98"/>
              </w:rPr>
              <w:t>23.1*</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Consent of PricewaterhouseCoopers LLP, independent registered public accounting firm.</w:t>
            </w:r>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6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w w:val="98"/>
              </w:rPr>
              <w:t>24.1*</w:t>
            </w:r>
          </w:p>
        </w:tc>
        <w:tc>
          <w:tcPr>
            <w:tcW w:w="420" w:type="dxa"/>
            <w:vAlign w:val="bottom"/>
            <w:tcBorders>
              <w:bottom w:val="single" w:sz="8" w:color="CCEEFF"/>
            </w:tcBorders>
            <w:shd w:val="clear" w:color="auto" w:fill="CCEEFF"/>
          </w:tcPr>
          <w:p>
            <w:pPr>
              <w:spacing w:after="0"/>
              <w:rPr>
                <w:sz w:val="17"/>
                <w:szCs w:val="17"/>
                <w:color w:val="auto"/>
              </w:rPr>
            </w:pPr>
          </w:p>
        </w:tc>
        <w:tc>
          <w:tcPr>
            <w:tcW w:w="626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of this Post-Effective Amendment).</w:t>
            </w:r>
          </w:p>
        </w:tc>
        <w:tc>
          <w:tcPr>
            <w:tcW w:w="3600" w:type="dxa"/>
            <w:vAlign w:val="bottom"/>
            <w:tcBorders>
              <w:bottom w:val="single" w:sz="8" w:color="CCEEFF"/>
            </w:tcBorders>
            <w:gridSpan w:val="14"/>
            <w:shd w:val="clear" w:color="auto" w:fill="CCEEFF"/>
          </w:tcPr>
          <w:p>
            <w:pPr>
              <w:spacing w:after="0"/>
              <w:rPr>
                <w:sz w:val="17"/>
                <w:szCs w:val="17"/>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Nu Skin Enterprises, Inc. 2010 Omnibus Incentive Plan (incorporated by reference to Exhibit 10.1 to the Company’s Current Report on</w:t>
              </w:r>
            </w:hyperlink>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74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Form 8-K filed on June 2, 2010).</w:t>
              </w:r>
            </w:hyperlink>
          </w:p>
        </w:tc>
        <w:tc>
          <w:tcPr>
            <w:tcW w:w="120" w:type="dxa"/>
            <w:vAlign w:val="bottom"/>
            <w:gridSpan w:val="3"/>
          </w:tcPr>
          <w:p>
            <w:pPr>
              <w:spacing w:after="0"/>
              <w:rPr>
                <w:sz w:val="17"/>
                <w:szCs w:val="17"/>
                <w:color w:val="auto"/>
              </w:rPr>
            </w:pPr>
          </w:p>
        </w:tc>
      </w:tr>
      <w:tr>
        <w:trPr>
          <w:trHeight w:val="21"/>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420" w:type="dxa"/>
            <w:vAlign w:val="bottom"/>
            <w:shd w:val="clear" w:color="auto" w:fill="CCEEFF"/>
          </w:tcPr>
          <w:p>
            <w:pPr>
              <w:spacing w:after="0"/>
              <w:rPr>
                <w:sz w:val="15"/>
                <w:szCs w:val="15"/>
                <w:color w:val="auto"/>
              </w:rPr>
            </w:pPr>
          </w:p>
        </w:tc>
        <w:tc>
          <w:tcPr>
            <w:tcW w:w="9860" w:type="dxa"/>
            <w:vAlign w:val="bottom"/>
            <w:gridSpan w:val="23"/>
            <w:shd w:val="clear" w:color="auto" w:fill="CCEEFF"/>
          </w:tcPr>
          <w:p>
            <w:pPr>
              <w:spacing w:after="0" w:line="17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Amended and Restated Nu Skin Enterprises, Inc. 2010 Omnibus Incentive Plan (incorporated by reference to Exhibit 10.1 to the</w:t>
              </w:r>
            </w:hyperlink>
          </w:p>
        </w:tc>
      </w:tr>
      <w:tr>
        <w:trPr>
          <w:trHeight w:val="196"/>
        </w:trPr>
        <w:tc>
          <w:tcPr>
            <w:tcW w:w="3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9240" w:type="dxa"/>
            <w:vAlign w:val="bottom"/>
            <w:tcBorders>
              <w:top w:val="single" w:sz="8" w:color="0000EE"/>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Company’s Current Report on Form 8-K filed on June 7, 2013).</w:t>
              </w:r>
            </w:hyperlink>
          </w:p>
        </w:tc>
        <w:tc>
          <w:tcPr>
            <w:tcW w:w="620" w:type="dxa"/>
            <w:vAlign w:val="bottom"/>
            <w:tcBorders>
              <w:top w:val="single" w:sz="8" w:color="CCEEFF"/>
            </w:tcBorders>
            <w:gridSpan w:val="8"/>
            <w:shd w:val="clear" w:color="auto" w:fill="CCEEFF"/>
          </w:tcPr>
          <w:p>
            <w:pPr>
              <w:spacing w:after="0"/>
              <w:rPr>
                <w:sz w:val="17"/>
                <w:szCs w:val="17"/>
                <w:color w:val="auto"/>
              </w:rPr>
            </w:pPr>
          </w:p>
        </w:tc>
      </w:tr>
      <w:tr>
        <w:trPr>
          <w:trHeight w:val="20"/>
        </w:trPr>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99.3</w:t>
            </w:r>
          </w:p>
        </w:tc>
        <w:tc>
          <w:tcPr>
            <w:tcW w:w="420" w:type="dxa"/>
            <w:vAlign w:val="bottom"/>
          </w:tcPr>
          <w:p>
            <w:pPr>
              <w:spacing w:after="0"/>
              <w:rPr>
                <w:sz w:val="15"/>
                <w:szCs w:val="15"/>
                <w:color w:val="auto"/>
              </w:rPr>
            </w:pPr>
          </w:p>
        </w:tc>
        <w:tc>
          <w:tcPr>
            <w:tcW w:w="982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Second Amended and Restated Nu Skin Enterprises, Inc. 2010 Omnibus Incentive Plan (incorporated by reference to Exhibit 10.1 to the</w:t>
              </w:r>
            </w:hyperlink>
          </w:p>
        </w:tc>
        <w:tc>
          <w:tcPr>
            <w:tcW w:w="40" w:type="dxa"/>
            <w:vAlign w:val="bottom"/>
            <w:gridSpan w:val="2"/>
          </w:tcPr>
          <w:p>
            <w:pPr>
              <w:spacing w:after="0"/>
              <w:rPr>
                <w:sz w:val="15"/>
                <w:szCs w:val="15"/>
                <w:color w:val="auto"/>
              </w:rPr>
            </w:pPr>
          </w:p>
        </w:tc>
      </w:tr>
      <w:tr>
        <w:trPr>
          <w:trHeight w:val="196"/>
        </w:trPr>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860" w:type="dxa"/>
            <w:vAlign w:val="bottom"/>
            <w:gridSpan w:val="23"/>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Company’s Current Report on Form 8-K filed May 24, 2016).</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tcBorders>
              <w:bottom w:val="single" w:sz="8" w:color="CCEEFF"/>
            </w:tcBorders>
            <w:gridSpan w:val="2"/>
            <w:shd w:val="clear" w:color="auto" w:fill="CCEEFF"/>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99.4</w:t>
            </w:r>
          </w:p>
        </w:tc>
        <w:tc>
          <w:tcPr>
            <w:tcW w:w="420" w:type="dxa"/>
            <w:vAlign w:val="bottom"/>
            <w:tcBorders>
              <w:bottom w:val="single" w:sz="8" w:color="CCEEFF"/>
            </w:tcBorders>
            <w:shd w:val="clear" w:color="auto" w:fill="CCEEFF"/>
          </w:tcPr>
          <w:p>
            <w:pPr>
              <w:spacing w:after="0"/>
              <w:rPr>
                <w:sz w:val="15"/>
                <w:szCs w:val="15"/>
                <w:color w:val="auto"/>
              </w:rPr>
            </w:pPr>
          </w:p>
        </w:tc>
        <w:tc>
          <w:tcPr>
            <w:tcW w:w="962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Third Amended and Restated 2010 Omnibus Incentive Plan (incorporated by reference to Exhibit 99.1 to the Company’s Registration</w:t>
              </w:r>
            </w:hyperlink>
          </w:p>
        </w:tc>
        <w:tc>
          <w:tcPr>
            <w:tcW w:w="240" w:type="dxa"/>
            <w:vAlign w:val="bottom"/>
            <w:tcBorders>
              <w:bottom w:val="single" w:sz="8" w:color="CCEEFF"/>
            </w:tcBorders>
            <w:gridSpan w:val="4"/>
            <w:shd w:val="clear" w:color="auto" w:fill="CCEEFF"/>
          </w:tcPr>
          <w:p>
            <w:pPr>
              <w:spacing w:after="0"/>
              <w:rPr>
                <w:sz w:val="15"/>
                <w:szCs w:val="15"/>
                <w:color w:val="auto"/>
              </w:rPr>
            </w:pPr>
          </w:p>
        </w:tc>
      </w:tr>
      <w:tr>
        <w:trPr>
          <w:trHeight w:val="216"/>
        </w:trPr>
        <w:tc>
          <w:tcPr>
            <w:tcW w:w="3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4640" w:type="dxa"/>
            <w:vAlign w:val="bottom"/>
            <w:tcBorders>
              <w:bottom w:val="single" w:sz="8" w:color="0000EE"/>
            </w:tcBorders>
            <w:gridSpan w:val="6"/>
            <w:shd w:val="clear" w:color="auto" w:fill="CCEEFF"/>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Statement on Form S-8 filed June 3, 2020, file no. 333-238908).</w:t>
              </w:r>
            </w:hyperlink>
          </w:p>
        </w:tc>
        <w:tc>
          <w:tcPr>
            <w:tcW w:w="5220" w:type="dxa"/>
            <w:vAlign w:val="bottom"/>
            <w:tcBorders>
              <w:bottom w:val="single" w:sz="8" w:color="CCEEFF"/>
            </w:tcBorders>
            <w:gridSpan w:val="17"/>
            <w:shd w:val="clear" w:color="auto" w:fill="CCEEFF"/>
          </w:tcPr>
          <w:p>
            <w:pPr>
              <w:spacing w:after="0"/>
              <w:rPr>
                <w:sz w:val="18"/>
                <w:szCs w:val="18"/>
                <w:color w:val="auto"/>
              </w:rPr>
            </w:pPr>
          </w:p>
        </w:tc>
      </w:tr>
      <w:tr>
        <w:trPr>
          <w:trHeight w:val="176"/>
        </w:trPr>
        <w:tc>
          <w:tcPr>
            <w:tcW w:w="960" w:type="dxa"/>
            <w:vAlign w:val="bottom"/>
            <w:gridSpan w:val="2"/>
          </w:tcPr>
          <w:p>
            <w:pPr>
              <w:jc w:val="center"/>
              <w:ind w:left="230"/>
              <w:spacing w:after="0" w:line="176" w:lineRule="exact"/>
              <w:rPr>
                <w:sz w:val="20"/>
                <w:szCs w:val="20"/>
                <w:color w:val="auto"/>
              </w:rPr>
            </w:pPr>
            <w:r>
              <w:rPr>
                <w:rFonts w:ascii="Times New Roman" w:cs="Times New Roman" w:eastAsia="Times New Roman" w:hAnsi="Times New Roman"/>
                <w:sz w:val="18"/>
                <w:szCs w:val="18"/>
                <w:color w:val="auto"/>
              </w:rPr>
              <w:t>99.5</w:t>
            </w:r>
          </w:p>
        </w:tc>
        <w:tc>
          <w:tcPr>
            <w:tcW w:w="420" w:type="dxa"/>
            <w:vAlign w:val="bottom"/>
          </w:tcPr>
          <w:p>
            <w:pPr>
              <w:spacing w:after="0"/>
              <w:rPr>
                <w:sz w:val="15"/>
                <w:szCs w:val="15"/>
                <w:color w:val="auto"/>
              </w:rPr>
            </w:pPr>
          </w:p>
        </w:tc>
        <w:tc>
          <w:tcPr>
            <w:tcW w:w="9860" w:type="dxa"/>
            <w:vAlign w:val="bottom"/>
            <w:gridSpan w:val="23"/>
          </w:tcPr>
          <w:p>
            <w:pPr>
              <w:spacing w:after="0" w:line="17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Nu Skin Enterprises, Inc. 2024 Omnibus Incentive Plan (incorporated by reference to Exhibit 10.1 to the Company’s Current Report on</w:t>
              </w:r>
            </w:hyperlink>
          </w:p>
        </w:tc>
      </w:tr>
      <w:tr>
        <w:trPr>
          <w:trHeight w:val="20"/>
        </w:trPr>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 w:lineRule="exact"/>
        <w:rPr>
          <w:sz w:val="20"/>
          <w:szCs w:val="20"/>
          <w:color w:val="auto"/>
        </w:rPr>
      </w:pPr>
    </w:p>
    <w:p>
      <w:pPr>
        <w:ind w:left="1380"/>
        <w:spacing w:after="0"/>
        <w:rPr>
          <w:rFonts w:ascii="Times New Roman" w:cs="Times New Roman" w:eastAsia="Times New Roman" w:hAnsi="Times New Roman"/>
          <w:sz w:val="18"/>
          <w:szCs w:val="18"/>
          <w:u w:val="single" w:color="auto"/>
          <w:color w:val="0000EE"/>
        </w:rPr>
      </w:pPr>
      <w:hyperlink r:id="rId37">
        <w:r>
          <w:rPr>
            <w:rFonts w:ascii="Times New Roman" w:cs="Times New Roman" w:eastAsia="Times New Roman" w:hAnsi="Times New Roman"/>
            <w:sz w:val="18"/>
            <w:szCs w:val="18"/>
            <w:u w:val="single" w:color="auto"/>
            <w:color w:val="0000EE"/>
          </w:rPr>
          <w:t>Form 8-K filed June 6, 2024).</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2620" w:hanging="668"/>
        <w:spacing w:after="0"/>
        <w:tabs>
          <w:tab w:leader="none" w:pos="2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ind w:left="1300" w:right="100" w:firstLine="652"/>
        <w:spacing w:after="0" w:line="255" w:lineRule="auto"/>
        <w:tabs>
          <w:tab w:leader="none" w:pos="2614"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 and</w:t>
      </w:r>
    </w:p>
    <w:p>
      <w:pPr>
        <w:spacing w:after="0" w:line="188" w:lineRule="exact"/>
        <w:rPr>
          <w:rFonts w:ascii="Times New Roman" w:cs="Times New Roman" w:eastAsia="Times New Roman" w:hAnsi="Times New Roman"/>
          <w:sz w:val="18"/>
          <w:szCs w:val="18"/>
          <w:color w:val="auto"/>
        </w:rPr>
      </w:pPr>
    </w:p>
    <w:p>
      <w:pPr>
        <w:ind w:left="1300" w:right="100" w:firstLine="652"/>
        <w:spacing w:after="0" w:line="282" w:lineRule="auto"/>
        <w:tabs>
          <w:tab w:leader="none" w:pos="2623"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registration statement is on Form S-8, and the information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left="660" w:right="20" w:firstLine="644"/>
        <w:spacing w:after="0" w:line="266" w:lineRule="auto"/>
        <w:tabs>
          <w:tab w:leader="none" w:pos="192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right="20" w:firstLine="644"/>
        <w:spacing w:after="0" w:line="282" w:lineRule="auto"/>
        <w:tabs>
          <w:tab w:leader="none" w:pos="19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120" w:firstLine="656"/>
        <w:spacing w:after="0" w:line="258" w:lineRule="auto"/>
        <w:tabs>
          <w:tab w:leader="none" w:pos="130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firstLine="656"/>
        <w:spacing w:after="0" w:line="254" w:lineRule="auto"/>
        <w:tabs>
          <w:tab w:leader="none" w:pos="129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8 and has duly caused this registration statement to be signed on its behalf by the undersigned, thereunto duly authorized, in the City of Provo, State of Utah, on this 7th day of June, 2024.</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NU SKIN ENTERPRISES,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Ryan S. Napierski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0">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Ryan S. Napierski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KNOW ALL MEN BY THESE PRESENTS, that each person whose signature appears below hereby constitutes and appoints Ryan S. Napierski and Chayce D. Clark, and each of them, his or her true and lawful attorneys-in-fact and agents, with full power of substitution and resubstitution, for him or her and in his or her name, place and stead, in any and all capacities, to sign any and all amendments to the registration statement (including post-effective amendments), and to file the same, with all exhibits thereto, and other documents in connection therewith, with the Securities and Exchange Commission, granting each of said attorneys-in-fact and agents full power and authority to do and perform each and every act and thing requisite and necessary to be done in and about the premises, as full to all intents and purposes as he or she might or could do in person, hereby ratifying and confirming all that said attorneys-in-fact and agents or any of them, or their substitute, may lawfully do or cause to be done by virtue hereof.</w:t>
      </w:r>
    </w:p>
    <w:p>
      <w:pPr>
        <w:spacing w:after="0" w:line="18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0" w:type="dxa"/>
            <w:vAlign w:val="bottom"/>
          </w:tcPr>
          <w:p>
            <w:pPr>
              <w:spacing w:after="0"/>
              <w:rPr>
                <w:sz w:val="17"/>
                <w:szCs w:val="17"/>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08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40" w:type="dxa"/>
            <w:vAlign w:val="bottom"/>
          </w:tcPr>
          <w:p>
            <w:pPr>
              <w:spacing w:after="0"/>
              <w:rPr>
                <w:sz w:val="17"/>
                <w:szCs w:val="17"/>
                <w:color w:val="auto"/>
              </w:rPr>
            </w:pPr>
          </w:p>
        </w:tc>
        <w:tc>
          <w:tcPr>
            <w:tcW w:w="1860" w:type="dxa"/>
            <w:vAlign w:val="bottom"/>
            <w:gridSpan w:val="2"/>
          </w:tcPr>
          <w:p>
            <w:pPr>
              <w:jc w:val="center"/>
              <w:ind w:right="150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73"/>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Steven J. Lund</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Executive Chairman of the Board</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Steven J. Lund</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Ryan S. Napierski</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Ryan S. Napierski</w:t>
            </w:r>
          </w:p>
        </w:tc>
        <w:tc>
          <w:tcPr>
            <w:tcW w:w="4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James D. Thomas</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James D. Thomas</w:t>
            </w:r>
          </w:p>
        </w:tc>
        <w:tc>
          <w:tcPr>
            <w:tcW w:w="4760" w:type="dxa"/>
            <w:vAlign w:val="bottom"/>
            <w:gridSpan w:val="3"/>
          </w:tcPr>
          <w:p>
            <w:pPr>
              <w:spacing w:after="0" w:line="202" w:lineRule="exact"/>
              <w:rPr>
                <w:sz w:val="20"/>
                <w:szCs w:val="20"/>
                <w:color w:val="auto"/>
              </w:rPr>
            </w:pPr>
            <w:r>
              <w:rPr>
                <w:rFonts w:ascii="Times New Roman" w:cs="Times New Roman" w:eastAsia="Times New Roman" w:hAnsi="Times New Roman"/>
                <w:sz w:val="18"/>
                <w:szCs w:val="18"/>
                <w:color w:val="auto"/>
              </w:rPr>
              <w:t>(Principal Financial Officer and Accounting Officer)</w:t>
            </w: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Emma S. Battle</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Daniel W. Campbell</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Daniel W. Campbell</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Laura Nathanson</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Laura Nathanson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Thomas R. Pisano</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Thomas R. Pisano</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Zheqing Shen</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Zheqing Shen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34"/>
        </w:trPr>
        <w:tc>
          <w:tcPr>
            <w:tcW w:w="33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/s/ Edwina D. Woodbury</w:t>
            </w:r>
          </w:p>
        </w:tc>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w:t>
            </w:r>
          </w:p>
        </w:tc>
        <w:tc>
          <w:tcPr>
            <w:tcW w:w="31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June 7, 2024</w:t>
            </w:r>
          </w:p>
        </w:tc>
      </w:tr>
      <w:tr>
        <w:trPr>
          <w:trHeight w:val="234"/>
        </w:trPr>
        <w:tc>
          <w:tcPr>
            <w:tcW w:w="33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Edwina D. Woodbury</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579"/>
        </w:trPr>
        <w:tc>
          <w:tcPr>
            <w:tcW w:w="1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20" w:type="dxa"/>
            <w:vAlign w:val="bottom"/>
            <w:gridSpan w:val="2"/>
          </w:tcPr>
          <w:p>
            <w:pPr>
              <w:ind w:left="2200"/>
              <w:spacing w:after="0"/>
              <w:rPr>
                <w:sz w:val="20"/>
                <w:szCs w:val="20"/>
                <w:color w:val="auto"/>
              </w:rPr>
            </w:pPr>
            <w:r>
              <w:rPr>
                <w:rFonts w:ascii="Times New Roman" w:cs="Times New Roman" w:eastAsia="Times New Roman" w:hAnsi="Times New Roman"/>
                <w:sz w:val="14"/>
                <w:szCs w:val="14"/>
                <w:color w:val="auto"/>
              </w:rPr>
              <w:t>5</w:t>
            </w:r>
          </w:p>
        </w:tc>
        <w:tc>
          <w:tcPr>
            <w:tcW w:w="2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5"/>
        </w:trPr>
        <w:tc>
          <w:tcPr>
            <w:tcW w:w="1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20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3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r>
    </w:tbl>
    <w:p>
      <w:pPr>
        <w:sectPr>
          <w:pgSz w:w="11900" w:h="16838" w:orient="portrait"/>
          <w:cols w:equalWidth="0" w:num="1">
            <w:col w:w="11240"/>
          </w:cols>
          <w:pgMar w:left="320" w:top="117"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1 to the Registration Statements on Form S-8 (No. 333-167690, No. 333-190508, No. 333-211617, No. 333-238908, and No. 333-280044) of Nu Skin Enterprises, Inc. of our report dated February 14, 2024 relating to the financial statements and the effectiveness of internal control over financial reporting, which appears in Nu Skin Enterprises, Inc.’s Annual Report on Form 10-K for the year ended December 31,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Utah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38E1F29"/>
    <w:multiLevelType w:val="hybridMultilevel"/>
    <w:lvl w:ilvl="0">
      <w:lvlJc w:val="left"/>
      <w:lvlText w:val="%1"/>
      <w:numFmt w:val="lowerLetter"/>
      <w:start w:val="1"/>
    </w:lvl>
    <w:lvl w:ilvl="1">
      <w:lvlJc w:val="left"/>
      <w:lvlText w:val="(%2)"/>
      <w:numFmt w:val="decimal"/>
      <w:start w:val="2"/>
    </w:lvl>
  </w:abstractNum>
  <w:abstractNum w:abstractNumId="4">
    <w:nsid w:val="46E87CCD"/>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38" Type="http://schemas.openxmlformats.org/officeDocument/2006/relationships/image" Target="media/image14.png"/><Relationship Id="rId39" Type="http://schemas.openxmlformats.org/officeDocument/2006/relationships/image" Target="media/image15.png"/><Relationship Id="rId40"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20" Type="http://schemas.openxmlformats.org/officeDocument/2006/relationships/hyperlink" Target="https://www.sec.gov/ix?doc=/Archives/edgar/data/1021561/000114036124008111/ef20015265_10k.htm" TargetMode="External"/><Relationship Id="rId21" Type="http://schemas.openxmlformats.org/officeDocument/2006/relationships/hyperlink" Target="https://www.sec.gov/ix?doc=/Archives/edgar/data/1021561/000114036124025012/ef20026282_10q.htm" TargetMode="External"/><Relationship Id="rId22" Type="http://schemas.openxmlformats.org/officeDocument/2006/relationships/hyperlink" Target="https://www.sec.gov/ix?doc=/Archives/edgar/data/1021561/000114036124005870/ef20020750_8k.htm" TargetMode="External"/><Relationship Id="rId23" Type="http://schemas.openxmlformats.org/officeDocument/2006/relationships/hyperlink" Target="https://www.sec.gov/ix?doc=/Archives/edgar/data/1021561/000114036124007981/ef20021676_8k.htm" TargetMode="External"/><Relationship Id="rId24" Type="http://schemas.openxmlformats.org/officeDocument/2006/relationships/hyperlink" Target="https://www.sec.gov/ix?doc=/Archives/edgar/data/1021561/000114036124013913/ef20024334_8k.htm" TargetMode="External"/><Relationship Id="rId25" Type="http://schemas.openxmlformats.org/officeDocument/2006/relationships/hyperlink" Target="https://www.sec.gov/ix?doc=/Archives/edgar/data/0001021561/000114036124029122/ef20030699_8k.htm" TargetMode="External"/><Relationship Id="rId26" Type="http://schemas.openxmlformats.org/officeDocument/2006/relationships/hyperlink" Target="https://www.sec.gov/Archives/edgar/data/1021561/000114036124008111/ef20015265_ex4-2.htm" TargetMode="External"/><Relationship Id="rId28" Type="http://schemas.openxmlformats.org/officeDocument/2006/relationships/hyperlink" Target="https://www.sec.gov/Archives/edgar/data/1021561/0000950109-96-005995.txt" TargetMode="External"/><Relationship Id="rId29" Type="http://schemas.openxmlformats.org/officeDocument/2006/relationships/hyperlink" Target="https://www.sec.gov/Archives/edgar/data/1021561/000102156110000024/ex3-2.htm" TargetMode="External"/><Relationship Id="rId30" Type="http://schemas.openxmlformats.org/officeDocument/2006/relationships/hyperlink" Target="https://www.sec.gov/Archives/edgar/data/1021561/000103393205000011/ex3-3.htm" TargetMode="External"/><Relationship Id="rId31" Type="http://schemas.openxmlformats.org/officeDocument/2006/relationships/hyperlink" Target="https://www.sec.gov/Archives/edgar/data/1021561/000114036124005870/ef20020750_ex3-1.htm" TargetMode="External"/><Relationship Id="rId32" Type="http://schemas.openxmlformats.org/officeDocument/2006/relationships/hyperlink" Target="https://www.sec.gov/Archives/edgar/data/1021561/000114036123007348/brhc10046901_ex4-1.htm" TargetMode="External"/><Relationship Id="rId33" Type="http://schemas.openxmlformats.org/officeDocument/2006/relationships/hyperlink" Target="https://www.sec.gov/Archives/edgar/data/1021561/000102156110000053/stockincentplan.htm" TargetMode="External"/><Relationship Id="rId34" Type="http://schemas.openxmlformats.org/officeDocument/2006/relationships/hyperlink" Target="https://www.sec.gov/Archives/edgar/data/1021561/000102156113000065/incentive2010plan.htm" TargetMode="External"/><Relationship Id="rId35" Type="http://schemas.openxmlformats.org/officeDocument/2006/relationships/hyperlink" Target="https://www.sec.gov/Archives/edgar/data/1021561/000102156116000134/ex10-1.htm" TargetMode="External"/><Relationship Id="rId36" Type="http://schemas.openxmlformats.org/officeDocument/2006/relationships/hyperlink" Target="https://www.sec.gov/Archives/edgar/data/1021561/000114036120012979/ex99_1.htm" TargetMode="External"/><Relationship Id="rId37" Type="http://schemas.openxmlformats.org/officeDocument/2006/relationships/hyperlink" Target="https://www.sec.gov/Archives/edgar/data/1021561/000114036124029122/ef20030699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2024-06-10T14:09:25Z</dcterms:created>
  <dcterms:modified xsi:type="dcterms:W3CDTF">2024-06-10T14:09:25Z</dcterms:modified>
</cp:coreProperties>
</file>