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 FOR THE QUARTERLY PERIOD ENDED SEPTEMBER 30, 2025</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 FOR THE TRANSITION PERIOD FROM _____________ TO _____________</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Commission File Number: </w:t>
      </w:r>
      <w:r>
        <w:rPr>
          <w:rFonts w:ascii="Times New Roman" w:hAnsi="Times New Roman"/>
          <w:b/>
          <w:color w:val="000000"/>
          <w:sz w:val="20"/>
          <w:shd w:fill="FFFFFF" w:val="clear"/>
        </w:rPr>
        <w:t>001-12421</w:t>
      </w:r>
    </w:p>
    <w:p>
      <w:pPr>
        <w:pStyle w:val="TextBody"/>
        <w:bidi w:val="0"/>
        <w:spacing w:before="0" w:after="0"/>
        <w:jc w:val="left"/>
        <w:rPr/>
      </w:pPr>
      <w:r>
        <w:rPr/>
      </w:r>
    </w:p>
    <w:tbl>
      <w:tblPr>
        <w:tblW w:w="6935" w:type="dxa"/>
        <w:jc w:val="left"/>
        <w:tblInd w:w="0" w:type="dxa"/>
        <w:tblLayout w:type="fixed"/>
        <w:tblCellMar>
          <w:top w:w="0" w:type="dxa"/>
          <w:left w:w="0" w:type="dxa"/>
          <w:bottom w:w="0" w:type="dxa"/>
          <w:right w:w="0" w:type="dxa"/>
        </w:tblCellMar>
      </w:tblPr>
      <w:tblGrid>
        <w:gridCol w:w="75"/>
        <w:gridCol w:w="6785"/>
        <w:gridCol w:w="75"/>
      </w:tblGrid>
      <w:tr>
        <w:trPr/>
        <w:tc>
          <w:tcPr>
            <w:tcW w:w="75" w:type="dxa"/>
            <w:tcBorders/>
            <w:vAlign w:val="center"/>
          </w:tcPr>
          <w:p>
            <w:pPr>
              <w:pStyle w:val="TableContents"/>
              <w:bidi w:val="0"/>
              <w:spacing w:before="0" w:after="283"/>
              <w:jc w:val="left"/>
              <w:rPr/>
            </w:pPr>
            <w:r>
              <w:rPr/>
              <w:t> </w:t>
            </w:r>
          </w:p>
        </w:tc>
        <w:tc>
          <w:tcPr>
            <w:tcW w:w="6785" w:type="dxa"/>
            <w:tcBorders>
              <w:bottom w:val="single" w:sz="12" w:space="0" w:color="000000"/>
            </w:tcBorders>
            <w:tcMar>
              <w:bottom w:w="28" w:type="dxa"/>
            </w:tcMar>
            <w:vAlign w:val="center"/>
          </w:tcPr>
          <w:p>
            <w:pPr>
              <w:pStyle w:val="TableContents"/>
              <w:bidi w:val="0"/>
              <w:spacing w:before="0" w:after="283"/>
              <w:jc w:val="center"/>
              <w:rPr>
                <w:b/>
                <w:sz w:val="48"/>
              </w:rPr>
            </w:pPr>
            <w:r>
              <w:rPr>
                <w:b/>
                <w:sz w:val="48"/>
              </w:rPr>
              <w:t xml:space="preserve">NU SKIN ENTERPRISES, INC.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87-0565309</w:t>
            </w:r>
          </w:p>
        </w:tc>
      </w:tr>
      <w:tr>
        <w:trPr/>
        <w:tc>
          <w:tcPr>
            <w:tcW w:w="48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tbl>
      <w:tblPr>
        <w:tblW w:w="4970" w:type="dxa"/>
        <w:jc w:val="left"/>
        <w:tblInd w:w="0" w:type="dxa"/>
        <w:tblLayout w:type="fixed"/>
        <w:tblCellMar>
          <w:top w:w="0" w:type="dxa"/>
          <w:left w:w="0" w:type="dxa"/>
          <w:bottom w:w="0" w:type="dxa"/>
          <w:right w:w="0" w:type="dxa"/>
        </w:tblCellMar>
      </w:tblPr>
      <w:tblGrid>
        <w:gridCol w:w="75"/>
        <w:gridCol w:w="4820"/>
        <w:gridCol w:w="75"/>
      </w:tblGrid>
      <w:tr>
        <w:trPr/>
        <w:tc>
          <w:tcPr>
            <w:tcW w:w="75" w:type="dxa"/>
            <w:tcBorders/>
            <w:vAlign w:val="center"/>
          </w:tcPr>
          <w:p>
            <w:pPr>
              <w:pStyle w:val="TableContents"/>
              <w:bidi w:val="0"/>
              <w:spacing w:before="0" w:after="283"/>
              <w:jc w:val="left"/>
              <w:rPr/>
            </w:pPr>
            <w:r>
              <w:rPr/>
              <w:t> </w:t>
            </w:r>
          </w:p>
        </w:tc>
        <w:tc>
          <w:tcPr>
            <w:tcW w:w="482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 West Center Street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Provo, Utah 84601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including zip code)</w:t>
            </w:r>
          </w:p>
        </w:tc>
        <w:tc>
          <w:tcPr>
            <w:tcW w:w="75" w:type="dxa"/>
            <w:tcBorders/>
            <w:vAlign w:val="center"/>
          </w:tcPr>
          <w:p>
            <w:pPr>
              <w:pStyle w:val="TableContents"/>
              <w:bidi w:val="0"/>
              <w:spacing w:before="0" w:after="283"/>
              <w:jc w:val="left"/>
              <w:rPr/>
            </w:pPr>
            <w:r>
              <w:rPr/>
              <w:t> </w:t>
            </w:r>
          </w:p>
        </w:tc>
      </w:tr>
    </w:tbl>
    <w:tbl>
      <w:tblPr>
        <w:tblW w:w="4475" w:type="dxa"/>
        <w:jc w:val="left"/>
        <w:tblInd w:w="0" w:type="dxa"/>
        <w:tblLayout w:type="fixed"/>
        <w:tblCellMar>
          <w:top w:w="0" w:type="dxa"/>
          <w:left w:w="0" w:type="dxa"/>
          <w:bottom w:w="0" w:type="dxa"/>
          <w:right w:w="0" w:type="dxa"/>
        </w:tblCellMar>
      </w:tblPr>
      <w:tblGrid>
        <w:gridCol w:w="75"/>
        <w:gridCol w:w="4325"/>
        <w:gridCol w:w="75"/>
      </w:tblGrid>
      <w:tr>
        <w:trPr/>
        <w:tc>
          <w:tcPr>
            <w:tcW w:w="75" w:type="dxa"/>
            <w:tcBorders/>
            <w:vAlign w:val="center"/>
          </w:tcPr>
          <w:p>
            <w:pPr>
              <w:pStyle w:val="TableContents"/>
              <w:bidi w:val="0"/>
              <w:spacing w:before="0" w:after="283"/>
              <w:jc w:val="left"/>
              <w:rPr/>
            </w:pPr>
            <w:r>
              <w:rPr/>
              <w:t> </w:t>
            </w:r>
          </w:p>
        </w:tc>
        <w:tc>
          <w:tcPr>
            <w:tcW w:w="432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(801) 345-1000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550" w:type="dxa"/>
        <w:jc w:val="left"/>
        <w:tblInd w:w="0" w:type="dxa"/>
        <w:tblLayout w:type="fixed"/>
        <w:tblCellMar>
          <w:top w:w="0" w:type="dxa"/>
          <w:left w:w="0" w:type="dxa"/>
          <w:bottom w:w="28" w:type="dxa"/>
          <w:right w:w="0" w:type="dxa"/>
        </w:tblCellMar>
      </w:tblPr>
      <w:tblGrid>
        <w:gridCol w:w="3305"/>
        <w:gridCol w:w="60"/>
        <w:gridCol w:w="1535"/>
        <w:gridCol w:w="60"/>
        <w:gridCol w:w="3590"/>
      </w:tblGrid>
      <w:tr>
        <w:trPr/>
        <w:tc>
          <w:tcPr>
            <w:tcW w:w="33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0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NUS</w:t>
            </w:r>
          </w:p>
        </w:tc>
        <w:tc>
          <w:tcPr>
            <w:tcW w:w="60" w:type="dxa"/>
            <w:tcBorders/>
            <w:tcMar>
              <w:bottom w:w="0" w:type="dxa"/>
            </w:tcMar>
            <w:vAlign w:val="center"/>
          </w:tcPr>
          <w:p>
            <w:pPr>
              <w:pStyle w:val="TableContents"/>
              <w:bidi w:val="0"/>
              <w:spacing w:before="0" w:after="283"/>
              <w:jc w:val="left"/>
              <w:rPr/>
            </w:pPr>
            <w:r>
              <w:rPr/>
              <w:t> </w:t>
            </w:r>
          </w:p>
        </w:tc>
        <w:tc>
          <w:tcPr>
            <w:tcW w:w="3590"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705" w:type="dxa"/>
        <w:jc w:val="left"/>
        <w:tblInd w:w="0" w:type="dxa"/>
        <w:tblLayout w:type="fixed"/>
        <w:tblCellMar>
          <w:top w:w="0" w:type="dxa"/>
          <w:left w:w="0" w:type="dxa"/>
          <w:bottom w:w="0" w:type="dxa"/>
          <w:right w:w="0" w:type="dxa"/>
        </w:tblCellMar>
      </w:tblPr>
      <w:tblGrid>
        <w:gridCol w:w="2150"/>
        <w:gridCol w:w="2555"/>
      </w:tblGrid>
      <w:tr>
        <w:trPr/>
        <w:tc>
          <w:tcPr>
            <w:tcW w:w="2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Large accelerated filer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   ☑</w:t>
            </w:r>
          </w:p>
        </w:tc>
      </w:tr>
      <w:tr>
        <w:trPr/>
        <w:tc>
          <w:tcPr>
            <w:tcW w:w="2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Non-accelerated filer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Smaller reporting company   ☐</w:t>
            </w:r>
          </w:p>
        </w:tc>
      </w:tr>
      <w:tr>
        <w:trPr/>
        <w:tc>
          <w:tcPr>
            <w:tcW w:w="215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November 1, 2025, 48,750,076 shares of the registrant’s Class A common stock, $.001 par value per share, were outstanding.</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QUARTERLY REPORT ON FORM 10-Q – THIRD QUARTER 2025</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bookmarkStart w:id="0" w:name="TABLEOFCONTENTS"/>
      <w:bookmarkEnd w:id="0"/>
      <w:r>
        <w:rPr>
          <w:rFonts w:ascii="Times New Roman" w:hAnsi="Times New Roman"/>
          <w:b/>
          <w:color w:val="000000"/>
          <w:sz w:val="20"/>
          <w:shd w:fill="FFFFFF" w:val="clear"/>
        </w:rPr>
        <w:t>TABLE OF CONTENTS</w:t>
      </w:r>
    </w:p>
    <w:p>
      <w:pPr>
        <w:pStyle w:val="TextBody"/>
        <w:bidi w:val="0"/>
        <w:spacing w:before="0" w:after="0"/>
        <w:jc w:val="left"/>
        <w:rPr>
          <w:rFonts w:ascii="Times New Roman" w:hAnsi="Times New Roman"/>
        </w:rPr>
      </w:pPr>
      <w:r>
        <w:rPr>
          <w:rFonts w:ascii="Times New Roman" w:hAnsi="Times New Roman"/>
        </w:rPr>
      </w:r>
    </w:p>
    <w:tbl>
      <w:tblPr>
        <w:tblW w:w="9035" w:type="dxa"/>
        <w:jc w:val="left"/>
        <w:tblInd w:w="0" w:type="dxa"/>
        <w:tblLayout w:type="fixed"/>
        <w:tblCellMar>
          <w:top w:w="0" w:type="dxa"/>
          <w:left w:w="0" w:type="dxa"/>
          <w:bottom w:w="0" w:type="dxa"/>
          <w:right w:w="0" w:type="dxa"/>
        </w:tblCellMar>
      </w:tblPr>
      <w:tblGrid>
        <w:gridCol w:w="635"/>
        <w:gridCol w:w="710"/>
        <w:gridCol w:w="7280"/>
        <w:gridCol w:w="410"/>
      </w:tblGrid>
      <w:tr>
        <w:trPr/>
        <w:tc>
          <w:tcPr>
            <w:tcW w:w="635" w:type="dxa"/>
            <w:tcBorders/>
            <w:vAlign w:val="center"/>
          </w:tcPr>
          <w:p>
            <w:pPr>
              <w:pStyle w:val="TableContents"/>
              <w:bidi w:val="0"/>
              <w:spacing w:before="0" w:after="283"/>
              <w:jc w:val="left"/>
              <w:rPr/>
            </w:pPr>
            <w:r>
              <w:rPr/>
              <w:t> </w:t>
            </w:r>
          </w:p>
        </w:tc>
        <w:tc>
          <w:tcPr>
            <w:tcW w:w="7990" w:type="dxa"/>
            <w:gridSpan w:val="2"/>
            <w:tcBorders/>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Page</w:t>
            </w:r>
          </w:p>
        </w:tc>
      </w:tr>
      <w:tr>
        <w:trPr/>
        <w:tc>
          <w:tcPr>
            <w:tcW w:w="6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Part I.</w:t>
            </w:r>
          </w:p>
        </w:tc>
        <w:tc>
          <w:tcPr>
            <w:tcW w:w="7990" w:type="dxa"/>
            <w:gridSpan w:val="2"/>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Information</w:t>
            </w:r>
          </w:p>
        </w:tc>
        <w:tc>
          <w:tcPr>
            <w:tcW w:w="410" w:type="dxa"/>
            <w:tcBorders/>
            <w:shd w:fill="CCEEFF" w:val="clear"/>
            <w:vAlign w:val="center"/>
          </w:tcPr>
          <w:p>
            <w:pPr>
              <w:pStyle w:val="TableContents"/>
              <w:bidi w:val="0"/>
              <w:spacing w:before="0" w:after="283"/>
              <w:jc w:val="right"/>
              <w:rPr/>
            </w:pPr>
            <w:r>
              <w:rPr/>
              <w:t> </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Statements (Unaudited):</w:t>
            </w:r>
          </w:p>
        </w:tc>
        <w:tc>
          <w:tcPr>
            <w:tcW w:w="410" w:type="dxa"/>
            <w:tcBorders/>
            <w:vAlign w:val="center"/>
          </w:tcPr>
          <w:p>
            <w:pPr>
              <w:pStyle w:val="TableContents"/>
              <w:bidi w:val="0"/>
              <w:spacing w:before="0" w:after="283"/>
              <w:jc w:val="righ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onsolidatedBalanceSheets">
              <w:r>
                <w:rPr>
                  <w:rStyle w:val="InternetLink"/>
                  <w:rFonts w:ascii="Times New Roman" w:hAnsi="Times New Roman"/>
                  <w:sz w:val="20"/>
                </w:rPr>
                <w:t>Consolidated Balance Sheets</w:t>
              </w:r>
            </w:hyperlink>
          </w:p>
        </w:tc>
        <w:tc>
          <w:tcPr>
            <w:tcW w:w="41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tatementsofIncome">
              <w:r>
                <w:rPr>
                  <w:rStyle w:val="InternetLink"/>
                  <w:rFonts w:ascii="Times New Roman" w:hAnsi="Times New Roman"/>
                  <w:sz w:val="20"/>
                </w:rPr>
                <w:t>Consolidated Statements of Income</w:t>
              </w:r>
            </w:hyperlink>
          </w:p>
        </w:tc>
        <w:tc>
          <w:tcPr>
            <w:tcW w:w="4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omprehensiveIncomeUnaudi">
              <w:r>
                <w:rPr>
                  <w:rStyle w:val="InternetLink"/>
                  <w:rFonts w:ascii="Times New Roman" w:hAnsi="Times New Roman"/>
                  <w:sz w:val="20"/>
                </w:rPr>
                <w:t>Consolidated Statements of Comprehensive Income</w:t>
              </w:r>
            </w:hyperlink>
          </w:p>
        </w:tc>
        <w:tc>
          <w:tcPr>
            <w:tcW w:w="41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tockholdersEquity">
              <w:r>
                <w:rPr>
                  <w:rStyle w:val="InternetLink"/>
                  <w:rFonts w:ascii="Times New Roman" w:hAnsi="Times New Roman"/>
                  <w:sz w:val="20"/>
                </w:rPr>
                <w:t>Consolidated Statements of Stockholders’ Equity</w:t>
              </w:r>
            </w:hyperlink>
          </w:p>
        </w:tc>
        <w:tc>
          <w:tcPr>
            <w:tcW w:w="4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ashFlows">
              <w:r>
                <w:rPr>
                  <w:rStyle w:val="InternetLink"/>
                  <w:rFonts w:ascii="Times New Roman" w:hAnsi="Times New Roman"/>
                  <w:sz w:val="20"/>
                </w:rPr>
                <w:t>Consolidated Statements of Cash Flows</w:t>
              </w:r>
            </w:hyperlink>
          </w:p>
        </w:tc>
        <w:tc>
          <w:tcPr>
            <w:tcW w:w="410"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6</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Notes">
              <w:r>
                <w:rPr>
                  <w:rStyle w:val="InternetLink"/>
                  <w:rFonts w:ascii="Times New Roman" w:hAnsi="Times New Roman"/>
                  <w:sz w:val="20"/>
                </w:rPr>
                <w:t>Notes to Consolidated Financial Statements</w:t>
              </w:r>
            </w:hyperlink>
          </w:p>
        </w:tc>
        <w:tc>
          <w:tcPr>
            <w:tcW w:w="410" w:type="dxa"/>
            <w:tcBorders/>
            <w:vAlign w:val="center"/>
          </w:tcPr>
          <w:p>
            <w:pPr>
              <w:pStyle w:val="TableContents"/>
              <w:bidi w:val="0"/>
              <w:spacing w:before="0" w:after="283"/>
              <w:jc w:val="center"/>
              <w:rPr>
                <w:rFonts w:ascii="Times New Roman" w:hAnsi="Times New Roman"/>
              </w:rPr>
            </w:pPr>
            <w:r>
              <w:rPr>
                <w:rFonts w:ascii="Times New Roman" w:hAnsi="Times New Roman"/>
              </w:rPr>
              <w:t>7</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7280" w:type="dxa"/>
            <w:tcBorders/>
            <w:shd w:fill="CCEEFF" w:val="clear"/>
            <w:vAlign w:val="center"/>
          </w:tcPr>
          <w:p>
            <w:pPr>
              <w:pStyle w:val="TableContents"/>
              <w:bidi w:val="0"/>
              <w:spacing w:before="0" w:after="0"/>
              <w:jc w:val="left"/>
              <w:rPr/>
            </w:pPr>
            <w:hyperlink w:anchor="MANAGEMENTSDISCUSSIONANDA">
              <w:r>
                <w:rPr>
                  <w:rStyle w:val="InternetLink"/>
                  <w:rFonts w:ascii="Times New Roman" w:hAnsi="Times New Roman"/>
                  <w:sz w:val="20"/>
                </w:rPr>
                <w:t>Management’s Discussion and Analysis of Financial Condition and Results of Operations</w:t>
              </w:r>
            </w:hyperlink>
          </w:p>
        </w:tc>
        <w:tc>
          <w:tcPr>
            <w:tcW w:w="410"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20</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7280" w:type="dxa"/>
            <w:tcBorders/>
            <w:vAlign w:val="center"/>
          </w:tcPr>
          <w:p>
            <w:pPr>
              <w:pStyle w:val="TableContents"/>
              <w:bidi w:val="0"/>
              <w:spacing w:before="0" w:after="0"/>
              <w:jc w:val="left"/>
              <w:rPr/>
            </w:pPr>
            <w:hyperlink w:anchor="QUANTITATIVEANDQUALITATIV">
              <w:r>
                <w:rPr>
                  <w:rStyle w:val="InternetLink"/>
                  <w:rFonts w:ascii="Times New Roman" w:hAnsi="Times New Roman"/>
                  <w:sz w:val="20"/>
                </w:rPr>
                <w:t>Quantitative and Qualitative Disclosures about Market Risk</w:t>
              </w:r>
            </w:hyperlink>
          </w:p>
        </w:tc>
        <w:tc>
          <w:tcPr>
            <w:tcW w:w="410" w:type="dxa"/>
            <w:tcBorders/>
            <w:vAlign w:val="center"/>
          </w:tcPr>
          <w:p>
            <w:pPr>
              <w:pStyle w:val="TableContents"/>
              <w:bidi w:val="0"/>
              <w:spacing w:before="0" w:after="283"/>
              <w:jc w:val="center"/>
              <w:rPr>
                <w:rFonts w:ascii="Times New Roman" w:hAnsi="Times New Roman"/>
              </w:rPr>
            </w:pPr>
            <w:r>
              <w:rPr>
                <w:rFonts w:ascii="Times New Roman" w:hAnsi="Times New Roman"/>
              </w:rPr>
              <w:t>30</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7280" w:type="dxa"/>
            <w:tcBorders/>
            <w:shd w:fill="CCEEFF" w:val="clear"/>
            <w:vAlign w:val="center"/>
          </w:tcPr>
          <w:p>
            <w:pPr>
              <w:pStyle w:val="TableContents"/>
              <w:bidi w:val="0"/>
              <w:spacing w:before="0" w:after="0"/>
              <w:jc w:val="left"/>
              <w:rPr/>
            </w:pPr>
            <w:hyperlink w:anchor="CONTROLSANDPROCEDURES">
              <w:r>
                <w:rPr>
                  <w:rStyle w:val="InternetLink"/>
                  <w:rFonts w:ascii="Times New Roman" w:hAnsi="Times New Roman"/>
                  <w:sz w:val="20"/>
                </w:rPr>
                <w:t>Controls and Procedures</w:t>
              </w:r>
            </w:hyperlink>
          </w:p>
        </w:tc>
        <w:tc>
          <w:tcPr>
            <w:tcW w:w="410"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30</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r>
      <w:tr>
        <w:trPr/>
        <w:tc>
          <w:tcPr>
            <w:tcW w:w="6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Part II.</w:t>
            </w:r>
          </w:p>
        </w:tc>
        <w:tc>
          <w:tcPr>
            <w:tcW w:w="7990"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410" w:type="dxa"/>
            <w:tcBorders/>
            <w:vAlign w:val="center"/>
          </w:tcPr>
          <w:p>
            <w:pPr>
              <w:pStyle w:val="TableContents"/>
              <w:bidi w:val="0"/>
              <w:spacing w:before="0" w:after="283"/>
              <w:jc w:val="center"/>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7280" w:type="dxa"/>
            <w:tcBorders/>
            <w:shd w:fill="CCEEFF" w:val="clear"/>
            <w:vAlign w:val="center"/>
          </w:tcPr>
          <w:p>
            <w:pPr>
              <w:pStyle w:val="TableContents"/>
              <w:bidi w:val="0"/>
              <w:spacing w:before="0" w:after="0"/>
              <w:jc w:val="left"/>
              <w:rPr/>
            </w:pPr>
            <w:hyperlink w:anchor="ITEM1.">
              <w:r>
                <w:rPr>
                  <w:rStyle w:val="InternetLink"/>
                  <w:rFonts w:ascii="Times New Roman" w:hAnsi="Times New Roman"/>
                  <w:sz w:val="20"/>
                </w:rPr>
                <w:t>Legal Proceedings</w:t>
              </w:r>
            </w:hyperlink>
          </w:p>
        </w:tc>
        <w:tc>
          <w:tcPr>
            <w:tcW w:w="410"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31</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7280" w:type="dxa"/>
            <w:tcBorders/>
            <w:vAlign w:val="center"/>
          </w:tcPr>
          <w:p>
            <w:pPr>
              <w:pStyle w:val="TableContents"/>
              <w:bidi w:val="0"/>
              <w:spacing w:before="0" w:after="0"/>
              <w:jc w:val="left"/>
              <w:rPr/>
            </w:pPr>
            <w:hyperlink w:anchor="ITEM1A.">
              <w:r>
                <w:rPr>
                  <w:rStyle w:val="InternetLink"/>
                  <w:rFonts w:ascii="Times New Roman" w:hAnsi="Times New Roman"/>
                  <w:sz w:val="20"/>
                </w:rPr>
                <w:t>Risk Factors</w:t>
              </w:r>
            </w:hyperlink>
          </w:p>
        </w:tc>
        <w:tc>
          <w:tcPr>
            <w:tcW w:w="410" w:type="dxa"/>
            <w:tcBorders/>
            <w:vAlign w:val="center"/>
          </w:tcPr>
          <w:p>
            <w:pPr>
              <w:pStyle w:val="TableContents"/>
              <w:bidi w:val="0"/>
              <w:spacing w:before="0" w:after="283"/>
              <w:jc w:val="center"/>
              <w:rPr>
                <w:rFonts w:ascii="Times New Roman" w:hAnsi="Times New Roman"/>
              </w:rPr>
            </w:pPr>
            <w:r>
              <w:rPr>
                <w:rFonts w:ascii="Times New Roman" w:hAnsi="Times New Roman"/>
              </w:rPr>
              <w:t>31</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7280" w:type="dxa"/>
            <w:tcBorders/>
            <w:shd w:fill="CCEEFF" w:val="clear"/>
            <w:vAlign w:val="center"/>
          </w:tcPr>
          <w:p>
            <w:pPr>
              <w:pStyle w:val="TableContents"/>
              <w:bidi w:val="0"/>
              <w:spacing w:before="0" w:after="0"/>
              <w:jc w:val="left"/>
              <w:rPr/>
            </w:pPr>
            <w:hyperlink w:anchor="ITEM2.">
              <w:r>
                <w:rPr>
                  <w:rStyle w:val="InternetLink"/>
                  <w:rFonts w:ascii="Times New Roman" w:hAnsi="Times New Roman"/>
                  <w:sz w:val="20"/>
                </w:rPr>
                <w:t>Unregistered Sales of Equity Securities and Use of Proceeds</w:t>
              </w:r>
            </w:hyperlink>
          </w:p>
        </w:tc>
        <w:tc>
          <w:tcPr>
            <w:tcW w:w="410"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31</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7280" w:type="dxa"/>
            <w:tcBorders/>
            <w:vAlign w:val="center"/>
          </w:tcPr>
          <w:p>
            <w:pPr>
              <w:pStyle w:val="TableContents"/>
              <w:bidi w:val="0"/>
              <w:spacing w:before="0" w:after="0"/>
              <w:jc w:val="left"/>
              <w:rPr/>
            </w:pPr>
            <w:hyperlink w:anchor="ITEM3.">
              <w:r>
                <w:rPr>
                  <w:rStyle w:val="InternetLink"/>
                  <w:rFonts w:ascii="Times New Roman" w:hAnsi="Times New Roman"/>
                  <w:sz w:val="20"/>
                </w:rPr>
                <w:t>Defaults Upon Senior Securities</w:t>
              </w:r>
            </w:hyperlink>
          </w:p>
        </w:tc>
        <w:tc>
          <w:tcPr>
            <w:tcW w:w="410" w:type="dxa"/>
            <w:tcBorders/>
            <w:vAlign w:val="center"/>
          </w:tcPr>
          <w:p>
            <w:pPr>
              <w:pStyle w:val="TableContents"/>
              <w:bidi w:val="0"/>
              <w:spacing w:before="0" w:after="283"/>
              <w:jc w:val="center"/>
              <w:rPr>
                <w:rFonts w:ascii="Times New Roman" w:hAnsi="Times New Roman"/>
              </w:rPr>
            </w:pPr>
            <w:r>
              <w:rPr>
                <w:rFonts w:ascii="Times New Roman" w:hAnsi="Times New Roman"/>
              </w:rPr>
              <w:t>32</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7280" w:type="dxa"/>
            <w:tcBorders/>
            <w:shd w:fill="CCEEFF" w:val="clear"/>
            <w:vAlign w:val="center"/>
          </w:tcPr>
          <w:p>
            <w:pPr>
              <w:pStyle w:val="TableContents"/>
              <w:bidi w:val="0"/>
              <w:spacing w:before="0" w:after="0"/>
              <w:jc w:val="left"/>
              <w:rPr/>
            </w:pPr>
            <w:hyperlink w:anchor="ITEM4.">
              <w:r>
                <w:rPr>
                  <w:rStyle w:val="InternetLink"/>
                  <w:rFonts w:ascii="Times New Roman" w:hAnsi="Times New Roman"/>
                  <w:sz w:val="20"/>
                </w:rPr>
                <w:t>Mine Safety Disclosures</w:t>
              </w:r>
            </w:hyperlink>
          </w:p>
        </w:tc>
        <w:tc>
          <w:tcPr>
            <w:tcW w:w="410"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32</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7280" w:type="dxa"/>
            <w:tcBorders/>
            <w:vAlign w:val="center"/>
          </w:tcPr>
          <w:p>
            <w:pPr>
              <w:pStyle w:val="TableContents"/>
              <w:bidi w:val="0"/>
              <w:spacing w:before="0" w:after="0"/>
              <w:jc w:val="left"/>
              <w:rPr/>
            </w:pPr>
            <w:hyperlink w:anchor="ITEM5.">
              <w:r>
                <w:rPr>
                  <w:rStyle w:val="InternetLink"/>
                  <w:rFonts w:ascii="Times New Roman" w:hAnsi="Times New Roman"/>
                  <w:sz w:val="20"/>
                </w:rPr>
                <w:t>Other Information</w:t>
              </w:r>
            </w:hyperlink>
          </w:p>
        </w:tc>
        <w:tc>
          <w:tcPr>
            <w:tcW w:w="410" w:type="dxa"/>
            <w:tcBorders/>
            <w:vAlign w:val="center"/>
          </w:tcPr>
          <w:p>
            <w:pPr>
              <w:pStyle w:val="TableContents"/>
              <w:bidi w:val="0"/>
              <w:spacing w:before="0" w:after="283"/>
              <w:jc w:val="center"/>
              <w:rPr>
                <w:rFonts w:ascii="Times New Roman" w:hAnsi="Times New Roman"/>
              </w:rPr>
            </w:pPr>
            <w:r>
              <w:rPr>
                <w:rFonts w:ascii="Times New Roman" w:hAnsi="Times New Roman"/>
              </w:rPr>
              <w:t>32</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7280" w:type="dxa"/>
            <w:tcBorders/>
            <w:shd w:fill="CCEEFF" w:val="clear"/>
            <w:vAlign w:val="center"/>
          </w:tcPr>
          <w:p>
            <w:pPr>
              <w:pStyle w:val="TableContents"/>
              <w:bidi w:val="0"/>
              <w:spacing w:before="0" w:after="0"/>
              <w:jc w:val="left"/>
              <w:rPr/>
            </w:pPr>
            <w:hyperlink w:anchor="ITEM6.">
              <w:r>
                <w:rPr>
                  <w:rStyle w:val="InternetLink"/>
                  <w:rFonts w:ascii="Times New Roman" w:hAnsi="Times New Roman"/>
                  <w:sz w:val="20"/>
                </w:rPr>
                <w:t>Exhibits</w:t>
              </w:r>
            </w:hyperlink>
          </w:p>
        </w:tc>
        <w:tc>
          <w:tcPr>
            <w:tcW w:w="410"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32</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990" w:type="dxa"/>
            <w:gridSpan w:val="2"/>
            <w:tcBorders/>
            <w:shd w:fill="CCEEFF" w:val="clear"/>
            <w:vAlign w:val="center"/>
          </w:tcPr>
          <w:p>
            <w:pPr>
              <w:pStyle w:val="TableContents"/>
              <w:bidi w:val="0"/>
              <w:spacing w:before="0" w:after="283"/>
              <w:jc w:val="left"/>
              <w:rPr/>
            </w:pPr>
            <w:hyperlink w:anchor="SIGNATURE">
              <w:r>
                <w:rPr>
                  <w:rStyle w:val="InternetLink"/>
                  <w:rFonts w:ascii="Times New Roman" w:hAnsi="Times New Roman"/>
                </w:rPr>
                <w:t>Signature</w:t>
              </w:r>
            </w:hyperlink>
          </w:p>
        </w:tc>
        <w:tc>
          <w:tcPr>
            <w:tcW w:w="410" w:type="dxa"/>
            <w:tcBorders/>
            <w:shd w:fill="CCEEFF" w:val="clear"/>
            <w:vAlign w:val="center"/>
          </w:tcPr>
          <w:p>
            <w:pPr>
              <w:pStyle w:val="TableContents"/>
              <w:bidi w:val="0"/>
              <w:spacing w:before="0" w:after="283"/>
              <w:jc w:val="center"/>
              <w:rPr>
                <w:rFonts w:ascii="Times New Roman" w:hAnsi="Times New Roman"/>
              </w:rPr>
            </w:pPr>
            <w:r>
              <w:rPr>
                <w:rFonts w:ascii="Times New Roman" w:hAnsi="Times New Roman"/>
              </w:rPr>
              <w:t>33</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this Quarterly Report on Form 10-Q, references to “dollars” and “$” are to United States (“U.S.”) dollars.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Nu Skin, Pharmanex, and ageLOC are our trademarks. The italicized product names used in this Quarterly Report on Form 10-Q are product names and also, in certain cases, our trademarks.</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ind w:left="288" w:right="0" w:hanging="144"/>
        <w:jc w:val="center"/>
        <w:rPr>
          <w:rFonts w:ascii="Times New Roman" w:hAnsi="Times New Roman"/>
          <w:b/>
          <w:color w:val="000000"/>
          <w:sz w:val="20"/>
          <w:shd w:fill="FFFFFF" w:val="clear"/>
        </w:rPr>
      </w:pPr>
      <w:bookmarkStart w:id="1" w:name="PARTI.FINANCIALINFORMATIO"/>
      <w:bookmarkEnd w:id="1"/>
      <w:r>
        <w:rPr>
          <w:rFonts w:ascii="Times New Roman" w:hAnsi="Times New Roman"/>
          <w:b/>
          <w:color w:val="000000"/>
          <w:sz w:val="20"/>
          <w:shd w:fill="FFFFFF" w:val="clear"/>
        </w:rPr>
        <w:t>PART I.  FINANCIAL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FINANCIALSTATEMENTS"/>
      <w:bookmarkStart w:id="3" w:name="FINANCIALSTATEMENTS"/>
      <w:bookmarkEnd w:id="3"/>
    </w:p>
    <w:tbl>
      <w:tblPr>
        <w:tblW w:w="3250" w:type="dxa"/>
        <w:jc w:val="left"/>
        <w:tblInd w:w="0" w:type="dxa"/>
        <w:tblLayout w:type="fixed"/>
        <w:tblCellMar>
          <w:top w:w="0" w:type="dxa"/>
          <w:left w:w="0" w:type="dxa"/>
          <w:bottom w:w="0" w:type="dxa"/>
          <w:right w:w="0" w:type="dxa"/>
        </w:tblCellMar>
      </w:tblPr>
      <w:tblGrid>
        <w:gridCol w:w="755"/>
        <w:gridCol w:w="2495"/>
      </w:tblGrid>
      <w:tr>
        <w:trPr/>
        <w:tc>
          <w:tcPr>
            <w:tcW w:w="75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ITEM 1.</w:t>
            </w:r>
          </w:p>
        </w:tc>
        <w:tc>
          <w:tcPr>
            <w:tcW w:w="2495" w:type="dxa"/>
            <w:tcBorders/>
            <w:vAlign w:val="center"/>
          </w:tcPr>
          <w:p>
            <w:pPr>
              <w:pStyle w:val="TableContents"/>
              <w:bidi w:val="0"/>
              <w:spacing w:before="0" w:after="0"/>
              <w:jc w:val="both"/>
              <w:rPr>
                <w:rFonts w:ascii="Times New Roman" w:hAnsi="Times New Roman"/>
                <w:b/>
                <w:color w:val="000000"/>
                <w:sz w:val="20"/>
                <w:u w:val="single"/>
              </w:rPr>
            </w:pPr>
            <w:r>
              <w:rPr>
                <w:rFonts w:ascii="Times New Roman" w:hAnsi="Times New Roman"/>
                <w:b/>
                <w:color w:val="000000"/>
                <w:sz w:val="20"/>
                <w:u w:val="single"/>
              </w:rPr>
              <w:t>FINANCIAL STATEMENTS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Consolidated Balance Sheets</w:t>
      </w:r>
      <w:bookmarkStart w:id="4" w:name="ConsolidatedBalanceSheets"/>
      <w:bookmarkEnd w:id="4"/>
      <w:r>
        <w:rPr>
          <w:rFonts w:ascii="Times New Roman" w:hAnsi="Times New Roman"/>
          <w:b/>
          <w:color w:val="000000"/>
          <w:sz w:val="20"/>
          <w:shd w:fill="FFFFFF" w:val="clear"/>
        </w:rPr>
        <w:t xml:space="preserv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46"/>
        <w:gridCol w:w="60"/>
        <w:gridCol w:w="145"/>
        <w:gridCol w:w="1056"/>
        <w:gridCol w:w="80"/>
        <w:gridCol w:w="60"/>
        <w:gridCol w:w="140"/>
        <w:gridCol w:w="1020"/>
        <w:gridCol w:w="98"/>
      </w:tblGrid>
      <w:tr>
        <w:trPr/>
        <w:tc>
          <w:tcPr>
            <w:tcW w:w="75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0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8"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251,787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186,883</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investments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11,111</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48,892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50,784</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178,533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190,242</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67,721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72,643</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assets held for sale</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283"/>
              <w:jc w:val="right"/>
              <w:rPr/>
            </w:pPr>
            <w:r>
              <w:rPr/>
              <w:t>26,936</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548,143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538,599</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375,280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379,595</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79,933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72,605</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intangible assets, net</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74,278</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293,227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298,008</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Long-term assets held for sale</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283"/>
              <w:jc w:val="right"/>
              <w:rPr/>
            </w:pPr>
            <w:r>
              <w:rPr/>
              <w:t>22,204</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1,424,406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1,468,914</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34,880</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205,914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217,808</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portion of long-term debt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30,000</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liabilities held for sale</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283"/>
              <w:jc w:val="right"/>
              <w:rPr/>
            </w:pPr>
            <w:r>
              <w:rPr/>
              <w:t>13,919</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254,437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296,607</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liabilities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62,382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58,439</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Long-term debt</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209,044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363,613</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98,748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97,475</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Long-term liabilities held for sale</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283"/>
              <w:jc w:val="right"/>
              <w:rPr/>
            </w:pPr>
            <w:r>
              <w:rPr/>
              <w:t>1,325</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624,611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817,459</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Commitments and contingencies (Notes 6 and 12)</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Class A common stock – 500 million shares authorized, $0.001 par value, 90.6 million shares issued</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633,161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627,787</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Treasury stock, at cost – 41.5 million and 40.8 million shares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(1,565,275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(1,563,614</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(116,916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(124,758</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1,848,734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1,711,949</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799,795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651,455</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righ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1,424,406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1,468,914</w:t>
            </w:r>
          </w:p>
        </w:tc>
        <w:tc>
          <w:tcPr>
            <w:tcW w:w="9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5" w:name="StatementsofIncome"/>
      <w:bookmarkEnd w:id="5"/>
      <w:r>
        <w:rPr>
          <w:rFonts w:ascii="Times New Roman" w:hAnsi="Times New Roman"/>
          <w:b/>
          <w:color w:val="000000"/>
          <w:sz w:val="20"/>
          <w:shd w:fill="FFFFFF" w:val="clear"/>
        </w:rPr>
        <w:t>Statements of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 except per share amounts)</w:t>
      </w:r>
    </w:p>
    <w:p>
      <w:pPr>
        <w:pStyle w:val="TextBody"/>
        <w:bidi w:val="0"/>
        <w:spacing w:before="0" w:after="0"/>
        <w:jc w:val="left"/>
        <w:rPr/>
      </w:pPr>
      <w:r>
        <w:rPr/>
      </w:r>
    </w:p>
    <w:tbl>
      <w:tblPr>
        <w:tblW w:w="8631" w:type="dxa"/>
        <w:jc w:val="left"/>
        <w:tblInd w:w="0" w:type="dxa"/>
        <w:tblLayout w:type="fixed"/>
        <w:tblCellMar>
          <w:top w:w="0" w:type="dxa"/>
          <w:left w:w="0" w:type="dxa"/>
          <w:bottom w:w="0" w:type="dxa"/>
          <w:right w:w="0" w:type="dxa"/>
        </w:tblCellMar>
      </w:tblPr>
      <w:tblGrid>
        <w:gridCol w:w="4445"/>
        <w:gridCol w:w="60"/>
        <w:gridCol w:w="125"/>
        <w:gridCol w:w="698"/>
        <w:gridCol w:w="80"/>
        <w:gridCol w:w="60"/>
        <w:gridCol w:w="125"/>
        <w:gridCol w:w="698"/>
        <w:gridCol w:w="60"/>
        <w:gridCol w:w="60"/>
        <w:gridCol w:w="140"/>
        <w:gridCol w:w="845"/>
        <w:gridCol w:w="80"/>
        <w:gridCol w:w="60"/>
        <w:gridCol w:w="140"/>
        <w:gridCol w:w="845"/>
        <w:gridCol w:w="110"/>
      </w:tblGrid>
      <w:tr>
        <w:trPr/>
        <w:tc>
          <w:tcPr>
            <w:tcW w:w="4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September 30</w:t>
            </w: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110"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364,211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430,145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1,114,839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1,286,532</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Cost of sales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107,488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345,422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383,828</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Gross profit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256,723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769,417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902,704</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Selling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130,264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167,612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377,038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486,617</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104,817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115,620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324,746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358,107</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360" w:right="0" w:hanging="180"/>
              <w:jc w:val="left"/>
              <w:rPr/>
            </w:pPr>
            <w:r>
              <w:rPr/>
              <w:t>Restructuring and impairment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25,114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156,484</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235,081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283,232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726,898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1,001,208</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(98,504</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vAlign w:val="bottom"/>
          </w:tcPr>
          <w:p>
            <w:pPr>
              <w:pStyle w:val="TableContents"/>
              <w:bidi w:val="0"/>
              <w:spacing w:before="0" w:after="283"/>
              <w:jc w:val="left"/>
              <w:rPr/>
            </w:pPr>
            <w:r>
              <w:rPr/>
              <w:t xml:space="preserve">Interest expense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4,145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6,500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9,954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20,545</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Gain on sale of business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176,162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income (expense),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(30,721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1,800</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178,006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(117,249</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(benefit) for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(6,760</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(110,489</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 per share (Note 7):</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2.94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(2.23</w:t>
            </w:r>
          </w:p>
        </w:tc>
        <w:tc>
          <w:tcPr>
            <w:tcW w:w="110" w:type="dxa"/>
            <w:tcBorders/>
            <w:vAlign w:val="bottom"/>
          </w:tcPr>
          <w:p>
            <w:pPr>
              <w:pStyle w:val="TableContents"/>
              <w:bidi w:val="0"/>
              <w:spacing w:before="0" w:after="283"/>
              <w:jc w:val="left"/>
              <w:rPr/>
            </w:pPr>
            <w:r>
              <w:rPr/>
              <w:t>)</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2.91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(2.23</w:t>
            </w:r>
          </w:p>
        </w:tc>
        <w:tc>
          <w:tcPr>
            <w:tcW w:w="110" w:type="dxa"/>
            <w:tcBorders/>
            <w:shd w:fill="CCEEFF" w:val="clear"/>
            <w:vAlign w:val="bottom"/>
          </w:tcPr>
          <w:p>
            <w:pPr>
              <w:pStyle w:val="TableContents"/>
              <w:bidi w:val="0"/>
              <w:spacing w:before="0" w:after="283"/>
              <w:jc w:val="left"/>
              <w:rPr/>
            </w:pPr>
            <w:r>
              <w:rPr/>
              <w:t>)</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Weighted-average common shares outstanding (000s):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49,533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49,645</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50,310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50,158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49,645</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6" w:name="ComprehensiveIncomeUnaudi"/>
      <w:bookmarkEnd w:id="6"/>
      <w:r>
        <w:rPr>
          <w:rFonts w:ascii="Times New Roman" w:hAnsi="Times New Roman"/>
          <w:b/>
          <w:color w:val="000000"/>
          <w:sz w:val="20"/>
          <w:shd w:fill="FFFFFF" w:val="clear"/>
        </w:rPr>
        <w:t>Comprehensive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449"/>
        <w:gridCol w:w="60"/>
        <w:gridCol w:w="128"/>
        <w:gridCol w:w="609"/>
        <w:gridCol w:w="82"/>
        <w:gridCol w:w="61"/>
        <w:gridCol w:w="128"/>
        <w:gridCol w:w="609"/>
        <w:gridCol w:w="80"/>
        <w:gridCol w:w="60"/>
        <w:gridCol w:w="125"/>
        <w:gridCol w:w="695"/>
        <w:gridCol w:w="80"/>
        <w:gridCol w:w="60"/>
        <w:gridCol w:w="125"/>
        <w:gridCol w:w="755"/>
        <w:gridCol w:w="99"/>
      </w:tblGrid>
      <w:tr>
        <w:trPr/>
        <w:tc>
          <w:tcPr>
            <w:tcW w:w="64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1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99" w:type="dxa"/>
            <w:tcBorders/>
            <w:vAlign w:val="bottom"/>
          </w:tcPr>
          <w:p>
            <w:pPr>
              <w:pStyle w:val="TableContents"/>
              <w:bidi w:val="0"/>
              <w:spacing w:before="0" w:after="283"/>
              <w:jc w:val="left"/>
              <w:rPr/>
            </w:pPr>
            <w:r>
              <w:rPr/>
              <w:t> </w:t>
            </w:r>
          </w:p>
        </w:tc>
      </w:tr>
      <w:tr>
        <w:trPr/>
        <w:tc>
          <w:tcPr>
            <w:tcW w:w="64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99" w:type="dxa"/>
            <w:tcBorders/>
            <w:vAlign w:val="bottom"/>
          </w:tcPr>
          <w:p>
            <w:pPr>
              <w:pStyle w:val="TableContents"/>
              <w:bidi w:val="0"/>
              <w:spacing w:before="0" w:after="283"/>
              <w:jc w:val="left"/>
              <w:rPr/>
            </w:pPr>
            <w:r>
              <w:rPr/>
              <w:t> </w:t>
            </w:r>
          </w:p>
        </w:tc>
      </w:tr>
      <w:tr>
        <w:trPr/>
        <w:tc>
          <w:tcPr>
            <w:tcW w:w="6449"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17,079</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(110,489</w:t>
            </w:r>
          </w:p>
        </w:tc>
        <w:tc>
          <w:tcPr>
            <w:tcW w:w="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4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6449" w:type="dxa"/>
            <w:tcBorders/>
            <w:shd w:fill="CCEEFF" w:val="clear"/>
            <w:vAlign w:val="bottom"/>
          </w:tcPr>
          <w:p>
            <w:pPr>
              <w:pStyle w:val="TableContents"/>
              <w:bidi w:val="0"/>
              <w:spacing w:before="0" w:after="0"/>
              <w:ind w:left="504" w:right="0" w:hanging="504"/>
              <w:jc w:val="left"/>
              <w:rPr>
                <w:rFonts w:ascii="Times New Roman" w:hAnsi="Times New Roman"/>
                <w:color w:val="000000"/>
                <w:sz w:val="20"/>
              </w:rPr>
            </w:pPr>
            <w:r>
              <w:rPr>
                <w:rFonts w:ascii="Times New Roman" w:hAnsi="Times New Roman"/>
                <w:color w:val="000000"/>
                <w:sz w:val="20"/>
              </w:rPr>
              <w:t>Other comprehensive income (loss), net of tax:</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6449"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Foreign currency translation adjustments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(2,309</w:t>
            </w:r>
          </w:p>
        </w:tc>
        <w:tc>
          <w:tcPr>
            <w:tcW w:w="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99" w:type="dxa"/>
            <w:tcBorders/>
            <w:vAlign w:val="bottom"/>
          </w:tcPr>
          <w:p>
            <w:pPr>
              <w:pStyle w:val="TableContents"/>
              <w:bidi w:val="0"/>
              <w:spacing w:before="0" w:after="283"/>
              <w:jc w:val="left"/>
              <w:rPr/>
            </w:pPr>
            <w:r>
              <w:rPr/>
              <w:t> </w:t>
            </w:r>
          </w:p>
        </w:tc>
      </w:tr>
      <w:tr>
        <w:trPr/>
        <w:tc>
          <w:tcPr>
            <w:tcW w:w="6449" w:type="dxa"/>
            <w:tcBorders/>
            <w:shd w:fill="CCEEFF" w:val="clear"/>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Net unrealized gains (losses) on cash flow hedges, net of taxes of $(1) and $262 for the three months ended September 30, 2025 and 2024, respectively and $(51) and $(325) for the nine months ended September 30, 2025 and 2024, respectively</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8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1,178</w:t>
            </w:r>
          </w:p>
        </w:tc>
        <w:tc>
          <w:tcPr>
            <w:tcW w:w="99" w:type="dxa"/>
            <w:tcBorders/>
            <w:shd w:fill="CCEEFF" w:val="clear"/>
            <w:vAlign w:val="bottom"/>
          </w:tcPr>
          <w:p>
            <w:pPr>
              <w:pStyle w:val="TableContents"/>
              <w:bidi w:val="0"/>
              <w:spacing w:before="0" w:after="283"/>
              <w:jc w:val="left"/>
              <w:rPr/>
            </w:pPr>
            <w:r>
              <w:rPr/>
              <w:t> </w:t>
            </w:r>
          </w:p>
        </w:tc>
      </w:tr>
      <w:tr>
        <w:trPr/>
        <w:tc>
          <w:tcPr>
            <w:tcW w:w="6449"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Reclassification adjustment for realized losses in current earnings on cash flow hedges, net of taxes of $152 and $574 for the three months ended September 30, 2025 and 2024, respectively and $1,069 and $1,716 for the nine months ended September 30, 2025 and 2024, respectively</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6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(551</w:t>
            </w:r>
          </w:p>
        </w:tc>
        <w:tc>
          <w:tcPr>
            <w:tcW w:w="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6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(6,218</w:t>
            </w:r>
          </w:p>
        </w:tc>
        <w:tc>
          <w:tcPr>
            <w:tcW w:w="9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4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(2,858</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(5,034</w:t>
            </w:r>
          </w:p>
        </w:tc>
        <w:tc>
          <w:tcPr>
            <w:tcW w:w="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449" w:type="dxa"/>
            <w:tcBorders/>
            <w:vAlign w:val="bottom"/>
          </w:tcPr>
          <w:p>
            <w:pPr>
              <w:pStyle w:val="TableContents"/>
              <w:bidi w:val="0"/>
              <w:spacing w:before="0" w:after="0"/>
              <w:ind w:left="1044" w:right="0" w:hanging="1044"/>
              <w:jc w:val="left"/>
              <w:rPr>
                <w:rFonts w:ascii="Times New Roman" w:hAnsi="Times New Roman"/>
                <w:color w:val="000000"/>
                <w:sz w:val="20"/>
              </w:rPr>
            </w:pPr>
            <w:r>
              <w:rPr>
                <w:rFonts w:ascii="Times New Roman" w:hAnsi="Times New Roman"/>
                <w:color w:val="000000"/>
                <w:sz w:val="20"/>
              </w:rPr>
              <w:t>Comprehensive income (loss)</w:t>
            </w:r>
          </w:p>
        </w:tc>
        <w:tc>
          <w:tcPr>
            <w:tcW w:w="60" w:type="dxa"/>
            <w:tcBorders/>
            <w:vAlign w:val="bottom"/>
          </w:tcPr>
          <w:p>
            <w:pPr>
              <w:pStyle w:val="TableContents"/>
              <w:bidi w:val="0"/>
              <w:spacing w:before="0" w:after="283"/>
              <w:jc w:val="righ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14,221</w:t>
            </w:r>
          </w:p>
        </w:tc>
        <w:tc>
          <w:tcPr>
            <w:tcW w:w="8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153,555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(115,523</w:t>
            </w:r>
          </w:p>
        </w:tc>
        <w:tc>
          <w:tcPr>
            <w:tcW w:w="9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7" w:name="StockholdersEquity"/>
      <w:bookmarkEnd w:id="7"/>
      <w:r>
        <w:rPr>
          <w:rFonts w:ascii="Times New Roman" w:hAnsi="Times New Roman"/>
          <w:b/>
          <w:color w:val="000000"/>
          <w:sz w:val="20"/>
          <w:shd w:fill="FFFFFF" w:val="clear"/>
        </w:rPr>
        <w:t>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40"/>
        <w:gridCol w:w="60"/>
        <w:gridCol w:w="265"/>
        <w:gridCol w:w="554"/>
        <w:gridCol w:w="60"/>
        <w:gridCol w:w="60"/>
        <w:gridCol w:w="140"/>
        <w:gridCol w:w="780"/>
        <w:gridCol w:w="80"/>
        <w:gridCol w:w="60"/>
        <w:gridCol w:w="125"/>
        <w:gridCol w:w="905"/>
        <w:gridCol w:w="95"/>
        <w:gridCol w:w="60"/>
        <w:gridCol w:w="190"/>
        <w:gridCol w:w="1150"/>
        <w:gridCol w:w="80"/>
        <w:gridCol w:w="60"/>
        <w:gridCol w:w="125"/>
        <w:gridCol w:w="845"/>
        <w:gridCol w:w="80"/>
        <w:gridCol w:w="60"/>
        <w:gridCol w:w="125"/>
        <w:gridCol w:w="695"/>
        <w:gridCol w:w="111"/>
      </w:tblGrid>
      <w:tr>
        <w:trPr/>
        <w:tc>
          <w:tcPr>
            <w:tcW w:w="3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4"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 September 30, 2025</w:t>
            </w:r>
          </w:p>
        </w:tc>
        <w:tc>
          <w:tcPr>
            <w:tcW w:w="111"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111"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July 1, 2025</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627,515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(1,560,411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1,834,617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787,754</w:t>
            </w:r>
          </w:p>
        </w:tc>
        <w:tc>
          <w:tcPr>
            <w:tcW w:w="111"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17,079</w:t>
            </w:r>
          </w:p>
        </w:tc>
        <w:tc>
          <w:tcPr>
            <w:tcW w:w="111"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(2,858</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40" w:type="dxa"/>
            <w:tcBorders/>
            <w:shd w:fill="CCEEFF" w:val="clear"/>
            <w:vAlign w:val="bottom"/>
          </w:tcPr>
          <w:p>
            <w:pPr>
              <w:pStyle w:val="TableContents"/>
              <w:bidi w:val="0"/>
              <w:spacing w:before="0" w:after="0"/>
              <w:ind w:left="180" w:right="0" w:hanging="180"/>
              <w:jc w:val="left"/>
              <w:rPr/>
            </w:pPr>
            <w:r>
              <w:rPr/>
              <w:t>Repurchase of Class A common stock (Note 7)</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(5,008</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(5,008</w:t>
            </w:r>
          </w:p>
        </w:tc>
        <w:tc>
          <w:tcPr>
            <w:tcW w:w="111" w:type="dxa"/>
            <w:tcBorders/>
            <w:shd w:fill="CCEEFF" w:val="clear"/>
            <w:vAlign w:val="bottom"/>
          </w:tcPr>
          <w:p>
            <w:pPr>
              <w:pStyle w:val="TableContents"/>
              <w:bidi w:val="0"/>
              <w:spacing w:before="0" w:after="283"/>
              <w:jc w:val="left"/>
              <w:rPr/>
            </w:pPr>
            <w:r>
              <w:rPr/>
              <w:t>)</w:t>
            </w:r>
          </w:p>
        </w:tc>
      </w:tr>
      <w:tr>
        <w:trPr/>
        <w:tc>
          <w:tcPr>
            <w:tcW w:w="344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Exercise of employee stock options (0.1 million shares)/vesting of stock awards</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4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5,819</w:t>
            </w:r>
          </w:p>
        </w:tc>
        <w:tc>
          <w:tcPr>
            <w:tcW w:w="111"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vAlign w:val="bottom"/>
          </w:tcPr>
          <w:p>
            <w:pPr>
              <w:pStyle w:val="TableContents"/>
              <w:bidi w:val="0"/>
              <w:spacing w:before="0" w:after="283"/>
              <w:jc w:val="right"/>
              <w:rPr/>
            </w:pPr>
            <w:r>
              <w:rPr/>
              <w:t> </w:t>
            </w:r>
          </w:p>
        </w:tc>
        <w:tc>
          <w:tcPr>
            <w:tcW w:w="2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(2,962</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4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September 30, 2025</w:t>
            </w:r>
          </w:p>
        </w:tc>
        <w:tc>
          <w:tcPr>
            <w:tcW w:w="60" w:type="dxa"/>
            <w:tcBorders/>
            <w:shd w:fill="CCEEFF" w:val="clear"/>
            <w:vAlign w:val="bottom"/>
          </w:tcPr>
          <w:p>
            <w:pPr>
              <w:pStyle w:val="TableContents"/>
              <w:bidi w:val="0"/>
              <w:spacing w:before="0" w:after="283"/>
              <w:jc w:val="right"/>
              <w:rPr/>
            </w:pPr>
            <w:r>
              <w:rPr/>
              <w:t> </w:t>
            </w:r>
          </w:p>
        </w:tc>
        <w:tc>
          <w:tcPr>
            <w:tcW w:w="2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633,161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(1,565,275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(116,916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1,848,734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799,795</w:t>
            </w:r>
          </w:p>
        </w:tc>
        <w:tc>
          <w:tcPr>
            <w:tcW w:w="11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70"/>
        <w:gridCol w:w="60"/>
        <w:gridCol w:w="265"/>
        <w:gridCol w:w="554"/>
        <w:gridCol w:w="60"/>
        <w:gridCol w:w="60"/>
        <w:gridCol w:w="140"/>
        <w:gridCol w:w="780"/>
        <w:gridCol w:w="80"/>
        <w:gridCol w:w="60"/>
        <w:gridCol w:w="125"/>
        <w:gridCol w:w="905"/>
        <w:gridCol w:w="80"/>
        <w:gridCol w:w="60"/>
        <w:gridCol w:w="190"/>
        <w:gridCol w:w="1150"/>
        <w:gridCol w:w="80"/>
        <w:gridCol w:w="60"/>
        <w:gridCol w:w="125"/>
        <w:gridCol w:w="845"/>
        <w:gridCol w:w="80"/>
        <w:gridCol w:w="60"/>
        <w:gridCol w:w="125"/>
        <w:gridCol w:w="695"/>
        <w:gridCol w:w="96"/>
      </w:tblGrid>
      <w:tr>
        <w:trPr/>
        <w:tc>
          <w:tcPr>
            <w:tcW w:w="3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9"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 September 30, 2024</w:t>
            </w:r>
          </w:p>
        </w:tc>
        <w:tc>
          <w:tcPr>
            <w:tcW w:w="96"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6"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July 1, 2024</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621,440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(1,564,090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(116,995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1,745,718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686,164</w:t>
            </w:r>
          </w:p>
        </w:tc>
        <w:tc>
          <w:tcPr>
            <w:tcW w:w="96"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8,302</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8,302</w:t>
            </w:r>
          </w:p>
        </w:tc>
        <w:tc>
          <w:tcPr>
            <w:tcW w:w="96" w:type="dxa"/>
            <w:tcBorders/>
            <w:shd w:fill="CCEEFF" w:val="clear"/>
            <w:vAlign w:val="bottom"/>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income, net of tax</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11,955</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11,955</w:t>
            </w:r>
          </w:p>
        </w:tc>
        <w:tc>
          <w:tcPr>
            <w:tcW w:w="96" w:type="dxa"/>
            <w:tcBorders/>
            <w:vAlign w:val="bottom"/>
          </w:tcPr>
          <w:p>
            <w:pPr>
              <w:pStyle w:val="TableContents"/>
              <w:bidi w:val="0"/>
              <w:spacing w:before="0" w:after="283"/>
              <w:jc w:val="left"/>
              <w:rPr>
                <w:sz w:val="4"/>
                <w:szCs w:val="4"/>
              </w:rPr>
            </w:pPr>
            <w:r>
              <w:rPr>
                <w:sz w:val="4"/>
                <w:szCs w:val="4"/>
              </w:rPr>
            </w:r>
          </w:p>
        </w:tc>
      </w:tr>
      <w:tr>
        <w:trPr/>
        <w:tc>
          <w:tcPr>
            <w:tcW w:w="34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(0.1 million shares)/vesting of stock awards</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w:t>
            </w:r>
          </w:p>
        </w:tc>
        <w:tc>
          <w:tcPr>
            <w:tcW w:w="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3,490</w:t>
            </w:r>
          </w:p>
        </w:tc>
        <w:tc>
          <w:tcPr>
            <w:tcW w:w="96"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shd w:fill="CCEEFF" w:val="clear"/>
            <w:vAlign w:val="bottom"/>
          </w:tcPr>
          <w:p>
            <w:pPr>
              <w:pStyle w:val="TableContents"/>
              <w:bidi w:val="0"/>
              <w:spacing w:before="0" w:after="283"/>
              <w:jc w:val="right"/>
              <w:rPr/>
            </w:pPr>
            <w:r>
              <w:rPr/>
              <w:t> </w:t>
            </w:r>
          </w:p>
        </w:tc>
        <w:tc>
          <w:tcPr>
            <w:tcW w:w="2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(2,983</w:t>
            </w:r>
          </w:p>
        </w:tc>
        <w:tc>
          <w:tcPr>
            <w:tcW w:w="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7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September 30, 2024</w:t>
            </w:r>
          </w:p>
        </w:tc>
        <w:tc>
          <w:tcPr>
            <w:tcW w:w="60" w:type="dxa"/>
            <w:tcBorders/>
            <w:vAlign w:val="bottom"/>
          </w:tcPr>
          <w:p>
            <w:pPr>
              <w:pStyle w:val="TableContents"/>
              <w:bidi w:val="0"/>
              <w:spacing w:before="0" w:after="283"/>
              <w:jc w:val="right"/>
              <w:rPr/>
            </w:pPr>
            <w:r>
              <w:rPr/>
              <w:t> </w:t>
            </w:r>
          </w:p>
        </w:tc>
        <w:tc>
          <w:tcPr>
            <w:tcW w:w="26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624,665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(1,563,878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(105,040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1,751,037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706,875</w:t>
            </w:r>
          </w:p>
        </w:tc>
        <w:tc>
          <w:tcPr>
            <w:tcW w:w="96"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00"/>
        <w:gridCol w:w="60"/>
        <w:gridCol w:w="259"/>
        <w:gridCol w:w="541"/>
        <w:gridCol w:w="60"/>
        <w:gridCol w:w="60"/>
        <w:gridCol w:w="140"/>
        <w:gridCol w:w="780"/>
        <w:gridCol w:w="80"/>
        <w:gridCol w:w="60"/>
        <w:gridCol w:w="125"/>
        <w:gridCol w:w="905"/>
        <w:gridCol w:w="95"/>
        <w:gridCol w:w="60"/>
        <w:gridCol w:w="190"/>
        <w:gridCol w:w="1150"/>
        <w:gridCol w:w="80"/>
        <w:gridCol w:w="60"/>
        <w:gridCol w:w="125"/>
        <w:gridCol w:w="845"/>
        <w:gridCol w:w="80"/>
        <w:gridCol w:w="60"/>
        <w:gridCol w:w="125"/>
        <w:gridCol w:w="755"/>
        <w:gridCol w:w="110"/>
      </w:tblGrid>
      <w:tr>
        <w:trPr/>
        <w:tc>
          <w:tcPr>
            <w:tcW w:w="3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3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Nine Months Ended September 30, 2025</w:t>
            </w:r>
          </w:p>
        </w:tc>
        <w:tc>
          <w:tcPr>
            <w:tcW w:w="110" w:type="dxa"/>
            <w:tcBorders/>
            <w:vAlign w:val="bottom"/>
          </w:tcPr>
          <w:p>
            <w:pPr>
              <w:pStyle w:val="TableContents"/>
              <w:bidi w:val="0"/>
              <w:spacing w:before="0" w:after="283"/>
              <w:jc w:val="left"/>
              <w:rPr/>
            </w:pPr>
            <w:r>
              <w:rPr/>
              <w:t> </w:t>
            </w:r>
          </w:p>
        </w:tc>
      </w:tr>
      <w:tr>
        <w:trPr/>
        <w:tc>
          <w:tcPr>
            <w:tcW w:w="3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Paid-in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110" w:type="dxa"/>
            <w:tcBorders/>
            <w:vAlign w:val="bottom"/>
          </w:tcPr>
          <w:p>
            <w:pPr>
              <w:pStyle w:val="TableContents"/>
              <w:bidi w:val="0"/>
              <w:spacing w:before="0" w:after="283"/>
              <w:jc w:val="left"/>
              <w:rPr/>
            </w:pPr>
            <w:r>
              <w:rPr/>
              <w:t> </w:t>
            </w:r>
          </w:p>
        </w:tc>
      </w:tr>
      <w:tr>
        <w:trPr/>
        <w:tc>
          <w:tcPr>
            <w:tcW w:w="340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January 1, 2025</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627,787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(1,563,614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(124,758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1,711,949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651,455</w:t>
            </w:r>
          </w:p>
        </w:tc>
        <w:tc>
          <w:tcPr>
            <w:tcW w:w="110" w:type="dxa"/>
            <w:tcBorders/>
            <w:shd w:fill="CCEEFF" w:val="clear"/>
            <w:vAlign w:val="bottom"/>
          </w:tcPr>
          <w:p>
            <w:pPr>
              <w:pStyle w:val="TableContents"/>
              <w:bidi w:val="0"/>
              <w:spacing w:before="0" w:after="283"/>
              <w:jc w:val="left"/>
              <w:rPr/>
            </w:pPr>
            <w:r>
              <w:rPr/>
              <w:t> </w:t>
            </w:r>
          </w:p>
        </w:tc>
      </w:tr>
      <w:tr>
        <w:trPr/>
        <w:tc>
          <w:tcPr>
            <w:tcW w:w="3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4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 xml:space="preserve">Net income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145,713</w:t>
            </w:r>
          </w:p>
        </w:tc>
        <w:tc>
          <w:tcPr>
            <w:tcW w:w="110" w:type="dxa"/>
            <w:tcBorders/>
            <w:shd w:fill="CCEEFF" w:val="clear"/>
            <w:vAlign w:val="bottom"/>
          </w:tcPr>
          <w:p>
            <w:pPr>
              <w:pStyle w:val="TableContents"/>
              <w:bidi w:val="0"/>
              <w:spacing w:before="0" w:after="283"/>
              <w:jc w:val="left"/>
              <w:rPr/>
            </w:pPr>
            <w:r>
              <w:rPr/>
              <w:t> </w:t>
            </w:r>
          </w:p>
        </w:tc>
      </w:tr>
      <w:tr>
        <w:trPr/>
        <w:tc>
          <w:tcPr>
            <w:tcW w:w="34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income, net of tax</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7,842</w:t>
            </w:r>
          </w:p>
        </w:tc>
        <w:tc>
          <w:tcPr>
            <w:tcW w:w="110" w:type="dxa"/>
            <w:tcBorders/>
            <w:vAlign w:val="bottom"/>
          </w:tcPr>
          <w:p>
            <w:pPr>
              <w:pStyle w:val="TableContents"/>
              <w:bidi w:val="0"/>
              <w:spacing w:before="0" w:after="283"/>
              <w:jc w:val="left"/>
              <w:rPr/>
            </w:pPr>
            <w:r>
              <w:rPr/>
              <w:t> </w:t>
            </w:r>
          </w:p>
        </w:tc>
      </w:tr>
      <w:tr>
        <w:trPr/>
        <w:tc>
          <w:tcPr>
            <w:tcW w:w="3400" w:type="dxa"/>
            <w:tcBorders/>
            <w:shd w:fill="CCEEFF" w:val="clear"/>
            <w:vAlign w:val="bottom"/>
          </w:tcPr>
          <w:p>
            <w:pPr>
              <w:pStyle w:val="TableContents"/>
              <w:bidi w:val="0"/>
              <w:spacing w:before="0" w:after="0"/>
              <w:ind w:left="180" w:right="0" w:hanging="180"/>
              <w:jc w:val="left"/>
              <w:rPr/>
            </w:pPr>
            <w:r>
              <w:rPr/>
              <w:t xml:space="preserve">Repurchase of Class A common stock (Note 7)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(10,020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(10,020</w:t>
            </w:r>
          </w:p>
        </w:tc>
        <w:tc>
          <w:tcPr>
            <w:tcW w:w="110" w:type="dxa"/>
            <w:tcBorders/>
            <w:shd w:fill="CCEEFF" w:val="clear"/>
            <w:vAlign w:val="bottom"/>
          </w:tcPr>
          <w:p>
            <w:pPr>
              <w:pStyle w:val="TableContents"/>
              <w:bidi w:val="0"/>
              <w:spacing w:before="0" w:after="283"/>
              <w:jc w:val="left"/>
              <w:rPr/>
            </w:pPr>
            <w:r>
              <w:rPr/>
              <w:t>)</w:t>
            </w:r>
          </w:p>
        </w:tc>
      </w:tr>
      <w:tr>
        <w:trPr/>
        <w:tc>
          <w:tcPr>
            <w:tcW w:w="340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(0.3 million shares)/vesting of stock awards</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(9,530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(1,171</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14,904</w:t>
            </w:r>
          </w:p>
        </w:tc>
        <w:tc>
          <w:tcPr>
            <w:tcW w:w="110" w:type="dxa"/>
            <w:tcBorders/>
            <w:shd w:fill="CCEEFF" w:val="clear"/>
            <w:vAlign w:val="bottom"/>
          </w:tcPr>
          <w:p>
            <w:pPr>
              <w:pStyle w:val="TableContents"/>
              <w:bidi w:val="0"/>
              <w:spacing w:before="0" w:after="283"/>
              <w:jc w:val="left"/>
              <w:rPr/>
            </w:pPr>
            <w:r>
              <w:rPr/>
              <w:t> </w:t>
            </w:r>
          </w:p>
        </w:tc>
      </w:tr>
      <w:tr>
        <w:trPr/>
        <w:tc>
          <w:tcPr>
            <w:tcW w:w="34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(8,928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(8,928</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0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September 30, 2025</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633,161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(1,565,275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(116,916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1,848,734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799,795</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11"/>
        <w:gridCol w:w="60"/>
        <w:gridCol w:w="264"/>
        <w:gridCol w:w="553"/>
        <w:gridCol w:w="60"/>
        <w:gridCol w:w="60"/>
        <w:gridCol w:w="140"/>
        <w:gridCol w:w="780"/>
        <w:gridCol w:w="80"/>
        <w:gridCol w:w="60"/>
        <w:gridCol w:w="125"/>
        <w:gridCol w:w="905"/>
        <w:gridCol w:w="80"/>
        <w:gridCol w:w="60"/>
        <w:gridCol w:w="190"/>
        <w:gridCol w:w="1150"/>
        <w:gridCol w:w="80"/>
        <w:gridCol w:w="60"/>
        <w:gridCol w:w="125"/>
        <w:gridCol w:w="845"/>
        <w:gridCol w:w="80"/>
        <w:gridCol w:w="60"/>
        <w:gridCol w:w="125"/>
        <w:gridCol w:w="755"/>
        <w:gridCol w:w="97"/>
      </w:tblGrid>
      <w:tr>
        <w:trPr/>
        <w:tc>
          <w:tcPr>
            <w:tcW w:w="34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37"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Nine Months Ended September 30, 2024</w:t>
            </w:r>
          </w:p>
        </w:tc>
        <w:tc>
          <w:tcPr>
            <w:tcW w:w="97" w:type="dxa"/>
            <w:tcBorders/>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January 1, 2024</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621,853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(1,570,440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1,870,470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821,968</w:t>
            </w:r>
          </w:p>
        </w:tc>
        <w:tc>
          <w:tcPr>
            <w:tcW w:w="97" w:type="dxa"/>
            <w:tcBorders/>
            <w:shd w:fill="CCEEFF" w:val="clear"/>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(110,489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(110,489</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(5,034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(5,034</w:t>
            </w:r>
          </w:p>
        </w:tc>
        <w:tc>
          <w:tcPr>
            <w:tcW w:w="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(0.3 million shares)/vesting of stock awards</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(8,566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(2,004</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11,378</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(8,944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(8,944</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September 30, 2024</w:t>
            </w:r>
          </w:p>
        </w:tc>
        <w:tc>
          <w:tcPr>
            <w:tcW w:w="60" w:type="dxa"/>
            <w:tcBorders/>
            <w:vAlign w:val="bottom"/>
          </w:tcPr>
          <w:p>
            <w:pPr>
              <w:pStyle w:val="TableContents"/>
              <w:bidi w:val="0"/>
              <w:spacing w:before="0" w:after="283"/>
              <w:jc w:val="righ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624,665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(1,563,878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(105,040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1,751,037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706,875</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8" w:name="CashFlows"/>
      <w:bookmarkEnd w:id="8"/>
      <w:r>
        <w:rPr>
          <w:rFonts w:ascii="Times New Roman" w:hAnsi="Times New Roman"/>
          <w:b/>
          <w:color w:val="000000"/>
          <w:sz w:val="20"/>
          <w:shd w:fill="FFFFFF" w:val="clear"/>
        </w:rPr>
        <w:t>Cash Flows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450"/>
        <w:gridCol w:w="60"/>
        <w:gridCol w:w="125"/>
        <w:gridCol w:w="875"/>
        <w:gridCol w:w="95"/>
        <w:gridCol w:w="60"/>
        <w:gridCol w:w="125"/>
        <w:gridCol w:w="800"/>
        <w:gridCol w:w="615"/>
      </w:tblGrid>
      <w:tr>
        <w:trPr/>
        <w:tc>
          <w:tcPr>
            <w:tcW w:w="7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15" w:type="dxa"/>
            <w:tcBorders/>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15" w:type="dxa"/>
            <w:tcBorders/>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(110,489</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Adjustments to reconcile net income (loss) to cash flows from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ind w:left="0" w:right="0" w:firstLine="540"/>
              <w:jc w:val="left"/>
              <w:rPr/>
            </w:pPr>
            <w:r>
              <w:rPr/>
              <w:t> </w:t>
            </w:r>
          </w:p>
        </w:tc>
      </w:tr>
      <w:tr>
        <w:trPr/>
        <w:tc>
          <w:tcPr>
            <w:tcW w:w="7450" w:type="dxa"/>
            <w:tcBorders/>
            <w:shd w:fill="CCEEFF" w:val="clear"/>
            <w:vAlign w:val="bottom"/>
          </w:tcPr>
          <w:p>
            <w:pPr>
              <w:pStyle w:val="TableContents"/>
              <w:bidi w:val="0"/>
              <w:spacing w:before="0" w:after="283"/>
              <w:jc w:val="left"/>
              <w:rPr/>
            </w:pPr>
            <w:r>
              <w:rPr/>
              <w:t>Gain on sale of business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(176,162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540" w:right="0" w:hanging="0"/>
              <w:jc w:val="left"/>
              <w:rPr/>
            </w:pPr>
            <w:r>
              <w:rPr/>
              <w:t>Impairment of goodwill, fixed assets and other intangibles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25,114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147,350</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540" w:right="0" w:hanging="0"/>
              <w:jc w:val="left"/>
              <w:rPr/>
            </w:pPr>
            <w:r>
              <w:rPr/>
              <w:t>Unrealized losses on equity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28,077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53,361</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Non-cash lease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23,644</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11,378</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540" w:right="0" w:hanging="0"/>
              <w:jc w:val="left"/>
              <w:rPr/>
            </w:pPr>
            <w:r>
              <w:rPr/>
              <w:t>Inventory write-down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5,843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5,104</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Foreign currency losses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2,238</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Loss (gain) on disposal of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Deferred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(8,154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(7,625</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864" w:right="0" w:hanging="144"/>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1,318</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5,074</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24,948</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(21,174</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(9,508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(4,061</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(6,865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(10,556</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(41,124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(19,032</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2,431</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(13,866</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85,957</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Purchases of property and equipment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(23,517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(29,000</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0" w:right="0" w:firstLine="360"/>
              <w:jc w:val="left"/>
              <w:rPr>
                <w:rFonts w:ascii="Times New Roman" w:hAnsi="Times New Roman"/>
                <w:color w:val="000000"/>
                <w:sz w:val="20"/>
              </w:rPr>
            </w:pPr>
            <w:r>
              <w:rPr>
                <w:rFonts w:ascii="Times New Roman" w:hAnsi="Times New Roman"/>
                <w:color w:val="000000"/>
                <w:sz w:val="20"/>
              </w:rPr>
              <w:t>Purchases of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(13,718</w:t>
            </w:r>
          </w:p>
        </w:tc>
        <w:tc>
          <w:tcPr>
            <w:tcW w:w="615" w:type="dxa"/>
            <w:tcBorders/>
            <w:shd w:fill="CCEEFF" w:val="clear"/>
            <w:vAlign w:val="bottom"/>
          </w:tcPr>
          <w:p>
            <w:pPr>
              <w:pStyle w:val="TableContents"/>
              <w:bidi w:val="0"/>
              <w:spacing w:before="0" w:after="283"/>
              <w:jc w:val="left"/>
              <w:rPr/>
            </w:pPr>
            <w:r>
              <w:rPr/>
              <w:t>)</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on investment sales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18,378</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360" w:right="0" w:hanging="0"/>
              <w:jc w:val="left"/>
              <w:rPr/>
            </w:pPr>
            <w:r>
              <w:rPr/>
              <w:t>Proceeds from sale of business,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pPr>
            <w:r>
              <w:rPr/>
              <w:t>193,725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180,422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(24,340</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Exercise of employee stock options and taxes paid related to the net shares settlement of stock awards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(2,004</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 of cash dividends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(8,928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(8,944</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360" w:right="0" w:hanging="0"/>
              <w:jc w:val="left"/>
              <w:rPr/>
            </w:pPr>
            <w:r>
              <w:rPr/>
              <w:t>Repurchase of shares of common stock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(10,020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Finance lease principal payments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(2,302</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Contingent consideration 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(6,300</w:t>
            </w:r>
          </w:p>
        </w:tc>
        <w:tc>
          <w:tcPr>
            <w:tcW w:w="615" w:type="dxa"/>
            <w:tcBorders/>
            <w:shd w:fill="CCEEFF" w:val="clear"/>
            <w:vAlign w:val="bottom"/>
          </w:tcPr>
          <w:p>
            <w:pPr>
              <w:pStyle w:val="TableContents"/>
              <w:bidi w:val="0"/>
              <w:spacing w:before="0" w:after="283"/>
              <w:jc w:val="left"/>
              <w:rPr/>
            </w:pPr>
            <w:r>
              <w:rPr/>
              <w:t>)</w:t>
            </w:r>
          </w:p>
        </w:tc>
      </w:tr>
      <w:tr>
        <w:trPr/>
        <w:tc>
          <w:tcPr>
            <w:tcW w:w="7450" w:type="dxa"/>
            <w:tcBorders/>
            <w:vAlign w:val="bottom"/>
          </w:tcPr>
          <w:p>
            <w:pPr>
              <w:pStyle w:val="TableContents"/>
              <w:bidi w:val="0"/>
              <w:spacing w:before="0" w:after="0"/>
              <w:ind w:left="0" w:right="0" w:firstLine="360"/>
              <w:jc w:val="left"/>
              <w:rPr>
                <w:rFonts w:ascii="Times New Roman" w:hAnsi="Times New Roman"/>
                <w:color w:val="000000"/>
                <w:sz w:val="20"/>
              </w:rPr>
            </w:pPr>
            <w:r>
              <w:rPr>
                <w:rFonts w:ascii="Times New Roman" w:hAnsi="Times New Roman"/>
                <w:color w:val="000000"/>
                <w:sz w:val="20"/>
              </w:rPr>
              <w:t>Proceeds from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55,000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15,000</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Payments of 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(220,000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(85,000</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360" w:right="0" w:hanging="0"/>
              <w:jc w:val="left"/>
              <w:rPr/>
            </w:pPr>
            <w:r>
              <w:rPr/>
              <w:t>Other,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2,971</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used in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(183,903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(89,550</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Effect of exchange rate changes on cash</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64,904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(28,306</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186,883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256,057</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end of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251,787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227,751</w:t>
            </w:r>
          </w:p>
        </w:tc>
        <w:tc>
          <w:tcPr>
            <w:tcW w:w="61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color w:val="000000"/>
          <w:sz w:val="20"/>
          <w:shd w:fill="FFFFFF" w:val="clear"/>
        </w:rPr>
      </w:pPr>
      <w:bookmarkStart w:id="9" w:name="Notes"/>
      <w:bookmarkEnd w:id="9"/>
      <w:r>
        <w:rPr>
          <w:rFonts w:ascii="Times New Roman" w:hAnsi="Times New Roman"/>
          <w:color w:val="000000"/>
          <w:sz w:val="20"/>
          <w:shd w:fill="FFFFFF" w:val="clear"/>
        </w:rPr>
        <w:t>Notes to Consolidated Financial Statements</w:t>
      </w:r>
    </w:p>
    <w:p>
      <w:pPr>
        <w:pStyle w:val="TextBody"/>
        <w:bidi w:val="0"/>
        <w:spacing w:before="0" w:after="0"/>
        <w:jc w:val="left"/>
        <w:rPr/>
      </w:pPr>
      <w:r>
        <w:rPr/>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The Company</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 (the “Company”) is a holding company, with Nu Skin being the primary operating unit.  Nu Skin develops and distributes premium-quality, innovative beauty and wellness products that are sold worldwide primarily under the Nu Skin, Pharmanex and ageLOC brands.  The Company reports revenue from nine segments, consisting of its seven geographic Nu Skin segments</w:t>
      </w:r>
      <w:r>
        <w:rPr>
          <w:rFonts w:ascii="Times New Roman" w:hAnsi="Times New Roman"/>
          <w:caps w:val="false"/>
          <w:smallCaps w:val="false"/>
          <w:color w:val="000000"/>
          <w:spacing w:val="0"/>
          <w:sz w:val="20"/>
          <w:shd w:fill="FFFFFF" w:val="clear"/>
        </w:rPr>
        <w:t>—</w:t>
      </w:r>
      <w:r>
        <w:rPr>
          <w:rFonts w:ascii="Times New Roman" w:hAnsi="Times New Roman"/>
          <w:b w:val="false"/>
          <w:i w:val="false"/>
          <w:caps w:val="false"/>
          <w:smallCaps w:val="false"/>
          <w:color w:val="000000"/>
          <w:spacing w:val="0"/>
          <w:sz w:val="20"/>
          <w:shd w:fill="FFFFFF" w:val="clear"/>
        </w:rPr>
        <w:t>Americas,</w:t>
      </w:r>
      <w:r>
        <w:rPr>
          <w:rFonts w:ascii="Times New Roman" w:hAnsi="Times New Roman"/>
          <w:color w:val="000000"/>
          <w:sz w:val="20"/>
          <w:shd w:fill="FFFFFF" w:val="clear"/>
        </w:rPr>
        <w:t xml:space="preserve"> which includes Canada, Latin America and the United States; Mainland China; Southeast Asia/Pacific, which includes Indonesia, Malaysia, the Philippines, Singapore, Thailand, Vietnam, Australia, New Zealand, and other markets;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business arm (the Company’s subsidiaries operating within each segment are collectively referred to as the “Subsidiaries”).</w:t>
      </w:r>
    </w:p>
    <w:p>
      <w:pPr>
        <w:pStyle w:val="TextBody"/>
        <w:bidi w:val="0"/>
        <w:spacing w:before="0" w:after="0"/>
        <w:jc w:val="left"/>
        <w:rPr/>
      </w:pPr>
      <w:r>
        <w:rPr/>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375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Summary of Significant Accounting Policies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September 30, 2025, and for the three- and nine-month periods ended September 30, 2025 and 2024. The results of operations of any interim period are not necessarily indicative of the results of operations to be expected for the fiscal year. The consolidated balance sheet as of December 31, 2024 has been prepared using information from the audited financial statements at that date. For further information, refer to the consolidated financial statements and accompanying footnotes included in the Company’s Annual Report on Form 10-K for the year ended December 31, 2024.</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i/>
          <w:color w:val="000000"/>
          <w:sz w:val="20"/>
          <w:shd w:fill="FFFFFF" w:val="clear"/>
        </w:rPr>
      </w:pPr>
      <w:r>
        <w:rPr>
          <w:rFonts w:ascii="Times New Roman" w:hAnsi="Times New Roman"/>
          <w:i/>
          <w:color w:val="000000"/>
          <w:sz w:val="20"/>
          <w:shd w:fill="FFFFFF" w:val="clear"/>
        </w:rPr>
        <w:t>Accounting Pronouncements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2023, the FASB issued ASU 2023-09, </w:t>
      </w:r>
      <w:r>
        <w:rPr>
          <w:rFonts w:ascii="Times New Roman" w:hAnsi="Times New Roman"/>
          <w:i/>
          <w:color w:val="000000"/>
          <w:sz w:val="20"/>
          <w:shd w:fill="FFFFFF" w:val="clear"/>
        </w:rPr>
        <w:t>Income Taxes (Topic 740): Improvements to Income Tax Disclosures.</w:t>
      </w:r>
      <w:r>
        <w:rPr>
          <w:rFonts w:ascii="Times New Roman" w:hAnsi="Times New Roman"/>
          <w:color w:val="000000"/>
          <w:sz w:val="20"/>
          <w:shd w:fill="FFFFFF" w:val="clear"/>
        </w:rPr>
        <w:t xml:space="preserve">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January 1, 2025, with early adoption permitted. The Company is currently evaluating the potential effect that the updated standard will have on its financial statement disclosures.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br/>
        <w:t>In November 2024, the FASB issued ASU 2024-03, Income Statement – Reporting Comprehensive Income – Expense Disaggregation Disclosures (Topic 220). This standard requires disclosure of specific information about costs and expenses. ASU 2024-03 is effective for fiscal years beginning after December 15, 2026 and interim reporting periods beginning after December 15, 2027. The Company is currently evaluating the potential effect that the updated standard will have on its financial statement disclosures.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January 2025, the FASB issued ASU 2025-01, Income Statement—Reporting Comprehensive Income—Expense Disaggregation Disclosures (Subtopic 220-40): Clarifying the Effective Date. This update clarifies the effective date of ASU 2024-03 (Disaggregation of Income Statement Expenses) to require all public business entities to adopt the guidance for annual periods beginning after December 15, 2026, and interim periods within annual periods beginning after December 15, 2027; early adoption is permitted. The Company is evaluating the impact of these disclosure requirements and the timing of adoption.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September 2025, the FASB issued ASU 2025-06, Intangibles—Goodwill and Other—Internal-Use Software (Subtopic 350-40): Targeted Improvements to the Accounting for Internal-Use Software. The amendments remove references to development “stages,” clarify the probable-to-complete threshold for capitalization of internal-use software costs, relocate website development guidance into Subtopic 350-40, and require that capitalized internal-use software costs follow Topic 360 disclosure requirements regardless of balance-sheet presentation. The amendments are effective for annual periods beginning after December 15, 2027, and interim periods within those annual periods; early adoption is permitted as of the beginning of an annual period. Entities may adopt the guidance prospectively, retrospectively, or using a modified prospective transition approach. The Company is evaluating the impact of this guidance and the available transition alternatives on its consolidated financial statements and disclosures.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Inventories,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Inventories, net consist of the following (U.S. dollars in thousands):</w:t>
      </w:r>
    </w:p>
    <w:p>
      <w:pPr>
        <w:pStyle w:val="TextBody"/>
        <w:bidi w:val="0"/>
        <w:spacing w:before="0" w:after="0"/>
        <w:jc w:val="left"/>
        <w:rPr/>
      </w:pPr>
      <w:r>
        <w:rPr/>
      </w:r>
    </w:p>
    <w:tbl>
      <w:tblPr>
        <w:tblW w:w="4618" w:type="dxa"/>
        <w:jc w:val="left"/>
        <w:tblInd w:w="0" w:type="dxa"/>
        <w:tblLayout w:type="fixed"/>
        <w:tblCellMar>
          <w:top w:w="0" w:type="dxa"/>
          <w:left w:w="0" w:type="dxa"/>
          <w:bottom w:w="0" w:type="dxa"/>
          <w:right w:w="0" w:type="dxa"/>
        </w:tblCellMar>
      </w:tblPr>
      <w:tblGrid>
        <w:gridCol w:w="1655"/>
        <w:gridCol w:w="60"/>
        <w:gridCol w:w="232"/>
        <w:gridCol w:w="1302"/>
        <w:gridCol w:w="60"/>
        <w:gridCol w:w="60"/>
        <w:gridCol w:w="178"/>
        <w:gridCol w:w="996"/>
        <w:gridCol w:w="75"/>
      </w:tblGrid>
      <w:tr>
        <w:trPr/>
        <w:tc>
          <w:tcPr>
            <w:tcW w:w="1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September 30, </w:t>
            </w:r>
          </w:p>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Raw materials</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0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100,658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121,929</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Finished goods</w:t>
            </w:r>
          </w:p>
        </w:tc>
        <w:tc>
          <w:tcPr>
            <w:tcW w:w="60"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68,313</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 Inventory, net</w:t>
            </w:r>
          </w:p>
        </w:tc>
        <w:tc>
          <w:tcPr>
            <w:tcW w:w="60" w:type="dxa"/>
            <w:tcBorders/>
            <w:shd w:fill="CCEEFF" w:val="clear"/>
            <w:vAlign w:val="bottom"/>
          </w:tcPr>
          <w:p>
            <w:pPr>
              <w:pStyle w:val="TableContents"/>
              <w:bidi w:val="0"/>
              <w:spacing w:before="0" w:after="283"/>
              <w:jc w:val="lef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0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178,533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190,242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Reserves of inventories consist of the following (U.S. dollars in thousands):</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tbl>
      <w:tblPr>
        <w:tblW w:w="5532" w:type="dxa"/>
        <w:jc w:val="left"/>
        <w:tblInd w:w="0" w:type="dxa"/>
        <w:tblLayout w:type="fixed"/>
        <w:tblCellMar>
          <w:top w:w="0" w:type="dxa"/>
          <w:left w:w="0" w:type="dxa"/>
          <w:bottom w:w="0" w:type="dxa"/>
          <w:right w:w="0" w:type="dxa"/>
        </w:tblCellMar>
      </w:tblPr>
      <w:tblGrid>
        <w:gridCol w:w="1580"/>
        <w:gridCol w:w="60"/>
        <w:gridCol w:w="142"/>
        <w:gridCol w:w="672"/>
        <w:gridCol w:w="91"/>
        <w:gridCol w:w="68"/>
        <w:gridCol w:w="142"/>
        <w:gridCol w:w="672"/>
        <w:gridCol w:w="80"/>
        <w:gridCol w:w="60"/>
        <w:gridCol w:w="140"/>
        <w:gridCol w:w="680"/>
        <w:gridCol w:w="80"/>
        <w:gridCol w:w="60"/>
        <w:gridCol w:w="140"/>
        <w:gridCol w:w="755"/>
        <w:gridCol w:w="110"/>
      </w:tblGrid>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110"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pPr>
            <w:r>
              <w:rPr/>
              <w:t> </w:t>
            </w:r>
            <w:r>
              <w:rPr>
                <w:b/>
              </w:rPr>
              <w:t>2025</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283"/>
              <w:jc w:val="center"/>
              <w:rPr/>
            </w:pPr>
            <w:r>
              <w:rPr/>
              <w:t> </w:t>
            </w:r>
            <w:r>
              <w:rPr>
                <w:b/>
              </w:rPr>
              <w:t>2024</w:t>
            </w:r>
          </w:p>
        </w:tc>
        <w:tc>
          <w:tcPr>
            <w:tcW w:w="110"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75,696</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70,283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84,006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83,378</w:t>
            </w:r>
          </w:p>
        </w:tc>
        <w:tc>
          <w:tcPr>
            <w:tcW w:w="110"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5,104</w:t>
            </w:r>
          </w:p>
        </w:tc>
        <w:tc>
          <w:tcPr>
            <w:tcW w:w="110"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Write-offs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(6,330</w:t>
            </w:r>
          </w:p>
        </w:tc>
        <w:tc>
          <w:tcPr>
            <w:tcW w:w="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(8,359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(20,440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(24,974</w:t>
            </w:r>
          </w:p>
        </w:tc>
        <w:tc>
          <w:tcPr>
            <w:tcW w:w="110" w:type="dxa"/>
            <w:tcBorders/>
            <w:shd w:fill="CCEEFF" w:val="clear"/>
            <w:vAlign w:val="bottom"/>
          </w:tcPr>
          <w:p>
            <w:pPr>
              <w:pStyle w:val="TableContents"/>
              <w:bidi w:val="0"/>
              <w:spacing w:before="0" w:after="283"/>
              <w:jc w:val="left"/>
              <w:rPr/>
            </w:pPr>
            <w:r>
              <w:rPr/>
              <w:t>)</w:t>
            </w:r>
          </w:p>
        </w:tc>
      </w:tr>
      <w:tr>
        <w:trPr/>
        <w:tc>
          <w:tcPr>
            <w:tcW w:w="15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69,409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63,508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69,409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755" w:type="dxa"/>
            <w:tcBorders>
              <w:bottom w:val="double" w:sz="8" w:space="0" w:color="000000"/>
            </w:tcBorders>
            <w:tcMar>
              <w:bottom w:w="28" w:type="dxa"/>
            </w:tcMar>
            <w:vAlign w:val="bottom"/>
          </w:tcPr>
          <w:p>
            <w:pPr>
              <w:pStyle w:val="TableContents"/>
              <w:bidi w:val="0"/>
              <w:spacing w:before="0" w:after="283"/>
              <w:jc w:val="right"/>
              <w:rPr/>
            </w:pPr>
            <w:r>
              <w:rPr/>
              <w:t>63,508</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Revenue Recognition</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Liabilities – Customer Loyalty Programs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balance of deferred revenue related to contract liabilities as of September 30, 2025 and December 31, 2024 was $7.3 million and $7.8 million, respectively. The contract liabilities’ impact to revenue for the three-month periods ended September 30, 2025 and 2024 was an increase of $0.1 million and an increase of $0.3 million, respecti</w:t>
      </w:r>
      <w:r>
        <w:rPr>
          <w:rFonts w:ascii="Times New Roman" w:hAnsi="Times New Roman"/>
          <w:b w:val="false"/>
          <w:i w:val="false"/>
          <w:caps w:val="false"/>
          <w:smallCaps w:val="false"/>
          <w:color w:val="000000"/>
          <w:sz w:val="20"/>
          <w:shd w:fill="FFFFFF" w:val="clear"/>
        </w:rPr>
        <w:t>vely.</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The impact to revenue for the nine-month periods ended September 30, 2025, and 2024 was an increase of $0.5 million and an increase of $1.1 million, respectively.</w:t>
      </w:r>
    </w:p>
    <w:p>
      <w:pPr>
        <w:pStyle w:val="TextBody"/>
        <w:bidi w:val="0"/>
        <w:spacing w:before="0" w:after="0"/>
        <w:jc w:val="left"/>
        <w:rPr/>
      </w:pPr>
      <w:r>
        <w:rPr/>
      </w:r>
    </w:p>
    <w:tbl>
      <w:tblPr>
        <w:tblW w:w="1330" w:type="dxa"/>
        <w:jc w:val="left"/>
        <w:tblInd w:w="0" w:type="dxa"/>
        <w:tblLayout w:type="fixed"/>
        <w:tblCellMar>
          <w:top w:w="0" w:type="dxa"/>
          <w:left w:w="0" w:type="dxa"/>
          <w:bottom w:w="0" w:type="dxa"/>
          <w:right w:w="0" w:type="dxa"/>
        </w:tblCellMar>
      </w:tblPr>
      <w:tblGrid>
        <w:gridCol w:w="185"/>
        <w:gridCol w:w="114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3.</w:t>
            </w:r>
          </w:p>
        </w:tc>
        <w:tc>
          <w:tcPr>
            <w:tcW w:w="11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Held for Sale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Assets and liabilities to be disposed of by sale are classified as “held for sale” if their carrying amounts are principally expected to be recovered through a sale transaction rather than through continuing use. The classification occurs when the disposal group is available for immediate sale and the sale is probable. These criteria are generally met when an agreement to sell exists, or management has committed to a plan to sell the assets within one year. Disposal groups are measured at the lower of carrying amount or fair value less costs to sell, and long-lived assets included within the disposal group are not depreciated or amortized.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 When the net realizable value of a disposal group increases during a period, a gain can be recognized to the extent that it does not increase the value of the disposal group beyond its original carrying value when the disposal group was reclassified as held for sale.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bookmarkStart w:id="10" w:name="z_Hlk197616122"/>
      <w:bookmarkEnd w:id="10"/>
      <w:r>
        <w:rPr>
          <w:rFonts w:ascii="Times New Roman" w:hAnsi="Times New Roman"/>
          <w:color w:val="000000"/>
          <w:sz w:val="20"/>
          <w:shd w:fill="FFFFFF" w:val="clear"/>
        </w:rPr>
        <w:t>On January 2, 2025, the Company completed the sale of its Mavely entity to Clout.io Holdings, Inc. for $230 million in cash and shares of the purchaser’s common stock, subject to certain adjustments as set forth in the purchase agreement, including post-closing determination of net working capital and other elements of the purchase price. Following the completion of certain payments to other equity holders in Mavely and the payment of certain transaction expenses, the Company received net proceeds of $193.7 million and equity interest with an estimated fair value of $6.1 million. The Company received an additional payment of $2.7 million in the second quarter of 2025 and received an additional $1.7 million in the third quarter of 2025. The estimated fair value was based on observable price changes and is classified as a level 3 fair value measurement and is accounted for under the measurement alternative described in ASC 321-10-35-2 for equity securities that lack readily determinable fair values. In the first quarter of 2025, the Company recorded a gain on sale of $176.2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2025, the Company recorded $5.2 million of stock-based compensation expense related to profit interest units issued to the Mavely founders. This expense should have been recorded in the fourth quarter of 2024 when the performance conditions became probable of vesting. The impact of the adjustment to correct this item was immaterial to the current and prior period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2024, the Mavely disposal group, consisting of $26.9 million of current assets, $22.2 million of long-term assets, $13.9 million of current liabilities and $1.3 million of long-term liabilities within the Company’s Rhyz Other segment, was classified as “Current assets held for sale”, “Long-term assets held for sale”, “Current liabilities held for sale” and “Long-term liabilities held for sale” in the Consolidated Balance Sheet. The Company determined that as of December 31, 2024, the disposal group met the criteria for classification as held for sale but did not meet the criteria for classification as discontinued operations. The Company recognized income (loss) before provision for income taxes for the Mavely disposal group of $0 and $2.0 million for the three months ended September 30, 2025 and 2024, respectively and $0 and $1.0 million for the nine months ended September 30, 2025 and 2024,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w:t>
      </w:r>
      <w:r>
        <w:rPr>
          <w:rFonts w:ascii="Times New Roman" w:hAnsi="Times New Roman"/>
          <w:b w:val="false"/>
          <w:i w:val="false"/>
          <w:caps w:val="false"/>
          <w:smallCaps w:val="false"/>
          <w:color w:val="000000"/>
          <w:spacing w:val="0"/>
          <w:sz w:val="20"/>
          <w:shd w:fill="FFFFFF" w:val="clear"/>
        </w:rPr>
        <w:t>he total assets and liabilities of the Mavely disposal group that met the classification of held for sale in the Company’s Consolidated Balance sheet are as follows (U.S. dollars in thousands):</w:t>
      </w:r>
    </w:p>
    <w:p>
      <w:pPr>
        <w:pStyle w:val="TextBody"/>
        <w:bidi w:val="0"/>
        <w:spacing w:before="0" w:after="0"/>
        <w:jc w:val="left"/>
        <w:rPr/>
      </w:pPr>
      <w:r>
        <w:rPr/>
      </w:r>
    </w:p>
    <w:tbl>
      <w:tblPr>
        <w:tblW w:w="4929" w:type="dxa"/>
        <w:jc w:val="left"/>
        <w:tblInd w:w="0" w:type="dxa"/>
        <w:tblLayout w:type="fixed"/>
        <w:tblCellMar>
          <w:top w:w="0" w:type="dxa"/>
          <w:left w:w="0" w:type="dxa"/>
          <w:bottom w:w="0" w:type="dxa"/>
          <w:right w:w="0" w:type="dxa"/>
        </w:tblCellMar>
      </w:tblPr>
      <w:tblGrid>
        <w:gridCol w:w="3620"/>
        <w:gridCol w:w="60"/>
        <w:gridCol w:w="204"/>
        <w:gridCol w:w="970"/>
        <w:gridCol w:w="75"/>
      </w:tblGrid>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26,455</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0" w:right="0" w:firstLine="360"/>
              <w:jc w:val="left"/>
              <w:rPr>
                <w:rFonts w:ascii="Times New Roman" w:hAnsi="Times New Roman"/>
                <w:color w:val="000000"/>
                <w:sz w:val="20"/>
              </w:rPr>
            </w:pPr>
            <w:r>
              <w:rPr>
                <w:rFonts w:ascii="Times New Roman" w:hAnsi="Times New Roman"/>
                <w:color w:val="000000"/>
                <w:sz w:val="20"/>
              </w:rPr>
              <w:t>Total current assets held for sale</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26,936</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1,668</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12,602</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intangible assets, net</w:t>
            </w:r>
            <w:r>
              <w:rPr>
                <w:rFonts w:ascii="Times New Roman" w:hAnsi="Times New Roman"/>
                <w:color w:val="000000"/>
                <w:position w:val="7"/>
                <w:sz w:val="16"/>
                <w:sz w:val="20"/>
              </w:rPr>
              <w:t xml:space="preserve"> (1)</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7,934</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0" w:right="0" w:firstLine="360"/>
              <w:jc w:val="left"/>
              <w:rPr>
                <w:rFonts w:ascii="Times New Roman" w:hAnsi="Times New Roman"/>
                <w:color w:val="000000"/>
                <w:sz w:val="20"/>
              </w:rPr>
            </w:pPr>
            <w:r>
              <w:rPr>
                <w:rFonts w:ascii="Times New Roman" w:hAnsi="Times New Roman"/>
                <w:color w:val="000000"/>
                <w:sz w:val="20"/>
              </w:rPr>
              <w:t>Total long-term assets held for sale</w:t>
            </w:r>
          </w:p>
        </w:tc>
        <w:tc>
          <w:tcPr>
            <w:tcW w:w="60"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22,204</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13,711</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0" w:right="0" w:firstLine="360"/>
              <w:jc w:val="left"/>
              <w:rPr>
                <w:rFonts w:ascii="Times New Roman" w:hAnsi="Times New Roman"/>
                <w:color w:val="000000"/>
                <w:sz w:val="20"/>
              </w:rPr>
            </w:pPr>
            <w:r>
              <w:rPr>
                <w:rFonts w:ascii="Times New Roman" w:hAnsi="Times New Roman"/>
                <w:color w:val="000000"/>
                <w:sz w:val="20"/>
              </w:rPr>
              <w:t>Total current liabilities held for sale</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13,919</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Other liabilities</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1,325</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rPr>
            </w:pPr>
            <w:r>
              <w:rPr>
                <w:rFonts w:ascii="Times New Roman" w:hAnsi="Times New Roman"/>
              </w:rPr>
              <w:t>Total long-term liabilities held for sale</w:t>
            </w:r>
          </w:p>
        </w:tc>
        <w:tc>
          <w:tcPr>
            <w:tcW w:w="60"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283"/>
              <w:jc w:val="left"/>
              <w:rPr/>
            </w:pPr>
            <w:r>
              <w:rPr/>
              <w:t> </w:t>
            </w:r>
          </w:p>
        </w:tc>
        <w:tc>
          <w:tcPr>
            <w:tcW w:w="970"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1,325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295" w:type="dxa"/>
        <w:jc w:val="left"/>
        <w:tblInd w:w="0" w:type="dxa"/>
        <w:tblLayout w:type="fixed"/>
        <w:tblCellMar>
          <w:top w:w="0" w:type="dxa"/>
          <w:left w:w="0" w:type="dxa"/>
          <w:bottom w:w="0" w:type="dxa"/>
          <w:right w:w="0" w:type="dxa"/>
        </w:tblCellMar>
      </w:tblPr>
      <w:tblGrid>
        <w:gridCol w:w="260"/>
        <w:gridCol w:w="6035"/>
      </w:tblGrid>
      <w:tr>
        <w:trPr/>
        <w:tc>
          <w:tcPr>
            <w:tcW w:w="2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6035" w:type="dxa"/>
            <w:tcBorders/>
            <w:vAlign w:val="center"/>
          </w:tcPr>
          <w:p>
            <w:pPr>
              <w:pStyle w:val="TableContents"/>
              <w:bidi w:val="0"/>
              <w:spacing w:before="2" w:after="2"/>
              <w:jc w:val="both"/>
              <w:rPr>
                <w:rFonts w:ascii="Times New Roman" w:hAnsi="Times New Roman"/>
                <w:sz w:val="20"/>
              </w:rPr>
            </w:pPr>
            <w:r>
              <w:rPr>
                <w:rFonts w:ascii="Times New Roman" w:hAnsi="Times New Roman"/>
                <w:sz w:val="20"/>
              </w:rPr>
              <w:t>Net of accumulated amortization of $8.4 million as of December 31, 2024.</w:t>
            </w:r>
          </w:p>
        </w:tc>
      </w:tr>
    </w:tbl>
    <w:p>
      <w:pPr>
        <w:pStyle w:val="TextBody"/>
        <w:bidi w:val="0"/>
        <w:spacing w:before="0" w:after="0"/>
        <w:jc w:val="left"/>
        <w:rPr/>
      </w:pPr>
      <w:r>
        <w:rPr/>
      </w:r>
    </w:p>
    <w:tbl>
      <w:tblPr>
        <w:tblW w:w="2350" w:type="dxa"/>
        <w:jc w:val="left"/>
        <w:tblInd w:w="0" w:type="dxa"/>
        <w:tblLayout w:type="fixed"/>
        <w:tblCellMar>
          <w:top w:w="0" w:type="dxa"/>
          <w:left w:w="0" w:type="dxa"/>
          <w:bottom w:w="0" w:type="dxa"/>
          <w:right w:w="0" w:type="dxa"/>
        </w:tblCellMar>
      </w:tblPr>
      <w:tblGrid>
        <w:gridCol w:w="185"/>
        <w:gridCol w:w="216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216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Goodwill and Intangibles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Goodwill</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reporting units for goodwill are its operating segments, which are also its reportable segments, with the exception of Rhyz Other. The Rhyz Other segment is made up of two reporting units, which had goodwill of $4.7 million and $0.0, respectively, as of both September 30, 2025 and December 31, 2024.</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presents the change in carrying amount of goodwill by reporting unit for the nine months ended September 30, 2025 (U.S. dollars in thousands):</w:t>
      </w:r>
    </w:p>
    <w:p>
      <w:pPr>
        <w:pStyle w:val="TextBody"/>
        <w:bidi w:val="0"/>
        <w:spacing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104"/>
        <w:gridCol w:w="60"/>
        <w:gridCol w:w="269"/>
        <w:gridCol w:w="561"/>
        <w:gridCol w:w="60"/>
        <w:gridCol w:w="60"/>
        <w:gridCol w:w="276"/>
        <w:gridCol w:w="577"/>
        <w:gridCol w:w="60"/>
        <w:gridCol w:w="60"/>
        <w:gridCol w:w="274"/>
        <w:gridCol w:w="571"/>
        <w:gridCol w:w="60"/>
        <w:gridCol w:w="60"/>
        <w:gridCol w:w="176"/>
        <w:gridCol w:w="369"/>
        <w:gridCol w:w="60"/>
        <w:gridCol w:w="60"/>
        <w:gridCol w:w="218"/>
        <w:gridCol w:w="455"/>
        <w:gridCol w:w="60"/>
        <w:gridCol w:w="60"/>
        <w:gridCol w:w="200"/>
        <w:gridCol w:w="419"/>
        <w:gridCol w:w="60"/>
        <w:gridCol w:w="60"/>
        <w:gridCol w:w="229"/>
        <w:gridCol w:w="480"/>
        <w:gridCol w:w="60"/>
        <w:gridCol w:w="60"/>
        <w:gridCol w:w="226"/>
        <w:gridCol w:w="1069"/>
        <w:gridCol w:w="60"/>
        <w:gridCol w:w="60"/>
        <w:gridCol w:w="133"/>
        <w:gridCol w:w="520"/>
        <w:gridCol w:w="60"/>
        <w:gridCol w:w="60"/>
        <w:gridCol w:w="152"/>
        <w:gridCol w:w="721"/>
        <w:gridCol w:w="66"/>
      </w:tblGrid>
      <w:tr>
        <w:trPr/>
        <w:tc>
          <w:tcPr>
            <w:tcW w:w="1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4" w:type="dxa"/>
            <w:gridSpan w:val="26"/>
            <w:tcBorders>
              <w:bottom w:val="single" w:sz="12" w:space="0" w:color="000000"/>
            </w:tcBorders>
            <w:tcMar>
              <w:bottom w:w="28" w:type="dxa"/>
            </w:tcMar>
            <w:vAlign w:val="bottom"/>
          </w:tcPr>
          <w:p>
            <w:pPr>
              <w:pStyle w:val="TableContents"/>
              <w:bidi w:val="0"/>
              <w:spacing w:before="0" w:after="283"/>
              <w:jc w:val="center"/>
              <w:rPr/>
            </w:pPr>
            <w:r>
              <w:rPr/>
              <w:t xml:space="preserve">                       </w:t>
            </w:r>
            <w:r>
              <w:rPr>
                <w:b/>
              </w:rPr>
              <w:t>Nu Skin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8" w:type="dxa"/>
            <w:gridSpan w:val="6"/>
            <w:tcBorders>
              <w:bottom w:val="single" w:sz="12" w:space="0" w:color="000000"/>
            </w:tcBorders>
            <w:tcMar>
              <w:bottom w:w="28" w:type="dxa"/>
            </w:tcMar>
            <w:vAlign w:val="bottom"/>
          </w:tcPr>
          <w:p>
            <w:pPr>
              <w:pStyle w:val="TableContents"/>
              <w:bidi w:val="0"/>
              <w:spacing w:before="0" w:after="283"/>
              <w:jc w:val="center"/>
              <w:rPr/>
            </w:pPr>
            <w:r>
              <w:rPr/>
              <w:t xml:space="preserve">    </w:t>
            </w:r>
            <w:r>
              <w:rPr>
                <w:b/>
              </w:rPr>
              <w:t xml:space="preserve">Rhyz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1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Americas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Southeast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Mainland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Europe &amp;</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Africa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South 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Hong Kong/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Taiwan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Manufacturing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Rhyz 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 Segments</w:t>
            </w:r>
          </w:p>
        </w:tc>
        <w:tc>
          <w:tcPr>
            <w:tcW w:w="66" w:type="dxa"/>
            <w:tcBorders/>
            <w:vAlign w:val="bottom"/>
          </w:tcPr>
          <w:p>
            <w:pPr>
              <w:pStyle w:val="TableContents"/>
              <w:bidi w:val="0"/>
              <w:spacing w:before="0" w:after="283"/>
              <w:jc w:val="left"/>
              <w:rPr/>
            </w:pPr>
            <w:r>
              <w:rPr/>
              <w:t> </w:t>
            </w:r>
          </w:p>
        </w:tc>
      </w:tr>
      <w:tr>
        <w:trPr/>
        <w:tc>
          <w:tcPr>
            <w:tcW w:w="11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Goodwill as of December 31, 2024</w:t>
            </w:r>
          </w:p>
        </w:tc>
        <w:tc>
          <w:tcPr>
            <w:tcW w:w="60" w:type="dxa"/>
            <w:tcBorders/>
            <w:shd w:fill="CCEEFF" w:val="clear"/>
            <w:vAlign w:val="bottom"/>
          </w:tcPr>
          <w:p>
            <w:pPr>
              <w:pStyle w:val="TableContents"/>
              <w:bidi w:val="0"/>
              <w:spacing w:before="0" w:after="283"/>
              <w:jc w:val="right"/>
              <w:rPr/>
            </w:pPr>
            <w:r>
              <w:rPr/>
              <w:t> </w:t>
            </w:r>
          </w:p>
        </w:tc>
        <w:tc>
          <w:tcPr>
            <w:tcW w:w="26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6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66" w:type="dxa"/>
            <w:tcBorders/>
            <w:shd w:fill="CCEEFF" w:val="clear"/>
            <w:vAlign w:val="bottom"/>
          </w:tcPr>
          <w:p>
            <w:pPr>
              <w:pStyle w:val="TableContents"/>
              <w:bidi w:val="0"/>
              <w:spacing w:before="0" w:after="283"/>
              <w:jc w:val="left"/>
              <w:rPr/>
            </w:pPr>
            <w:r>
              <w:rPr/>
              <w:t> </w:t>
            </w:r>
          </w:p>
        </w:tc>
      </w:tr>
      <w:tr>
        <w:trPr/>
        <w:tc>
          <w:tcPr>
            <w:tcW w:w="110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Goodwill as of September 30, 2025</w:t>
            </w:r>
          </w:p>
        </w:tc>
        <w:tc>
          <w:tcPr>
            <w:tcW w:w="60" w:type="dxa"/>
            <w:tcBorders/>
            <w:vAlign w:val="bottom"/>
          </w:tcPr>
          <w:p>
            <w:pPr>
              <w:pStyle w:val="TableContents"/>
              <w:bidi w:val="0"/>
              <w:spacing w:before="0" w:after="283"/>
              <w:jc w:val="right"/>
              <w:rPr/>
            </w:pPr>
            <w:r>
              <w:rPr/>
              <w:t> </w:t>
            </w:r>
          </w:p>
        </w:tc>
        <w:tc>
          <w:tcPr>
            <w:tcW w:w="26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6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Accumulated impairment losses for each segment as of September 30, 2025 and December 31, 2024 are as follows:</w:t>
      </w:r>
    </w:p>
    <w:p>
      <w:pPr>
        <w:pStyle w:val="TextBody"/>
        <w:bidi w:val="0"/>
        <w:spacing w:before="0" w:after="0"/>
        <w:jc w:val="both"/>
        <w:rPr/>
      </w:pPr>
      <w:r>
        <w:rPr/>
      </w:r>
    </w:p>
    <w:tbl>
      <w:tblPr>
        <w:tblW w:w="10410" w:type="dxa"/>
        <w:jc w:val="left"/>
        <w:tblInd w:w="0" w:type="dxa"/>
        <w:tblLayout w:type="fixed"/>
        <w:tblCellMar>
          <w:top w:w="0" w:type="dxa"/>
          <w:left w:w="0" w:type="dxa"/>
          <w:bottom w:w="0" w:type="dxa"/>
          <w:right w:w="0" w:type="dxa"/>
        </w:tblCellMar>
      </w:tblPr>
      <w:tblGrid>
        <w:gridCol w:w="1115"/>
        <w:gridCol w:w="60"/>
        <w:gridCol w:w="170"/>
        <w:gridCol w:w="660"/>
        <w:gridCol w:w="60"/>
        <w:gridCol w:w="60"/>
        <w:gridCol w:w="145"/>
        <w:gridCol w:w="685"/>
        <w:gridCol w:w="60"/>
        <w:gridCol w:w="60"/>
        <w:gridCol w:w="147"/>
        <w:gridCol w:w="698"/>
        <w:gridCol w:w="60"/>
        <w:gridCol w:w="60"/>
        <w:gridCol w:w="125"/>
        <w:gridCol w:w="590"/>
        <w:gridCol w:w="60"/>
        <w:gridCol w:w="60"/>
        <w:gridCol w:w="133"/>
        <w:gridCol w:w="517"/>
        <w:gridCol w:w="60"/>
        <w:gridCol w:w="60"/>
        <w:gridCol w:w="125"/>
        <w:gridCol w:w="590"/>
        <w:gridCol w:w="60"/>
        <w:gridCol w:w="60"/>
        <w:gridCol w:w="136"/>
        <w:gridCol w:w="529"/>
        <w:gridCol w:w="60"/>
        <w:gridCol w:w="60"/>
        <w:gridCol w:w="420"/>
        <w:gridCol w:w="875"/>
        <w:gridCol w:w="60"/>
        <w:gridCol w:w="60"/>
        <w:gridCol w:w="125"/>
        <w:gridCol w:w="590"/>
        <w:gridCol w:w="60"/>
        <w:gridCol w:w="60"/>
        <w:gridCol w:w="125"/>
        <w:gridCol w:w="695"/>
        <w:gridCol w:w="75"/>
      </w:tblGrid>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70"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 Skin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Rhyz</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Americas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Southeast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Mainland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Europe &amp;</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Africa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South 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Hong Kong/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Taiwan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Manufacturing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Rhyz 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 Segments</w:t>
            </w:r>
          </w:p>
        </w:tc>
        <w:tc>
          <w:tcPr>
            <w:tcW w:w="75" w:type="dxa"/>
            <w:tcBorders/>
            <w:vAlign w:val="bottom"/>
          </w:tcPr>
          <w:p>
            <w:pPr>
              <w:pStyle w:val="TableContents"/>
              <w:bidi w:val="0"/>
              <w:spacing w:before="0" w:after="283"/>
              <w:jc w:val="left"/>
              <w:rPr/>
            </w:pPr>
            <w:r>
              <w:rPr/>
              <w:t> </w:t>
            </w:r>
          </w:p>
        </w:tc>
      </w:tr>
      <w:tr>
        <w:trPr/>
        <w:tc>
          <w:tcPr>
            <w:tcW w:w="11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Accumulated impairment losses</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134,541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i/>
          <w:sz w:val="20"/>
        </w:rPr>
      </w:pPr>
      <w:r>
        <w:rPr>
          <w:rFonts w:ascii="Times New Roman" w:hAnsi="Times New Roman"/>
          <w:i/>
          <w:sz w:val="20"/>
        </w:rPr>
      </w:r>
    </w:p>
    <w:p>
      <w:pPr>
        <w:pStyle w:val="TextBody"/>
        <w:bidi w:val="0"/>
        <w:spacing w:before="0" w:after="0"/>
        <w:jc w:val="both"/>
        <w:rPr>
          <w:rFonts w:ascii="Times New Roman" w:hAnsi="Times New Roman"/>
          <w:i/>
          <w:sz w:val="20"/>
        </w:rPr>
      </w:pPr>
      <w:r>
        <w:rPr>
          <w:rFonts w:ascii="Times New Roman" w:hAnsi="Times New Roman"/>
          <w:i/>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Intangibles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bookmarkStart w:id="11" w:name="z_Hlk197516822"/>
      <w:bookmarkEnd w:id="11"/>
      <w:r>
        <w:rPr>
          <w:rFonts w:ascii="Times New Roman" w:hAnsi="Times New Roman"/>
          <w:color w:val="000000"/>
          <w:sz w:val="20"/>
          <w:shd w:fill="FFFFFF" w:val="clear"/>
        </w:rPr>
        <w:t>During the first quarter of 2025, the Company decided to make a strategic shift in how it operates the BeautyBio asset group. These strategy changes included exiting certain sales channels, which reduced the forecasted revenues for BeautyBio. The Company concluded these actions were an interim impairment triggering event. As a result, the Company performed an interim impairment test of the asset group and assessed the recoverability of the related asset group by comparing the carrying value of the asset group to the net undiscounted cash flow expected to be generated. The recoverability test indicated that the asset group was impaired. The Company concluded the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As a result, during the three months ended March 31, 2025, the Company recorded an impairment charge of $25.1 million on the BeautyBio asset group, which is part of its Rhyz Other segment within restructuring and impairment expenses on the consolidated statement of income. The BeautyBio asset group has a remaining carrying value of $2.3 million with a remaining weighted-average amortization period of approximately 7 years.</w:t>
      </w:r>
    </w:p>
    <w:p>
      <w:pPr>
        <w:pStyle w:val="TextBody"/>
        <w:bidi w:val="0"/>
        <w:spacing w:before="0" w:after="0"/>
        <w:jc w:val="left"/>
        <w:rPr/>
      </w:pPr>
      <w:r>
        <w:rPr/>
      </w:r>
    </w:p>
    <w:tbl>
      <w:tblPr>
        <w:tblW w:w="610" w:type="dxa"/>
        <w:jc w:val="left"/>
        <w:tblInd w:w="0" w:type="dxa"/>
        <w:tblLayout w:type="fixed"/>
        <w:tblCellMar>
          <w:top w:w="0" w:type="dxa"/>
          <w:left w:w="0" w:type="dxa"/>
          <w:bottom w:w="0" w:type="dxa"/>
          <w:right w:w="0" w:type="dxa"/>
        </w:tblCellMar>
      </w:tblPr>
      <w:tblGrid>
        <w:gridCol w:w="185"/>
        <w:gridCol w:w="42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42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Debt</w:t>
            </w:r>
          </w:p>
        </w:tc>
      </w:tr>
    </w:tbl>
    <w:p>
      <w:pPr>
        <w:pStyle w:val="TextBody"/>
        <w:bidi w:val="0"/>
        <w:spacing w:before="0" w:after="0"/>
        <w:jc w:val="both"/>
        <w:rPr/>
      </w:pPr>
      <w:r>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Credit Agreement</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w:t>
      </w:r>
      <w:r>
        <w:rPr>
          <w:rFonts w:ascii="Times New Roman" w:hAnsi="Times New Roman"/>
          <w:b w:val="false"/>
          <w:i w:val="false"/>
          <w:caps w:val="false"/>
          <w:smallCaps w:val="false"/>
          <w:color w:val="000000"/>
          <w:spacing w:val="0"/>
          <w:sz w:val="20"/>
          <w:shd w:fill="FFFFFF" w:val="clear"/>
        </w:rPr>
        <w:t xml:space="preserve">September </w:t>
      </w:r>
      <w:r>
        <w:rPr>
          <w:rFonts w:ascii="Times New Roman" w:hAnsi="Times New Roman"/>
          <w:b w:val="false"/>
          <w:i w:val="false"/>
          <w:caps w:val="false"/>
          <w:smallCaps w:val="false"/>
          <w:color w:val="000000"/>
          <w:sz w:val="20"/>
          <w:shd w:fill="FFFFFF" w:val="clear"/>
        </w:rPr>
        <w:t>30, 2025, the Company was in compliance with all covenants under the Credit Agreement. In January 2025, the Company made a $115.0 million payment on the term loan facility using a portion of the proceeds from the Mavely sale.</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the Company’s debt facilities as of September 30, 2025 and December 31, 2024:</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694"/>
        <w:gridCol w:w="60"/>
        <w:gridCol w:w="907"/>
        <w:gridCol w:w="60"/>
        <w:gridCol w:w="1024"/>
        <w:gridCol w:w="60"/>
        <w:gridCol w:w="964"/>
        <w:gridCol w:w="60"/>
        <w:gridCol w:w="1077"/>
        <w:gridCol w:w="60"/>
        <w:gridCol w:w="4239"/>
      </w:tblGrid>
      <w:tr>
        <w:trPr/>
        <w:tc>
          <w:tcPr>
            <w:tcW w:w="1694"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Facility or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Arrangement</w:t>
            </w:r>
          </w:p>
        </w:tc>
        <w:tc>
          <w:tcPr>
            <w:tcW w:w="60" w:type="dxa"/>
            <w:tcBorders/>
            <w:tcMar>
              <w:bottom w:w="0" w:type="dxa"/>
            </w:tcMar>
            <w:vAlign w:val="center"/>
          </w:tcPr>
          <w:p>
            <w:pPr>
              <w:pStyle w:val="TableContents"/>
              <w:bidi w:val="0"/>
              <w:spacing w:before="0" w:after="283"/>
              <w:jc w:val="left"/>
              <w:rPr/>
            </w:pPr>
            <w:r>
              <w:rPr/>
              <w:t> </w:t>
            </w:r>
          </w:p>
        </w:tc>
        <w:tc>
          <w:tcPr>
            <w:tcW w:w="907"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tcMar>
              <w:bottom w:w="0" w:type="dxa"/>
            </w:tcMar>
            <w:vAlign w:val="center"/>
          </w:tcPr>
          <w:p>
            <w:pPr>
              <w:pStyle w:val="TableContents"/>
              <w:bidi w:val="0"/>
              <w:spacing w:before="0" w:after="283"/>
              <w:jc w:val="left"/>
              <w:rPr/>
            </w:pPr>
            <w:r>
              <w:rPr/>
              <w:t> </w:t>
            </w:r>
          </w:p>
        </w:tc>
        <w:tc>
          <w:tcPr>
            <w:tcW w:w="1024"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2025</w:t>
            </w:r>
            <w:r>
              <w:rPr>
                <w:rFonts w:ascii="Times New Roman" w:hAnsi="Times New Roman"/>
                <w:color w:val="000000"/>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964"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2024</w:t>
            </w:r>
            <w:r>
              <w:rPr>
                <w:rFonts w:ascii="Times New Roman" w:hAnsi="Times New Roman"/>
                <w:color w:val="000000"/>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1077"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Rate</w:t>
            </w:r>
          </w:p>
        </w:tc>
        <w:tc>
          <w:tcPr>
            <w:tcW w:w="60" w:type="dxa"/>
            <w:tcBorders/>
            <w:tcMar>
              <w:bottom w:w="0" w:type="dxa"/>
            </w:tcMar>
            <w:vAlign w:val="center"/>
          </w:tcPr>
          <w:p>
            <w:pPr>
              <w:pStyle w:val="TableContents"/>
              <w:bidi w:val="0"/>
              <w:spacing w:before="0" w:after="283"/>
              <w:jc w:val="left"/>
              <w:rPr/>
            </w:pPr>
            <w:r>
              <w:rPr/>
              <w:t> </w:t>
            </w:r>
          </w:p>
        </w:tc>
        <w:tc>
          <w:tcPr>
            <w:tcW w:w="4239"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Repayment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Terms</w:t>
            </w:r>
          </w:p>
        </w:tc>
      </w:tr>
      <w:tr>
        <w:trPr/>
        <w:tc>
          <w:tcPr>
            <w:tcW w:w="1694"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term loan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4"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$230.0 million</w:t>
            </w:r>
          </w:p>
          <w:p>
            <w:pPr>
              <w:pStyle w:val="TableContents"/>
              <w:bidi w:val="0"/>
              <w:spacing w:before="0" w:after="0"/>
              <w:jc w:val="right"/>
              <w:rPr/>
            </w:pPr>
            <w:r>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$360.0 million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7"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Variable 30 day: 6.26%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39" w:type="dxa"/>
            <w:tcBorders/>
            <w:shd w:fill="CCEEFF" w:val="clear"/>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21% of the principal amount is payable in increasing quarterly installments over a five-year period that began on September 30, 2022, with the remainder payable at the end of the five-year term.</w:t>
            </w:r>
          </w:p>
        </w:tc>
      </w:tr>
      <w:tr>
        <w:trPr/>
        <w:tc>
          <w:tcPr>
            <w:tcW w:w="1694" w:type="dxa"/>
            <w:tcBorders/>
            <w:tcMar>
              <w:bottom w:w="0" w:type="dxa"/>
            </w:tcMar>
            <w:vAlign w:val="center"/>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revolving credit facility</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4"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 million </w:t>
            </w:r>
          </w:p>
        </w:tc>
        <w:tc>
          <w:tcPr>
            <w:tcW w:w="60" w:type="dxa"/>
            <w:tcBorders/>
            <w:tcMar>
              <w:bottom w:w="0" w:type="dxa"/>
            </w:tcMar>
            <w:vAlign w:val="center"/>
          </w:tcPr>
          <w:p>
            <w:pPr>
              <w:pStyle w:val="TableContents"/>
              <w:bidi w:val="0"/>
              <w:spacing w:before="0" w:after="283"/>
              <w:jc w:val="left"/>
              <w:rPr/>
            </w:pPr>
            <w:r>
              <w:rPr/>
              <w:t> </w:t>
            </w:r>
          </w:p>
        </w:tc>
        <w:tc>
          <w:tcPr>
            <w:tcW w:w="964"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$35.0 million </w:t>
            </w:r>
          </w:p>
        </w:tc>
        <w:tc>
          <w:tcPr>
            <w:tcW w:w="60" w:type="dxa"/>
            <w:tcBorders/>
            <w:tcMar>
              <w:bottom w:w="0" w:type="dxa"/>
            </w:tcMar>
            <w:vAlign w:val="center"/>
          </w:tcPr>
          <w:p>
            <w:pPr>
              <w:pStyle w:val="TableContents"/>
              <w:bidi w:val="0"/>
              <w:spacing w:before="0" w:after="283"/>
              <w:jc w:val="left"/>
              <w:rPr/>
            </w:pPr>
            <w:r>
              <w:rPr/>
              <w:t> </w:t>
            </w:r>
          </w:p>
        </w:tc>
        <w:tc>
          <w:tcPr>
            <w:tcW w:w="1077" w:type="dxa"/>
            <w:tcBorders/>
            <w:tcMar>
              <w:bottom w:w="0" w:type="dxa"/>
            </w:tcMar>
            <w:vAlign w:val="center"/>
          </w:tcPr>
          <w:p>
            <w:pPr>
              <w:pStyle w:val="TableContents"/>
              <w:bidi w:val="0"/>
              <w:spacing w:before="0" w:after="283"/>
              <w:jc w:val="left"/>
              <w:rPr/>
            </w:pPr>
            <w:r>
              <w:rPr/>
              <w:t xml:space="preserve">Variable 30 day: — </w:t>
            </w:r>
          </w:p>
        </w:tc>
        <w:tc>
          <w:tcPr>
            <w:tcW w:w="60" w:type="dxa"/>
            <w:tcBorders/>
            <w:tcMar>
              <w:bottom w:w="0" w:type="dxa"/>
            </w:tcMar>
            <w:vAlign w:val="center"/>
          </w:tcPr>
          <w:p>
            <w:pPr>
              <w:pStyle w:val="TableContents"/>
              <w:bidi w:val="0"/>
              <w:spacing w:before="0" w:after="283"/>
              <w:jc w:val="left"/>
              <w:rPr/>
            </w:pPr>
            <w:r>
              <w:rPr/>
              <w:t> </w:t>
            </w:r>
          </w:p>
        </w:tc>
        <w:tc>
          <w:tcPr>
            <w:tcW w:w="4239"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Revolving line of credit expires June 14, 2027.</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0000"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September 30, 2025 and December 31, 2024, the current portion of the Company’s debt (i.e., becoming due in the next 12 months) included $20.0 million and $20.0 million, respectively, of the balance of its term loan under the Credit Agreement and $0 and $10.0 million, respectively, of the balance under the revolving line of credit.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79"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carrying value of the debt reflects the amounts stated in the above table, less debt issuance costs of $1.0 million and $1.4 million as of September 30, 2025 and December 31, 2024, respectively, related to the Credit Agreement, which are not reflected in this table.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i w:val="false"/>
          <w:caps w:val="false"/>
          <w:smallCaps w:val="false"/>
          <w:color w:val="000000"/>
          <w:sz w:val="20"/>
          <w:shd w:fill="FFFFFF" w:val="clear"/>
        </w:rPr>
        <w:t xml:space="preserve"> </w:t>
      </w:r>
    </w:p>
    <w:tbl>
      <w:tblPr>
        <w:tblW w:w="790" w:type="dxa"/>
        <w:jc w:val="left"/>
        <w:tblInd w:w="0" w:type="dxa"/>
        <w:tblLayout w:type="fixed"/>
        <w:tblCellMar>
          <w:top w:w="0" w:type="dxa"/>
          <w:left w:w="0" w:type="dxa"/>
          <w:bottom w:w="0" w:type="dxa"/>
          <w:right w:w="0" w:type="dxa"/>
        </w:tblCellMar>
      </w:tblPr>
      <w:tblGrid>
        <w:gridCol w:w="185"/>
        <w:gridCol w:w="60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60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Leases</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w:t>
      </w:r>
      <w:r>
        <w:rPr>
          <w:rFonts w:ascii="Times New Roman" w:hAnsi="Times New Roman"/>
          <w:b w:val="false"/>
          <w:color w:val="000000"/>
          <w:spacing w:val="0"/>
          <w:sz w:val="20"/>
          <w:shd w:fill="FFFFFF" w:val="clear"/>
        </w:rPr>
        <w:t xml:space="preserve">September </w:t>
      </w:r>
      <w:r>
        <w:rPr>
          <w:rFonts w:ascii="Times New Roman" w:hAnsi="Times New Roman"/>
          <w:color w:val="000000"/>
          <w:sz w:val="20"/>
          <w:shd w:fill="FFFFFF" w:val="clear"/>
        </w:rPr>
        <w:t xml:space="preserve">30, 2025, the weighted-average remaining lease term was 6.3 and 4.1 years for operating and finance leases, respectively. As of </w:t>
      </w:r>
      <w:r>
        <w:rPr>
          <w:rFonts w:ascii="Times New Roman" w:hAnsi="Times New Roman"/>
          <w:b w:val="false"/>
          <w:color w:val="000000"/>
          <w:spacing w:val="0"/>
          <w:sz w:val="20"/>
          <w:shd w:fill="FFFFFF" w:val="clear"/>
        </w:rPr>
        <w:t xml:space="preserve">September </w:t>
      </w:r>
      <w:r>
        <w:rPr>
          <w:rFonts w:ascii="Times New Roman" w:hAnsi="Times New Roman"/>
          <w:color w:val="000000"/>
          <w:sz w:val="20"/>
          <w:shd w:fill="FFFFFF" w:val="clear"/>
        </w:rPr>
        <w:t>30, 2025, the weighted-average discount rate was 3.9% and 6.6% for operating and finance leases, respectively.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components of lease expense were as follows (U.S. dollars in thousands):</w:t>
      </w:r>
    </w:p>
    <w:p>
      <w:pPr>
        <w:pStyle w:val="TextBody"/>
        <w:bidi w:val="0"/>
        <w:spacing w:before="0" w:after="0"/>
        <w:jc w:val="left"/>
        <w:rPr/>
      </w:pPr>
      <w:r>
        <w:rPr/>
      </w:r>
    </w:p>
    <w:tbl>
      <w:tblPr>
        <w:tblW w:w="6568" w:type="dxa"/>
        <w:jc w:val="left"/>
        <w:tblInd w:w="0" w:type="dxa"/>
        <w:tblLayout w:type="fixed"/>
        <w:tblCellMar>
          <w:top w:w="0" w:type="dxa"/>
          <w:left w:w="0" w:type="dxa"/>
          <w:bottom w:w="0" w:type="dxa"/>
          <w:right w:w="0" w:type="dxa"/>
        </w:tblCellMar>
      </w:tblPr>
      <w:tblGrid>
        <w:gridCol w:w="2861"/>
        <w:gridCol w:w="60"/>
        <w:gridCol w:w="166"/>
        <w:gridCol w:w="647"/>
        <w:gridCol w:w="80"/>
        <w:gridCol w:w="80"/>
        <w:gridCol w:w="166"/>
        <w:gridCol w:w="647"/>
        <w:gridCol w:w="60"/>
        <w:gridCol w:w="60"/>
        <w:gridCol w:w="134"/>
        <w:gridCol w:w="635"/>
        <w:gridCol w:w="64"/>
        <w:gridCol w:w="64"/>
        <w:gridCol w:w="134"/>
        <w:gridCol w:w="635"/>
        <w:gridCol w:w="75"/>
      </w:tblGrid>
      <w:tr>
        <w:trPr/>
        <w:tc>
          <w:tcPr>
            <w:tcW w:w="28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center"/>
          </w:tcPr>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6"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75" w:type="dxa"/>
            <w:tcBorders/>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expense</w:t>
            </w:r>
          </w:p>
        </w:tc>
        <w:tc>
          <w:tcPr>
            <w:tcW w:w="60" w:type="dxa"/>
            <w:tcBorders/>
            <w:vAlign w:val="bottom"/>
          </w:tcPr>
          <w:p>
            <w:pPr>
              <w:pStyle w:val="TableContents"/>
              <w:bidi w:val="0"/>
              <w:spacing w:before="0" w:after="283"/>
              <w:jc w:val="left"/>
              <w:rPr/>
            </w:pPr>
            <w:r>
              <w:rPr/>
              <w:t> </w:t>
            </w:r>
          </w:p>
        </w:tc>
        <w:tc>
          <w:tcPr>
            <w:tcW w:w="81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Operating lease cost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5,801</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17,673</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17,892</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Variable lease cost</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1,360</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3,594</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4,701</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Finance lease expense</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Amortization of right-of-use assets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1,615</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2,183</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Interest on lease liabilities</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firstLine="396"/>
              <w:jc w:val="left"/>
              <w:rPr/>
            </w:pPr>
            <w:r>
              <w:rPr>
                <w:color w:val="000000"/>
              </w:rPr>
              <w:t> </w:t>
            </w:r>
            <w:r>
              <w:rPr>
                <w:rFonts w:ascii="Times New Roman" w:hAnsi="Times New Roman"/>
                <w:b/>
                <w:sz w:val="20"/>
              </w:rPr>
              <w:t>Total lease expense</w:t>
            </w:r>
          </w:p>
        </w:tc>
        <w:tc>
          <w:tcPr>
            <w:tcW w:w="60" w:type="dxa"/>
            <w:tcBorders/>
            <w:vAlign w:val="bottom"/>
          </w:tcPr>
          <w:p>
            <w:pPr>
              <w:pStyle w:val="TableContents"/>
              <w:bidi w:val="0"/>
              <w:spacing w:before="0" w:after="283"/>
              <w:jc w:val="righ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7,851</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23,371</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25,065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Supplemental cash flow information related to leases was as follows (U.S. dollars in thousands):</w:t>
      </w:r>
    </w:p>
    <w:p>
      <w:pPr>
        <w:pStyle w:val="TextBody"/>
        <w:bidi w:val="0"/>
        <w:spacing w:before="0" w:after="0"/>
        <w:jc w:val="left"/>
        <w:rPr/>
      </w:pPr>
      <w:r>
        <w:rPr/>
      </w:r>
    </w:p>
    <w:tbl>
      <w:tblPr>
        <w:tblW w:w="7686" w:type="dxa"/>
        <w:jc w:val="left"/>
        <w:tblInd w:w="0" w:type="dxa"/>
        <w:tblLayout w:type="fixed"/>
        <w:tblCellMar>
          <w:top w:w="0" w:type="dxa"/>
          <w:left w:w="0" w:type="dxa"/>
          <w:bottom w:w="0" w:type="dxa"/>
          <w:right w:w="0" w:type="dxa"/>
        </w:tblCellMar>
      </w:tblPr>
      <w:tblGrid>
        <w:gridCol w:w="5885"/>
        <w:gridCol w:w="60"/>
        <w:gridCol w:w="134"/>
        <w:gridCol w:w="635"/>
        <w:gridCol w:w="64"/>
        <w:gridCol w:w="64"/>
        <w:gridCol w:w="134"/>
        <w:gridCol w:w="635"/>
        <w:gridCol w:w="75"/>
      </w:tblGrid>
      <w:tr>
        <w:trPr/>
        <w:tc>
          <w:tcPr>
            <w:tcW w:w="5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75" w:type="dxa"/>
            <w:tcBorders/>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cash outflow from operating leases</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17,833</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19,103</w:t>
            </w:r>
          </w:p>
        </w:tc>
        <w:tc>
          <w:tcPr>
            <w:tcW w:w="75" w:type="dxa"/>
            <w:tcBorders/>
            <w:shd w:fill="CCEEFF" w:val="clear"/>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cash outflow from finance leases</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495</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295</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Financing cash outflow from finance leases</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1,755</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2,302</w:t>
            </w:r>
          </w:p>
        </w:tc>
        <w:tc>
          <w:tcPr>
            <w:tcW w:w="75" w:type="dxa"/>
            <w:tcBorders/>
            <w:shd w:fill="CCEEFF" w:val="clear"/>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 obtained in exchange for operating lease obligations</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23,972</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14,914</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 obtained in exchange for finance lease obligations</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220</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Maturities of lease liabilities were as follows (U.S. dollars in thousands):</w:t>
      </w:r>
    </w:p>
    <w:p>
      <w:pPr>
        <w:pStyle w:val="TextBody"/>
        <w:bidi w:val="0"/>
        <w:spacing w:before="0" w:after="0"/>
        <w:jc w:val="left"/>
        <w:rPr/>
      </w:pPr>
      <w:r>
        <w:rPr/>
      </w:r>
    </w:p>
    <w:tbl>
      <w:tblPr>
        <w:tblW w:w="4130" w:type="dxa"/>
        <w:jc w:val="left"/>
        <w:tblInd w:w="0" w:type="dxa"/>
        <w:tblLayout w:type="fixed"/>
        <w:tblCellMar>
          <w:top w:w="0" w:type="dxa"/>
          <w:left w:w="0" w:type="dxa"/>
          <w:bottom w:w="0" w:type="dxa"/>
          <w:right w:w="0" w:type="dxa"/>
        </w:tblCellMar>
      </w:tblPr>
      <w:tblGrid>
        <w:gridCol w:w="2270"/>
        <w:gridCol w:w="60"/>
        <w:gridCol w:w="155"/>
        <w:gridCol w:w="735"/>
        <w:gridCol w:w="60"/>
        <w:gridCol w:w="60"/>
        <w:gridCol w:w="125"/>
        <w:gridCol w:w="590"/>
        <w:gridCol w:w="75"/>
      </w:tblGrid>
      <w:tr>
        <w:trPr/>
        <w:tc>
          <w:tcPr>
            <w:tcW w:w="22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Year Ending December 31</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Operating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Leases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Finance</w:t>
            </w:r>
          </w:p>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Leases</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2025</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2026</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2,562</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2027</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2,540</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2028</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2,519</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2029</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2,050</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Thereafter</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24,705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91,491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10,320</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Finance charges</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1,288</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principal liability</w:t>
            </w:r>
          </w:p>
        </w:tc>
        <w:tc>
          <w:tcPr>
            <w:tcW w:w="6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9,032</w:t>
            </w:r>
          </w:p>
        </w:tc>
        <w:tc>
          <w:tcPr>
            <w:tcW w:w="75" w:type="dxa"/>
            <w:tcBorders/>
            <w:shd w:fill="CCEEFF" w:val="clear"/>
            <w:vAlign w:val="bottom"/>
          </w:tcPr>
          <w:p>
            <w:pPr>
              <w:pStyle w:val="TableContents"/>
              <w:bidi w:val="0"/>
              <w:spacing w:before="0" w:after="283"/>
              <w:jc w:val="left"/>
              <w:rPr/>
            </w:pPr>
            <w:r>
              <w:rPr/>
              <w:t> </w:t>
            </w:r>
          </w:p>
        </w:tc>
      </w:tr>
    </w:tbl>
    <w:p>
      <w:pPr>
        <w:pStyle w:val="TextBody"/>
        <w:bidi w:val="0"/>
        <w:jc w:val="left"/>
        <w:rPr/>
      </w:pPr>
      <w:r>
        <w:rPr/>
      </w:r>
    </w:p>
    <w:tbl>
      <w:tblPr>
        <w:tblW w:w="1360" w:type="dxa"/>
        <w:jc w:val="left"/>
        <w:tblInd w:w="0" w:type="dxa"/>
        <w:tblLayout w:type="fixed"/>
        <w:tblCellMar>
          <w:top w:w="0" w:type="dxa"/>
          <w:left w:w="0" w:type="dxa"/>
          <w:bottom w:w="0" w:type="dxa"/>
          <w:right w:w="0" w:type="dxa"/>
        </w:tblCellMar>
      </w:tblPr>
      <w:tblGrid>
        <w:gridCol w:w="185"/>
        <w:gridCol w:w="11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117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Capital Stock</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Net income per share</w:t>
      </w:r>
    </w:p>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Net income per share is computed based on the weighted-average number of common shares outstanding during the periods presented. Additionally, diluted earnings per share data gives effect to all potentially dilutive common shares that were outstanding during the periods presented. </w:t>
      </w:r>
      <w:r>
        <w:rPr>
          <w:rFonts w:ascii="Times New Roman" w:hAnsi="Times New Roman"/>
          <w:b w:val="false"/>
          <w:i w:val="false"/>
          <w:caps w:val="false"/>
          <w:smallCaps w:val="false"/>
          <w:color w:val="000000"/>
          <w:spacing w:val="0"/>
          <w:sz w:val="20"/>
          <w:shd w:fill="FFFFFF" w:val="clear"/>
        </w:rPr>
        <w:t>For the three-month periods ended September 30, 2025 and 2024, stock awards and options</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 xml:space="preserve">of </w:t>
      </w:r>
      <w:r>
        <w:rPr>
          <w:rFonts w:ascii="Times New Roman" w:hAnsi="Times New Roman"/>
          <w:color w:val="000000"/>
          <w:sz w:val="20"/>
          <w:shd w:fill="FFFFFF" w:val="clear"/>
        </w:rPr>
        <w:t>1.0</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 xml:space="preserve">million and 2.3 million, respectively, and for the nine-month periods ended September </w:t>
      </w:r>
      <w:r>
        <w:rPr>
          <w:rFonts w:ascii="Times New Roman" w:hAnsi="Times New Roman"/>
          <w:b w:val="false"/>
          <w:i w:val="false"/>
          <w:caps w:val="false"/>
          <w:smallCaps w:val="false"/>
          <w:color w:val="000000"/>
          <w:spacing w:val="0"/>
          <w:sz w:val="20"/>
          <w:shd w:fill="FFFFFF" w:val="clear"/>
        </w:rPr>
        <w:t>30, 2025</w:t>
      </w:r>
      <w:r>
        <w:rPr>
          <w:rFonts w:ascii="Times New Roman" w:hAnsi="Times New Roman"/>
          <w:b w:val="false"/>
          <w:i w:val="false"/>
          <w:caps w:val="false"/>
          <w:smallCaps w:val="false"/>
          <w:color w:val="000000"/>
          <w:spacing w:val="0"/>
          <w:sz w:val="20"/>
          <w:shd w:fill="FFFFFF" w:val="clear"/>
        </w:rPr>
        <w:t xml:space="preserve"> and 2024, stock awards and options of 1.6 million and 1.5 million, respectively, were excluded from the calculation of diluted earnings per share because they were anti-dilutive.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Dividends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February, May and August 2025, the Company’s board of directors declared quarterly cash dividends of $0.06 per share. These quarterly cash dividends of $3.0 million were paid on March 5, 2025, June 11, 2025 and September 10, 2025, respectively, to stockholders of record on February 24, 2025, May 30, 2025 and August 29, 2025, respectively. In November 2025, the Company’s board of directors declared a quarterly cash dividend of $0.06 per share to be paid on December 10, 2025 to stockholders of record on November 28, 2025.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Repurchase of common stock</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and nine-month periods ended September 30, 2025, the Company repurchased 0.4 million and 1.0 million shares of its Class A common stock under its stock repurchase plan for $5.0 million and $10.0 million, respectively. The Company repurchased no shares of its Class A common stock under its stock repurchase plan during the three- and nine-month periods ended September 30, 2024. As of September 30, 2025, $152.4 million was available for repurchases under the Company’s stock repurchase plan.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2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Fair Value and Equity Investments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pStyle w:val="TextBody"/>
        <w:bidi w:val="0"/>
        <w:spacing w:before="0" w:after="0"/>
        <w:jc w:val="left"/>
        <w:rPr/>
      </w:pPr>
      <w:r>
        <w:rPr/>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6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93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2 – inputs, other than the quoted prices in active markets, that are observable either directly or indirectly; and</w:t>
            </w:r>
          </w:p>
        </w:tc>
      </w:tr>
    </w:tbl>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6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3 – unobservable inputs based on the Company’s own assumptions.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fair value hierarchy for those assets and liabilities measured at fair value on a recurring basis (U.S. dollars in thousands):</w:t>
      </w:r>
    </w:p>
    <w:p>
      <w:pPr>
        <w:pStyle w:val="TextBody"/>
        <w:bidi w:val="0"/>
        <w:spacing w:before="0" w:after="0"/>
        <w:jc w:val="left"/>
        <w:rPr/>
      </w:pPr>
      <w:r>
        <w:rPr/>
      </w:r>
    </w:p>
    <w:tbl>
      <w:tblPr>
        <w:tblW w:w="6639" w:type="dxa"/>
        <w:jc w:val="left"/>
        <w:tblInd w:w="0" w:type="dxa"/>
        <w:tblLayout w:type="fixed"/>
        <w:tblCellMar>
          <w:top w:w="0" w:type="dxa"/>
          <w:left w:w="0" w:type="dxa"/>
          <w:bottom w:w="0" w:type="dxa"/>
          <w:right w:w="0" w:type="dxa"/>
        </w:tblCellMar>
      </w:tblPr>
      <w:tblGrid>
        <w:gridCol w:w="3410"/>
        <w:gridCol w:w="60"/>
        <w:gridCol w:w="125"/>
        <w:gridCol w:w="590"/>
        <w:gridCol w:w="60"/>
        <w:gridCol w:w="87"/>
        <w:gridCol w:w="182"/>
        <w:gridCol w:w="380"/>
        <w:gridCol w:w="60"/>
        <w:gridCol w:w="60"/>
        <w:gridCol w:w="125"/>
        <w:gridCol w:w="590"/>
        <w:gridCol w:w="60"/>
        <w:gridCol w:w="60"/>
        <w:gridCol w:w="125"/>
        <w:gridCol w:w="590"/>
        <w:gridCol w:w="7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4"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 September 30, 2025</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vAlign w:val="bottom"/>
          </w:tcPr>
          <w:p>
            <w:pPr>
              <w:pStyle w:val="TableContents"/>
              <w:bidi w:val="0"/>
              <w:spacing w:before="0" w:after="283"/>
              <w:jc w:val="left"/>
              <w:rPr/>
            </w:pPr>
            <w:r>
              <w:rPr/>
              <w:t> </w:t>
            </w:r>
          </w:p>
        </w:tc>
        <w:tc>
          <w:tcPr>
            <w:tcW w:w="64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3</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Financial assets:</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44,678</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44,678</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48,189</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44,678</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92,867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699" w:type="dxa"/>
        <w:jc w:val="left"/>
        <w:tblInd w:w="0" w:type="dxa"/>
        <w:tblLayout w:type="fixed"/>
        <w:tblCellMar>
          <w:top w:w="0" w:type="dxa"/>
          <w:left w:w="0" w:type="dxa"/>
          <w:bottom w:w="0" w:type="dxa"/>
          <w:right w:w="0" w:type="dxa"/>
        </w:tblCellMar>
      </w:tblPr>
      <w:tblGrid>
        <w:gridCol w:w="3410"/>
        <w:gridCol w:w="60"/>
        <w:gridCol w:w="125"/>
        <w:gridCol w:w="590"/>
        <w:gridCol w:w="60"/>
        <w:gridCol w:w="60"/>
        <w:gridCol w:w="133"/>
        <w:gridCol w:w="516"/>
        <w:gridCol w:w="60"/>
        <w:gridCol w:w="60"/>
        <w:gridCol w:w="125"/>
        <w:gridCol w:w="590"/>
        <w:gridCol w:w="60"/>
        <w:gridCol w:w="60"/>
        <w:gridCol w:w="125"/>
        <w:gridCol w:w="590"/>
        <w:gridCol w:w="7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4"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 December 31, 2024</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Financial assets:</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23,914</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4,708</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44,091</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Contingent consideration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51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sz w:val="4"/>
                <w:szCs w:val="4"/>
              </w:rPr>
            </w:pPr>
            <w:r>
              <w:rPr>
                <w:sz w:val="4"/>
                <w:szCs w:val="4"/>
              </w:rPr>
            </w:r>
          </w:p>
        </w:tc>
      </w:tr>
      <w:tr>
        <w:trPr/>
        <w:tc>
          <w:tcPr>
            <w:tcW w:w="341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72,713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life insurance contracts (U.S. dollars in thousands):</w:t>
      </w:r>
    </w:p>
    <w:p>
      <w:pPr>
        <w:pStyle w:val="TextBody"/>
        <w:bidi w:val="0"/>
        <w:spacing w:before="0" w:after="0"/>
        <w:jc w:val="left"/>
        <w:rPr/>
      </w:pPr>
      <w:r>
        <w:rPr/>
      </w:r>
    </w:p>
    <w:tbl>
      <w:tblPr>
        <w:tblW w:w="4570" w:type="dxa"/>
        <w:jc w:val="left"/>
        <w:tblInd w:w="0" w:type="dxa"/>
        <w:tblLayout w:type="fixed"/>
        <w:tblCellMar>
          <w:top w:w="0" w:type="dxa"/>
          <w:left w:w="0" w:type="dxa"/>
          <w:bottom w:w="0" w:type="dxa"/>
          <w:right w:w="0" w:type="dxa"/>
        </w:tblCellMar>
      </w:tblPr>
      <w:tblGrid>
        <w:gridCol w:w="2660"/>
        <w:gridCol w:w="60"/>
        <w:gridCol w:w="125"/>
        <w:gridCol w:w="590"/>
        <w:gridCol w:w="60"/>
        <w:gridCol w:w="60"/>
        <w:gridCol w:w="125"/>
        <w:gridCol w:w="635"/>
        <w:gridCol w:w="255"/>
      </w:tblGrid>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25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45,041</w:t>
            </w:r>
          </w:p>
        </w:tc>
        <w:tc>
          <w:tcPr>
            <w:tcW w:w="25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Actual return on plan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6,153</w:t>
            </w:r>
          </w:p>
        </w:tc>
        <w:tc>
          <w:tcPr>
            <w:tcW w:w="255" w:type="dxa"/>
            <w:tcBorders/>
            <w:vAlign w:val="bottom"/>
          </w:tcPr>
          <w:p>
            <w:pPr>
              <w:pStyle w:val="TableContents"/>
              <w:bidi w:val="0"/>
              <w:spacing w:before="0" w:after="283"/>
              <w:ind w:left="0" w:right="0" w:firstLine="180"/>
              <w:jc w:val="left"/>
              <w:rPr/>
            </w:pPr>
            <w:r>
              <w:rPr/>
              <w:t> </w:t>
            </w:r>
          </w:p>
        </w:tc>
      </w:tr>
      <w:tr>
        <w:trPr/>
        <w:tc>
          <w:tcPr>
            <w:tcW w:w="2660" w:type="dxa"/>
            <w:tcBorders/>
            <w:shd w:fill="CCEEFF" w:val="clear"/>
            <w:vAlign w:val="bottom"/>
          </w:tcPr>
          <w:p>
            <w:pPr>
              <w:pStyle w:val="TableContents"/>
              <w:bidi w:val="0"/>
              <w:spacing w:before="0" w:after="283"/>
              <w:jc w:val="left"/>
              <w:rPr/>
            </w:pPr>
            <w:r>
              <w:rPr/>
              <w:t>Sales and settlements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283"/>
              <w:jc w:val="right"/>
              <w:rPr/>
            </w:pPr>
            <w:r>
              <w:rPr/>
              <w:t>(7,200</w:t>
            </w:r>
          </w:p>
        </w:tc>
        <w:tc>
          <w:tcPr>
            <w:tcW w:w="255" w:type="dxa"/>
            <w:tcBorders/>
            <w:shd w:fill="CCEEFF" w:val="clear"/>
            <w:vAlign w:val="bottom"/>
          </w:tcPr>
          <w:p>
            <w:pPr>
              <w:pStyle w:val="TableContents"/>
              <w:bidi w:val="0"/>
              <w:spacing w:before="0" w:after="283"/>
              <w:jc w:val="left"/>
              <w:rPr/>
            </w:pPr>
            <w:r>
              <w:rPr/>
              <w:t>)</w:t>
            </w:r>
          </w:p>
        </w:tc>
      </w:tr>
      <w:tr>
        <w:trPr/>
        <w:tc>
          <w:tcPr>
            <w:tcW w:w="26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September 30</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43,994</w:t>
            </w:r>
          </w:p>
        </w:tc>
        <w:tc>
          <w:tcPr>
            <w:tcW w:w="2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Life insurance contracts:</w:t>
      </w:r>
      <w:r>
        <w:rPr>
          <w:rFonts w:ascii="Times New Roman" w:hAnsi="Times New Roman"/>
          <w:color w:val="000000"/>
          <w:sz w:val="20"/>
          <w:shd w:fill="FFFFFF" w:val="clear"/>
        </w:rPr>
        <w:t xml:space="preserve"> Accounting Standards Codification (“ASC”) 820 preserves practicability exceptions to fair value measurements provided by other 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contingent consideration (U.S. dollars in thousands):</w:t>
      </w:r>
    </w:p>
    <w:p>
      <w:pPr>
        <w:pStyle w:val="TextBody"/>
        <w:bidi w:val="0"/>
        <w:spacing w:before="0" w:after="0"/>
        <w:jc w:val="left"/>
        <w:rPr/>
      </w:pPr>
      <w:r>
        <w:rPr/>
      </w:r>
    </w:p>
    <w:tbl>
      <w:tblPr>
        <w:tblW w:w="3500" w:type="dxa"/>
        <w:jc w:val="left"/>
        <w:tblInd w:w="0" w:type="dxa"/>
        <w:tblLayout w:type="fixed"/>
        <w:tblCellMar>
          <w:top w:w="0" w:type="dxa"/>
          <w:left w:w="0" w:type="dxa"/>
          <w:bottom w:w="0" w:type="dxa"/>
          <w:right w:w="0" w:type="dxa"/>
        </w:tblCellMar>
      </w:tblPr>
      <w:tblGrid>
        <w:gridCol w:w="2660"/>
        <w:gridCol w:w="60"/>
        <w:gridCol w:w="125"/>
        <w:gridCol w:w="560"/>
        <w:gridCol w:w="95"/>
      </w:tblGrid>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660" w:type="dxa"/>
            <w:tcBorders/>
            <w:vAlign w:val="bottom"/>
          </w:tcPr>
          <w:p>
            <w:pPr>
              <w:pStyle w:val="TableContents"/>
              <w:bidi w:val="0"/>
              <w:spacing w:before="0" w:after="0"/>
              <w:ind w:left="180" w:right="0" w:hanging="0"/>
              <w:jc w:val="left"/>
              <w:rPr/>
            </w:pPr>
            <w:r>
              <w:rPr/>
              <w:t>Payments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283"/>
              <w:jc w:val="right"/>
              <w:rPr/>
            </w:pPr>
            <w:r>
              <w:rPr/>
              <w:t>6,300</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September 30</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Contingent consideration: </w:t>
      </w:r>
      <w:r>
        <w:rPr>
          <w:rFonts w:ascii="Times New Roman" w:hAnsi="Times New Roman"/>
          <w:color w:val="000000"/>
          <w:sz w:val="20"/>
          <w:shd w:fill="FFFFFF" w:val="clear"/>
        </w:rPr>
        <w:t>Contingent consideration represents the obligations incurred in connection with acquisitions. The estimate of fair value of the 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Equity Investments</w:t>
      </w:r>
    </w:p>
    <w:p>
      <w:pPr>
        <w:pStyle w:val="TextBody"/>
        <w:bidi w:val="0"/>
        <w:spacing w:before="0" w:after="0"/>
        <w:jc w:val="both"/>
        <w:rPr/>
      </w:pPr>
      <w: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equity investments in companies which are accounted for under the measurement alternative described in ASC 321-10-35-2 for equity securities that lack readily determinable fair values. The carrying amount of an equity security held by the Company without readily determinable fair values was $0.0 and $28.1 million as of September 30, 2025 and December 31, 2024, respectively. The Company recognized $18.1 million of cumulative upward fair value adjustments, based on the valuation of additional equity issued by the investee which was deemed to be an observable transaction of a similar investment under ASC 321. During the three months ended March 31, 2025, based on significant deterioration of the business prospects of the investment, the Company recorded a $</w:t>
      </w:r>
      <w:r>
        <w:rPr>
          <w:rFonts w:ascii="Times New Roman" w:hAnsi="Times New Roman"/>
          <w:b w:val="false"/>
          <w:i w:val="false"/>
          <w:caps w:val="false"/>
          <w:smallCaps w:val="false"/>
          <w:color w:val="000000"/>
          <w:spacing w:val="0"/>
          <w:sz w:val="20"/>
          <w:shd w:fill="FFFFFF" w:val="clear"/>
        </w:rPr>
        <w:t>28.1</w:t>
      </w:r>
      <w:r>
        <w:rPr>
          <w:rFonts w:ascii="Times New Roman" w:hAnsi="Times New Roman"/>
          <w:color w:val="000000"/>
          <w:sz w:val="20"/>
          <w:shd w:fill="FFFFFF" w:val="clear"/>
        </w:rPr>
        <w:t xml:space="preserve"> million impairment of the investment. These charges were recorded within Other income (expense), net on the Consolidated Statement of Income. The first quarter of 2025 estimated fair value was determined using a market-based method with level 3 inputs, including revenue and earnings multiples. The Company also had equity securities held without readily determinable fair values of $14.0 million and $7.6 million as of September 30, 2025 and December 31, 2024, respectively.</w:t>
      </w:r>
    </w:p>
    <w:p>
      <w:pPr>
        <w:pStyle w:val="TextBody"/>
        <w:bidi w:val="0"/>
        <w:spacing w:before="0" w:after="0"/>
        <w:jc w:val="left"/>
        <w:rPr/>
      </w:pPr>
      <w:r>
        <w:rPr/>
      </w:r>
    </w:p>
    <w:tbl>
      <w:tblPr>
        <w:tblW w:w="1405" w:type="dxa"/>
        <w:jc w:val="left"/>
        <w:tblInd w:w="0" w:type="dxa"/>
        <w:tblLayout w:type="fixed"/>
        <w:tblCellMar>
          <w:top w:w="0" w:type="dxa"/>
          <w:left w:w="0" w:type="dxa"/>
          <w:bottom w:w="0" w:type="dxa"/>
          <w:right w:w="0" w:type="dxa"/>
        </w:tblCellMar>
      </w:tblPr>
      <w:tblGrid>
        <w:gridCol w:w="185"/>
        <w:gridCol w:w="1220"/>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w:t>
            </w:r>
          </w:p>
        </w:tc>
        <w:tc>
          <w:tcPr>
            <w:tcW w:w="1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Income Taxes</w:t>
            </w:r>
          </w:p>
        </w:tc>
      </w:tr>
    </w:tbl>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Provision (benefit) for income taxes for the three- and nine-month periods ended September 30, 2025 was $</w:t>
      </w:r>
      <w:r>
        <w:rPr>
          <w:rFonts w:ascii="Times New Roman" w:hAnsi="Times New Roman"/>
          <w:b w:val="false"/>
          <w:i w:val="false"/>
          <w:caps w:val="false"/>
          <w:smallCaps w:val="false"/>
          <w:color w:val="000000"/>
          <w:spacing w:val="0"/>
          <w:sz w:val="20"/>
          <w:shd w:fill="FFFFFF" w:val="clear"/>
        </w:rPr>
        <w:t>(1.1)</w:t>
      </w:r>
      <w:r>
        <w:rPr>
          <w:rFonts w:ascii="Times New Roman" w:hAnsi="Times New Roman"/>
          <w:b w:val="false"/>
          <w:i w:val="false"/>
          <w:caps w:val="false"/>
          <w:smallCaps w:val="false"/>
          <w:color w:val="000000"/>
          <w:sz w:val="20"/>
          <w:shd w:fill="FFFFFF" w:val="clear"/>
        </w:rPr>
        <w:t xml:space="preserve"> million and $</w:t>
      </w:r>
      <w:r>
        <w:rPr>
          <w:rFonts w:ascii="Times New Roman" w:hAnsi="Times New Roman"/>
          <w:b w:val="false"/>
          <w:i w:val="false"/>
          <w:caps w:val="false"/>
          <w:smallCaps w:val="false"/>
          <w:color w:val="000000"/>
          <w:spacing w:val="0"/>
          <w:sz w:val="20"/>
          <w:shd w:fill="FFFFFF" w:val="clear"/>
        </w:rPr>
        <w:t>32.3</w:t>
      </w:r>
      <w:r>
        <w:rPr>
          <w:rFonts w:ascii="Times New Roman" w:hAnsi="Times New Roman"/>
          <w:b w:val="false"/>
          <w:i w:val="false"/>
          <w:caps w:val="false"/>
          <w:smallCaps w:val="false"/>
          <w:color w:val="000000"/>
          <w:sz w:val="20"/>
          <w:shd w:fill="FFFFFF" w:val="clear"/>
        </w:rPr>
        <w:t xml:space="preserve"> million, compared to $</w:t>
      </w:r>
      <w:r>
        <w:rPr>
          <w:rFonts w:ascii="Times New Roman" w:hAnsi="Times New Roman"/>
          <w:b w:val="false"/>
          <w:i w:val="false"/>
          <w:caps w:val="false"/>
          <w:smallCaps w:val="false"/>
          <w:color w:val="000000"/>
          <w:spacing w:val="0"/>
          <w:sz w:val="20"/>
          <w:shd w:fill="FFFFFF" w:val="clear"/>
        </w:rPr>
        <w:t>5.0 million and $(6.8)</w:t>
      </w:r>
      <w:r>
        <w:rPr>
          <w:rFonts w:ascii="Times New Roman" w:hAnsi="Times New Roman"/>
          <w:b w:val="false"/>
          <w:i w:val="false"/>
          <w:caps w:val="false"/>
          <w:smallCaps w:val="false"/>
          <w:color w:val="000000"/>
          <w:sz w:val="20"/>
          <w:shd w:fill="FFFFFF" w:val="clear"/>
        </w:rPr>
        <w:t xml:space="preserve"> million for the prior-year periods. The effective tax rates for the three- and nine-month periods ended September 30, 2025, were </w:t>
      </w:r>
      <w:r>
        <w:rPr>
          <w:rFonts w:ascii="Times New Roman" w:hAnsi="Times New Roman"/>
          <w:b w:val="false"/>
          <w:i w:val="false"/>
          <w:caps w:val="false"/>
          <w:smallCaps w:val="false"/>
          <w:color w:val="000000"/>
          <w:spacing w:val="0"/>
          <w:sz w:val="20"/>
          <w:shd w:fill="FFFFFF" w:val="clear"/>
        </w:rPr>
        <w:t>(6.8)% and 18.1%</w:t>
      </w:r>
      <w:r>
        <w:rPr>
          <w:rFonts w:ascii="Times New Roman" w:hAnsi="Times New Roman"/>
          <w:b w:val="false"/>
          <w:i w:val="false"/>
          <w:caps w:val="false"/>
          <w:smallCaps w:val="false"/>
          <w:color w:val="000000"/>
          <w:sz w:val="20"/>
          <w:shd w:fill="FFFFFF" w:val="clear"/>
        </w:rPr>
        <w:t xml:space="preserve"> of pre-tax income, compared to </w:t>
      </w:r>
      <w:r>
        <w:rPr>
          <w:rFonts w:ascii="Times New Roman" w:hAnsi="Times New Roman"/>
          <w:b w:val="false"/>
          <w:i w:val="false"/>
          <w:caps w:val="false"/>
          <w:smallCaps w:val="false"/>
          <w:color w:val="000000"/>
          <w:spacing w:val="0"/>
          <w:sz w:val="20"/>
          <w:shd w:fill="FFFFFF" w:val="clear"/>
        </w:rPr>
        <w:t>37.6% and 5.8%</w:t>
      </w:r>
      <w:r>
        <w:rPr>
          <w:rFonts w:ascii="Times New Roman" w:hAnsi="Times New Roman"/>
          <w:b w:val="false"/>
          <w:i w:val="false"/>
          <w:caps w:val="false"/>
          <w:smallCaps w:val="false"/>
          <w:color w:val="000000"/>
          <w:sz w:val="20"/>
          <w:shd w:fill="FFFFFF" w:val="clear"/>
        </w:rPr>
        <w:t xml:space="preserve"> in the prior-year periods. The Company’s effective tax rate for the three-month and nine-month periods ended September 30, 2025 benefited from $8.1 million of additional research and development credits determined creditable during the third quarter. The Company’s effective tax rate for the nine-month period ended September 30, 2025 was additionally impacted by the following items recorded discretely in the period ended March 31, 2025, the sale of the Company’s subsidiary Mavely, the impairment of the BeautyBio asset group, and the impairment of an equity investment. The Company’s effective tax rates for the nine-month period ended September 30, 2024 were impacted by the second quarter of 2024 goodwill impairment.</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$181.7 million and $173.9 million as of September </w:t>
      </w:r>
      <w:r>
        <w:rPr>
          <w:rFonts w:ascii="Times New Roman" w:hAnsi="Times New Roman"/>
          <w:b w:val="false"/>
          <w:i w:val="false"/>
          <w:caps w:val="false"/>
          <w:smallCaps w:val="false"/>
          <w:color w:val="000000"/>
          <w:spacing w:val="0"/>
          <w:sz w:val="20"/>
          <w:shd w:fill="FFFFFF" w:val="clear"/>
        </w:rPr>
        <w:t>30</w:t>
      </w:r>
      <w:r>
        <w:rPr>
          <w:rFonts w:ascii="Times New Roman" w:hAnsi="Times New Roman"/>
          <w:color w:val="000000"/>
          <w:sz w:val="20"/>
          <w:shd w:fill="FFFFFF" w:val="clear"/>
        </w:rPr>
        <w:t>, 2025 and December 31, 2024,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2024. If the amount designated as indefinitely reinvested as of December 31, 2024 were repatriated to the United States, the amount of incremental taxes would be approximately $6.0 million.  The Company intends to utilize the indefinitely reinvested offshore earnings to fund foreign investments, specifically capital expenditures.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2024, tax years through 2020, 2022 and 2023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2024 and 2025,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2021.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$0.1 to $1.0 million.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Based on current enacted legislation, the Company anticipates the impact of Pillar Two to be immaterial for 2025.</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completed the initial assessment of the OBBBA corporate tax provisions as they relate to the Company’s consolidated financial statements in the third quarter of 2025. The enactment of the OBBBA did not have a material impact to the Company’s income tax benefit for the three and nine months ended September 30, 2025. The Company will continue to evaluate the impacts of OBBBA and does not expect the OBBBA to have a material impact to its total tax provision.</w:t>
      </w:r>
    </w:p>
    <w:p>
      <w:pPr>
        <w:pStyle w:val="TextBody"/>
        <w:bidi w:val="0"/>
        <w:spacing w:before="0" w:after="0"/>
        <w:jc w:val="left"/>
        <w:rPr/>
      </w:pPr>
      <w:r>
        <w:rPr/>
      </w:r>
    </w:p>
    <w:tbl>
      <w:tblPr>
        <w:tblW w:w="3265" w:type="dxa"/>
        <w:jc w:val="left"/>
        <w:tblInd w:w="0" w:type="dxa"/>
        <w:tblLayout w:type="fixed"/>
        <w:tblCellMar>
          <w:top w:w="0" w:type="dxa"/>
          <w:left w:w="0" w:type="dxa"/>
          <w:bottom w:w="0" w:type="dxa"/>
          <w:right w:w="0" w:type="dxa"/>
        </w:tblCellMar>
      </w:tblPr>
      <w:tblGrid>
        <w:gridCol w:w="290"/>
        <w:gridCol w:w="297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Derivatives and Hedging Activities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 Management Objective of Using Derivatives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from time to time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Cash Flow Hedges of 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existing variable-rate debt.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$0.0 million will be reclassified as a reduction to 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2024, the Company had four outstanding interest rate derivatives that were designated as cash flow hedges of interest rate risk with a total notional amount of $200 million. During the third quarter of 2025, the Company’s four interest rate derivatives with a total notional amount of  $200 million matured, leaving no outstanding derivatives as of September 30, 2025.</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Values of Derivative Instruments on the Balance Sheet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presents the fair value of the Company’s derivative financial instruments as well as their classification on the Balance Sheet:</w:t>
      </w:r>
    </w:p>
    <w:p>
      <w:pPr>
        <w:pStyle w:val="TextBody"/>
        <w:bidi w:val="0"/>
        <w:spacing w:before="0" w:after="0"/>
        <w:jc w:val="left"/>
        <w:rPr/>
      </w:pPr>
      <w:r>
        <w:rPr/>
      </w:r>
    </w:p>
    <w:tbl>
      <w:tblPr>
        <w:tblW w:w="7291" w:type="dxa"/>
        <w:jc w:val="left"/>
        <w:tblInd w:w="0" w:type="dxa"/>
        <w:tblLayout w:type="fixed"/>
        <w:tblCellMar>
          <w:top w:w="0" w:type="dxa"/>
          <w:left w:w="0" w:type="dxa"/>
          <w:bottom w:w="0" w:type="dxa"/>
          <w:right w:w="0" w:type="dxa"/>
        </w:tblCellMar>
      </w:tblPr>
      <w:tblGrid>
        <w:gridCol w:w="2193"/>
        <w:gridCol w:w="60"/>
        <w:gridCol w:w="2313"/>
        <w:gridCol w:w="60"/>
        <w:gridCol w:w="395"/>
        <w:gridCol w:w="824"/>
        <w:gridCol w:w="106"/>
        <w:gridCol w:w="106"/>
        <w:gridCol w:w="240"/>
        <w:gridCol w:w="934"/>
        <w:gridCol w:w="60"/>
      </w:tblGrid>
      <w:tr>
        <w:trPr/>
        <w:tc>
          <w:tcPr>
            <w:tcW w:w="2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5"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Fair Values of </w:t>
            </w:r>
          </w:p>
          <w:p>
            <w:pPr>
              <w:pStyle w:val="TableContents"/>
              <w:bidi w:val="0"/>
              <w:spacing w:before="0" w:after="0"/>
              <w:jc w:val="center"/>
              <w:rPr>
                <w:rFonts w:ascii="Times New Roman" w:hAnsi="Times New Roman"/>
                <w:b/>
                <w:sz w:val="20"/>
              </w:rPr>
            </w:pPr>
            <w:r>
              <w:rPr>
                <w:rFonts w:ascii="Times New Roman" w:hAnsi="Times New Roman"/>
                <w:b/>
                <w:sz w:val="20"/>
              </w:rPr>
              <w:t>Derivative Instruments</w:t>
            </w:r>
          </w:p>
        </w:tc>
        <w:tc>
          <w:tcPr>
            <w:tcW w:w="60" w:type="dxa"/>
            <w:tcBorders/>
            <w:vAlign w:val="bottom"/>
          </w:tcPr>
          <w:p>
            <w:pPr>
              <w:pStyle w:val="TableContents"/>
              <w:bidi w:val="0"/>
              <w:spacing w:before="0" w:after="283"/>
              <w:jc w:val="left"/>
              <w:rPr/>
            </w:pPr>
            <w:r>
              <w:rPr/>
              <w:t> </w:t>
            </w:r>
          </w:p>
        </w:tc>
      </w:tr>
      <w:tr>
        <w:trPr/>
        <w:tc>
          <w:tcPr>
            <w:tcW w:w="219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231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Balance Sheet</w:t>
            </w:r>
          </w:p>
          <w:p>
            <w:pPr>
              <w:pStyle w:val="TableContents"/>
              <w:bidi w:val="0"/>
              <w:spacing w:before="0" w:after="0"/>
              <w:jc w:val="center"/>
              <w:rPr>
                <w:rFonts w:ascii="Times New Roman" w:hAnsi="Times New Roman"/>
                <w:b/>
                <w:sz w:val="20"/>
              </w:rPr>
            </w:pPr>
            <w:r>
              <w:rPr>
                <w:rFonts w:ascii="Times New Roman" w:hAnsi="Times New Roman"/>
                <w:b/>
                <w:sz w:val="20"/>
              </w:rPr>
              <w:t>Location</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r>
      <w:tr>
        <w:trPr/>
        <w:tc>
          <w:tcPr>
            <w:tcW w:w="2193"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 - Asset</w:t>
            </w:r>
          </w:p>
        </w:tc>
        <w:tc>
          <w:tcPr>
            <w:tcW w:w="60" w:type="dxa"/>
            <w:tcBorders/>
            <w:shd w:fill="CCEEFF" w:val="clear"/>
            <w:vAlign w:val="bottom"/>
          </w:tcPr>
          <w:p>
            <w:pPr>
              <w:pStyle w:val="TableContents"/>
              <w:bidi w:val="0"/>
              <w:spacing w:before="0" w:after="283"/>
              <w:jc w:val="left"/>
              <w:rPr/>
            </w:pPr>
            <w:r>
              <w:rPr/>
              <w:t> </w:t>
            </w:r>
          </w:p>
        </w:tc>
        <w:tc>
          <w:tcPr>
            <w:tcW w:w="2313" w:type="dxa"/>
            <w:tcBorders/>
            <w:shd w:fill="CCEEFF" w:val="clear"/>
            <w:vAlign w:val="bottom"/>
          </w:tcPr>
          <w:p>
            <w:pPr>
              <w:pStyle w:val="TableContents"/>
              <w:bidi w:val="0"/>
              <w:spacing w:before="0" w:after="0"/>
              <w:ind w:left="0" w:right="88" w:hanging="0"/>
              <w:jc w:val="center"/>
              <w:rPr>
                <w:rFonts w:ascii="Times New Roman" w:hAnsi="Times New Roman"/>
                <w:sz w:val="20"/>
              </w:rPr>
            </w:pPr>
            <w:r>
              <w:rPr>
                <w:rFonts w:ascii="Times New Roman" w:hAnsi="Times New Roman"/>
                <w:sz w:val="20"/>
              </w:rPr>
              <w:t>Prepaid expenses and other</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4" w:type="dxa"/>
            <w:tcBorders/>
            <w:shd w:fill="CCEEFF" w:val="clear"/>
            <w:vAlign w:val="bottom"/>
          </w:tcPr>
          <w:p>
            <w:pPr>
              <w:pStyle w:val="TableContents"/>
              <w:bidi w:val="0"/>
              <w:spacing w:before="0" w:after="0"/>
              <w:jc w:val="right"/>
              <w:rPr/>
            </w:pPr>
            <w:r>
              <w:rPr/>
              <w:t>—</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4,708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Effect of Cash Flow Hedge Accounting on Accumulated Other Comprehensive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present the effect of cash flow hedge accounting on Accumulated Other Comprehensive Loss.</w:t>
      </w:r>
    </w:p>
    <w:p>
      <w:pPr>
        <w:pStyle w:val="TextBody"/>
        <w:bidi w:val="0"/>
        <w:spacing w:before="0" w:after="0"/>
        <w:jc w:val="left"/>
        <w:rPr/>
      </w:pPr>
      <w:r>
        <w:rPr/>
      </w:r>
    </w:p>
    <w:tbl>
      <w:tblPr>
        <w:tblW w:w="6289" w:type="dxa"/>
        <w:jc w:val="left"/>
        <w:tblInd w:w="0" w:type="dxa"/>
        <w:tblLayout w:type="fixed"/>
        <w:tblCellMar>
          <w:top w:w="0" w:type="dxa"/>
          <w:left w:w="0" w:type="dxa"/>
          <w:bottom w:w="0" w:type="dxa"/>
          <w:right w:w="0" w:type="dxa"/>
        </w:tblCellMar>
      </w:tblPr>
      <w:tblGrid>
        <w:gridCol w:w="2090"/>
        <w:gridCol w:w="60"/>
        <w:gridCol w:w="220"/>
        <w:gridCol w:w="220"/>
        <w:gridCol w:w="103"/>
        <w:gridCol w:w="103"/>
        <w:gridCol w:w="215"/>
        <w:gridCol w:w="938"/>
        <w:gridCol w:w="136"/>
        <w:gridCol w:w="102"/>
        <w:gridCol w:w="213"/>
        <w:gridCol w:w="571"/>
        <w:gridCol w:w="102"/>
        <w:gridCol w:w="102"/>
        <w:gridCol w:w="213"/>
        <w:gridCol w:w="826"/>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Amount of Gain </w:t>
            </w:r>
          </w:p>
          <w:p>
            <w:pPr>
              <w:pStyle w:val="TableContents"/>
              <w:bidi w:val="0"/>
              <w:spacing w:before="0" w:after="0"/>
              <w:jc w:val="center"/>
              <w:rPr>
                <w:rFonts w:ascii="Times New Roman" w:hAnsi="Times New Roman"/>
                <w:b/>
                <w:sz w:val="20"/>
              </w:rPr>
            </w:pPr>
            <w:r>
              <w:rPr>
                <w:rFonts w:ascii="Times New Roman" w:hAnsi="Times New Roman"/>
                <w:b/>
                <w:sz w:val="20"/>
              </w:rPr>
              <w:t>Recognized in Other Comprehensive Income on</w:t>
            </w:r>
          </w:p>
          <w:p>
            <w:pPr>
              <w:pStyle w:val="TableContents"/>
              <w:bidi w:val="0"/>
              <w:spacing w:before="0" w:after="0"/>
              <w:jc w:val="center"/>
              <w:rPr>
                <w:rFonts w:ascii="Times New Roman" w:hAnsi="Times New Roman"/>
                <w:b/>
                <w:sz w:val="20"/>
              </w:rPr>
            </w:pPr>
            <w:r>
              <w:rPr>
                <w:rFonts w:ascii="Times New Roman" w:hAnsi="Times New Roman"/>
                <w:b/>
                <w:sz w:val="20"/>
              </w:rPr>
              <w:t>Derivatives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9"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27"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79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2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75" w:type="dxa"/>
            <w:tcBorders/>
            <w:vAlign w:val="bottom"/>
          </w:tcPr>
          <w:p>
            <w:pPr>
              <w:pStyle w:val="TableContents"/>
              <w:bidi w:val="0"/>
              <w:spacing w:before="0" w:after="283"/>
              <w:jc w:val="left"/>
              <w:rPr/>
            </w:pPr>
            <w:r>
              <w:rPr/>
              <w:t> </w:t>
            </w:r>
          </w:p>
        </w:tc>
      </w:tr>
      <w:tr>
        <w:trPr/>
        <w:tc>
          <w:tcPr>
            <w:tcW w:w="20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1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(1,211</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368" w:type="dxa"/>
        <w:jc w:val="left"/>
        <w:tblInd w:w="0" w:type="dxa"/>
        <w:tblLayout w:type="fixed"/>
        <w:tblCellMar>
          <w:top w:w="0" w:type="dxa"/>
          <w:left w:w="0" w:type="dxa"/>
          <w:bottom w:w="0" w:type="dxa"/>
          <w:right w:w="0" w:type="dxa"/>
        </w:tblCellMar>
      </w:tblPr>
      <w:tblGrid>
        <w:gridCol w:w="2075"/>
        <w:gridCol w:w="60"/>
        <w:gridCol w:w="2345"/>
        <w:gridCol w:w="60"/>
        <w:gridCol w:w="188"/>
        <w:gridCol w:w="503"/>
        <w:gridCol w:w="89"/>
        <w:gridCol w:w="89"/>
        <w:gridCol w:w="188"/>
        <w:gridCol w:w="729"/>
        <w:gridCol w:w="81"/>
        <w:gridCol w:w="81"/>
        <w:gridCol w:w="170"/>
        <w:gridCol w:w="659"/>
        <w:gridCol w:w="81"/>
        <w:gridCol w:w="81"/>
        <w:gridCol w:w="170"/>
        <w:gridCol w:w="659"/>
        <w:gridCol w:w="60"/>
      </w:tblGrid>
      <w:tr>
        <w:trPr/>
        <w:tc>
          <w:tcPr>
            <w:tcW w:w="2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68"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Amount of Gain </w:t>
            </w:r>
          </w:p>
          <w:p>
            <w:pPr>
              <w:pStyle w:val="TableContents"/>
              <w:bidi w:val="0"/>
              <w:spacing w:before="0" w:after="0"/>
              <w:jc w:val="center"/>
              <w:rPr>
                <w:rFonts w:ascii="Times New Roman" w:hAnsi="Times New Roman"/>
                <w:b/>
                <w:sz w:val="20"/>
              </w:rPr>
            </w:pPr>
            <w:r>
              <w:rPr>
                <w:rFonts w:ascii="Times New Roman" w:hAnsi="Times New Roman"/>
                <w:b/>
                <w:sz w:val="20"/>
              </w:rPr>
              <w:t>Reclassified from Accumulated</w:t>
            </w:r>
          </w:p>
          <w:p>
            <w:pPr>
              <w:pStyle w:val="TableContents"/>
              <w:bidi w:val="0"/>
              <w:spacing w:before="0" w:after="0"/>
              <w:jc w:val="center"/>
              <w:rPr>
                <w:rFonts w:ascii="Times New Roman" w:hAnsi="Times New Roman"/>
                <w:b/>
                <w:sz w:val="20"/>
              </w:rPr>
            </w:pPr>
            <w:r>
              <w:rPr>
                <w:rFonts w:ascii="Times New Roman" w:hAnsi="Times New Roman"/>
                <w:b/>
                <w:sz w:val="20"/>
              </w:rPr>
              <w:t>Other Comprehensive Income into Income</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82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8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60" w:type="dxa"/>
            <w:tcBorders/>
            <w:vAlign w:val="bottom"/>
          </w:tcPr>
          <w:p>
            <w:pPr>
              <w:pStyle w:val="TableContents"/>
              <w:bidi w:val="0"/>
              <w:spacing w:before="0" w:after="283"/>
              <w:jc w:val="left"/>
              <w:rPr/>
            </w:pPr>
            <w:r>
              <w:rPr/>
              <w:t> </w:t>
            </w:r>
          </w:p>
        </w:tc>
      </w:tr>
      <w:tr>
        <w:trPr/>
        <w:tc>
          <w:tcPr>
            <w:tcW w:w="20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234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Income Statement Location</w:t>
            </w:r>
          </w:p>
        </w:tc>
        <w:tc>
          <w:tcPr>
            <w:tcW w:w="60" w:type="dxa"/>
            <w:tcBorders/>
            <w:vAlign w:val="bottom"/>
          </w:tcPr>
          <w:p>
            <w:pPr>
              <w:pStyle w:val="TableContents"/>
              <w:bidi w:val="0"/>
              <w:spacing w:before="0" w:after="283"/>
              <w:jc w:val="left"/>
              <w:rPr/>
            </w:pPr>
            <w:r>
              <w:rPr/>
              <w:t> </w:t>
            </w:r>
          </w:p>
        </w:tc>
        <w:tc>
          <w:tcPr>
            <w:tcW w:w="69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left"/>
              <w:rPr/>
            </w:pPr>
            <w:r>
              <w:rPr/>
              <w:t> </w:t>
            </w:r>
          </w:p>
        </w:tc>
        <w:tc>
          <w:tcPr>
            <w:tcW w:w="2345" w:type="dxa"/>
            <w:tcBorders/>
            <w:shd w:fill="CCEEFF" w:val="clear"/>
            <w:vAlign w:val="bottom"/>
          </w:tcPr>
          <w:p>
            <w:pPr>
              <w:pStyle w:val="TableContents"/>
              <w:bidi w:val="0"/>
              <w:spacing w:before="0" w:after="0"/>
              <w:ind w:left="0" w:right="88" w:hanging="0"/>
              <w:jc w:val="center"/>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703</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2,655</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4,944</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7,934</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11.</w:t>
            </w:r>
          </w:p>
        </w:tc>
        <w:tc>
          <w:tcPr>
            <w:tcW w:w="18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Segment Information</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reports revenue from nine segments, consisting of its seven geographic Nu Skin segments—Americas, Southeast Asia/Pacific, Mainland China, Japan, </w:t>
      </w:r>
      <w:r>
        <w:rPr>
          <w:rFonts w:ascii="Times New Roman" w:hAnsi="Times New Roman"/>
          <w:b w:val="false"/>
          <w:i w:val="false"/>
          <w:caps w:val="false"/>
          <w:smallCaps w:val="false"/>
          <w:color w:val="000000"/>
          <w:spacing w:val="0"/>
          <w:sz w:val="20"/>
          <w:shd w:fill="FFFFFF" w:val="clear"/>
        </w:rPr>
        <w:t>Europe &amp; Africa</w:t>
      </w:r>
      <w:r>
        <w:rPr>
          <w:rFonts w:ascii="Times New Roman" w:hAnsi="Times New Roman"/>
          <w:color w:val="000000"/>
          <w:sz w:val="20"/>
          <w:shd w:fill="FFFFFF" w:val="clear"/>
        </w:rPr>
        <w:t>, South Korea, and Hong Kong/Taiwan—and two Rhyz segments—Manufacturing and Rhyz Other. The Nu Skin Other category includes miscellaneous corporate revenue and related adjustments. The Rhyz Other segment includes two operating segments that are aggregated into one reporting segment and includes other investments by our Rhyz business arm. The Chief Executive Officer is the chief operating decision maker (“CODM”). These segments reflect the way the CODM evaluates the Company’s business performance and allocates resources. Reported revenue includes only the revenue generated by sales to external customers.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accounting policies of the segments are the same as those described in Note 2, “Summary of Significant Accounting Policies.” The Company evaluates the performance of its segments based on segment contribution. Each segment records direct expenses related to its employees and its operations.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057"/>
        <w:gridCol w:w="64"/>
        <w:gridCol w:w="133"/>
        <w:gridCol w:w="633"/>
        <w:gridCol w:w="60"/>
        <w:gridCol w:w="64"/>
        <w:gridCol w:w="133"/>
        <w:gridCol w:w="633"/>
        <w:gridCol w:w="60"/>
        <w:gridCol w:w="65"/>
        <w:gridCol w:w="136"/>
        <w:gridCol w:w="644"/>
        <w:gridCol w:w="60"/>
        <w:gridCol w:w="60"/>
        <w:gridCol w:w="125"/>
        <w:gridCol w:w="590"/>
        <w:gridCol w:w="60"/>
        <w:gridCol w:w="60"/>
        <w:gridCol w:w="125"/>
        <w:gridCol w:w="590"/>
        <w:gridCol w:w="60"/>
        <w:gridCol w:w="60"/>
        <w:gridCol w:w="125"/>
        <w:gridCol w:w="590"/>
        <w:gridCol w:w="60"/>
        <w:gridCol w:w="60"/>
        <w:gridCol w:w="125"/>
        <w:gridCol w:w="590"/>
        <w:gridCol w:w="60"/>
        <w:gridCol w:w="100"/>
        <w:gridCol w:w="208"/>
        <w:gridCol w:w="987"/>
        <w:gridCol w:w="60"/>
        <w:gridCol w:w="60"/>
        <w:gridCol w:w="125"/>
        <w:gridCol w:w="545"/>
        <w:gridCol w:w="80"/>
        <w:gridCol w:w="60"/>
        <w:gridCol w:w="125"/>
        <w:gridCol w:w="695"/>
        <w:gridCol w:w="78"/>
      </w:tblGrid>
      <w:tr>
        <w:trPr/>
        <w:tc>
          <w:tcPr>
            <w:tcW w:w="1057" w:type="dxa"/>
            <w:tcBorders/>
            <w:vAlign w:val="bottom"/>
          </w:tcPr>
          <w:p>
            <w:pPr>
              <w:pStyle w:val="TableContents"/>
              <w:bidi w:val="0"/>
              <w:spacing w:before="0" w:after="283"/>
              <w:jc w:val="left"/>
              <w:rPr/>
            </w:pPr>
            <w:r>
              <w:rPr/>
              <w:t> </w:t>
            </w:r>
          </w:p>
        </w:tc>
        <w:tc>
          <w:tcPr>
            <w:tcW w:w="9070" w:type="dxa"/>
            <w:gridSpan w:val="39"/>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September 30, 2025</w:t>
            </w:r>
          </w:p>
        </w:tc>
        <w:tc>
          <w:tcPr>
            <w:tcW w:w="78" w:type="dxa"/>
            <w:tcBorders/>
            <w:vAlign w:val="bottom"/>
          </w:tcPr>
          <w:p>
            <w:pPr>
              <w:pStyle w:val="TableContents"/>
              <w:bidi w:val="0"/>
              <w:spacing w:before="0" w:after="283"/>
              <w:jc w:val="left"/>
              <w:rPr/>
            </w:pPr>
            <w:r>
              <w:rPr/>
              <w:t> </w:t>
            </w:r>
          </w:p>
        </w:tc>
      </w:tr>
      <w:tr>
        <w:trPr/>
        <w:tc>
          <w:tcPr>
            <w:tcW w:w="1057" w:type="dxa"/>
            <w:tcBorders/>
            <w:vAlign w:val="bottom"/>
          </w:tcPr>
          <w:p>
            <w:pPr>
              <w:pStyle w:val="TableContents"/>
              <w:bidi w:val="0"/>
              <w:spacing w:before="0" w:after="283"/>
              <w:jc w:val="left"/>
              <w:rPr/>
            </w:pPr>
            <w:r>
              <w:rPr/>
              <w:t> </w:t>
            </w:r>
          </w:p>
        </w:tc>
        <w:tc>
          <w:tcPr>
            <w:tcW w:w="5965" w:type="dxa"/>
            <w:gridSpan w:val="2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 Skin</w:t>
            </w:r>
          </w:p>
        </w:tc>
        <w:tc>
          <w:tcPr>
            <w:tcW w:w="60" w:type="dxa"/>
            <w:tcBorders/>
            <w:vAlign w:val="bottom"/>
          </w:tcPr>
          <w:p>
            <w:pPr>
              <w:pStyle w:val="TableContents"/>
              <w:bidi w:val="0"/>
              <w:spacing w:before="0" w:after="283"/>
              <w:jc w:val="left"/>
              <w:rPr/>
            </w:pPr>
            <w:r>
              <w:rPr/>
              <w:t> </w:t>
            </w:r>
          </w:p>
        </w:tc>
        <w:tc>
          <w:tcPr>
            <w:tcW w:w="2085"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Rhyz </w:t>
            </w:r>
          </w:p>
        </w:tc>
        <w:tc>
          <w:tcPr>
            <w:tcW w:w="80" w:type="dxa"/>
            <w:tcBorders/>
            <w:vAlign w:val="bottom"/>
          </w:tcPr>
          <w:p>
            <w:pPr>
              <w:pStyle w:val="TableContents"/>
              <w:bidi w:val="0"/>
              <w:spacing w:before="0" w:after="283"/>
              <w:jc w:val="left"/>
              <w:rPr/>
            </w:pPr>
            <w:r>
              <w:rPr/>
              <w:t> </w:t>
            </w:r>
          </w:p>
        </w:tc>
        <w:tc>
          <w:tcPr>
            <w:tcW w:w="880" w:type="dxa"/>
            <w:gridSpan w:val="3"/>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1057" w:type="dxa"/>
            <w:tcBorders/>
            <w:vAlign w:val="bottom"/>
          </w:tcPr>
          <w:p>
            <w:pPr>
              <w:pStyle w:val="TableContents"/>
              <w:bidi w:val="0"/>
              <w:spacing w:before="0" w:after="283"/>
              <w:jc w:val="left"/>
              <w:rPr/>
            </w:pPr>
            <w:r>
              <w:rPr/>
              <w:t> </w:t>
            </w:r>
          </w:p>
        </w:tc>
        <w:tc>
          <w:tcPr>
            <w:tcW w:w="8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Americas</w:t>
            </w:r>
          </w:p>
        </w:tc>
        <w:tc>
          <w:tcPr>
            <w:tcW w:w="60" w:type="dxa"/>
            <w:tcBorders/>
            <w:vAlign w:val="bottom"/>
          </w:tcPr>
          <w:p>
            <w:pPr>
              <w:pStyle w:val="TableContents"/>
              <w:bidi w:val="0"/>
              <w:spacing w:before="0" w:after="283"/>
              <w:jc w:val="left"/>
              <w:rPr/>
            </w:pPr>
            <w:r>
              <w:rPr/>
              <w:t> </w:t>
            </w:r>
          </w:p>
        </w:tc>
        <w:tc>
          <w:tcPr>
            <w:tcW w:w="8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Southeast Asia/</w:t>
            </w:r>
          </w:p>
          <w:p>
            <w:pPr>
              <w:pStyle w:val="TableContents"/>
              <w:bidi w:val="0"/>
              <w:spacing w:before="0" w:after="0"/>
              <w:jc w:val="center"/>
              <w:rPr>
                <w:rFonts w:ascii="Times New Roman" w:hAnsi="Times New Roman"/>
                <w:b/>
                <w:sz w:val="20"/>
              </w:rPr>
            </w:pPr>
            <w:r>
              <w:rPr>
                <w:rFonts w:ascii="Times New Roman" w:hAnsi="Times New Roman"/>
                <w:b/>
                <w:sz w:val="20"/>
              </w:rPr>
              <w:t>Pacific</w:t>
            </w:r>
          </w:p>
        </w:tc>
        <w:tc>
          <w:tcPr>
            <w:tcW w:w="60" w:type="dxa"/>
            <w:tcBorders/>
            <w:vAlign w:val="bottom"/>
          </w:tcPr>
          <w:p>
            <w:pPr>
              <w:pStyle w:val="TableContents"/>
              <w:bidi w:val="0"/>
              <w:spacing w:before="0" w:after="283"/>
              <w:jc w:val="left"/>
              <w:rPr/>
            </w:pPr>
            <w:r>
              <w:rPr/>
              <w:t> </w:t>
            </w:r>
          </w:p>
        </w:tc>
        <w:tc>
          <w:tcPr>
            <w:tcW w:w="84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Mainland </w:t>
            </w:r>
          </w:p>
          <w:p>
            <w:pPr>
              <w:pStyle w:val="TableContents"/>
              <w:bidi w:val="0"/>
              <w:spacing w:before="0" w:after="0"/>
              <w:jc w:val="center"/>
              <w:rPr>
                <w:rFonts w:ascii="Times New Roman" w:hAnsi="Times New Roman"/>
                <w:b/>
                <w:sz w:val="20"/>
              </w:rPr>
            </w:pPr>
            <w:r>
              <w:rPr>
                <w:rFonts w:ascii="Times New Roman" w:hAnsi="Times New Roman"/>
                <w:b/>
                <w:sz w:val="20"/>
              </w:rPr>
              <w:t>China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Japan</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Europe &amp;</w:t>
            </w:r>
          </w:p>
          <w:p>
            <w:pPr>
              <w:pStyle w:val="TableContents"/>
              <w:bidi w:val="0"/>
              <w:spacing w:before="0" w:after="0"/>
              <w:jc w:val="center"/>
              <w:rPr>
                <w:rFonts w:ascii="Times New Roman" w:hAnsi="Times New Roman"/>
                <w:b/>
                <w:sz w:val="20"/>
              </w:rPr>
            </w:pPr>
            <w:r>
              <w:rPr>
                <w:rFonts w:ascii="Times New Roman" w:hAnsi="Times New Roman"/>
                <w:b/>
                <w:sz w:val="20"/>
              </w:rPr>
              <w:t>Africa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South </w:t>
            </w:r>
          </w:p>
          <w:p>
            <w:pPr>
              <w:pStyle w:val="TableContents"/>
              <w:bidi w:val="0"/>
              <w:spacing w:before="0" w:after="0"/>
              <w:jc w:val="center"/>
              <w:rPr>
                <w:rFonts w:ascii="Times New Roman" w:hAnsi="Times New Roman"/>
                <w:b/>
                <w:sz w:val="20"/>
              </w:rPr>
            </w:pPr>
            <w:r>
              <w:rPr>
                <w:rFonts w:ascii="Times New Roman" w:hAnsi="Times New Roman"/>
                <w:b/>
                <w:sz w:val="20"/>
              </w:rPr>
              <w:t>Korea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Hong Kong/</w:t>
            </w:r>
          </w:p>
          <w:p>
            <w:pPr>
              <w:pStyle w:val="TableContents"/>
              <w:bidi w:val="0"/>
              <w:spacing w:before="0" w:after="0"/>
              <w:jc w:val="center"/>
              <w:rPr>
                <w:rFonts w:ascii="Times New Roman" w:hAnsi="Times New Roman"/>
                <w:b/>
                <w:sz w:val="20"/>
              </w:rPr>
            </w:pPr>
            <w:r>
              <w:rPr>
                <w:rFonts w:ascii="Times New Roman" w:hAnsi="Times New Roman"/>
                <w:b/>
                <w:sz w:val="20"/>
              </w:rPr>
              <w:t>Taiwan</w:t>
            </w:r>
          </w:p>
        </w:tc>
        <w:tc>
          <w:tcPr>
            <w:tcW w:w="60" w:type="dxa"/>
            <w:tcBorders/>
            <w:vAlign w:val="bottom"/>
          </w:tcPr>
          <w:p>
            <w:pPr>
              <w:pStyle w:val="TableContents"/>
              <w:bidi w:val="0"/>
              <w:spacing w:before="0" w:after="283"/>
              <w:jc w:val="left"/>
              <w:rPr/>
            </w:pPr>
            <w:r>
              <w:rPr/>
              <w:t> </w:t>
            </w:r>
          </w:p>
        </w:tc>
        <w:tc>
          <w:tcPr>
            <w:tcW w:w="129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Manufacturing </w:t>
            </w:r>
            <w:r>
              <w:rPr>
                <w:rFonts w:ascii="Times New Roman" w:hAnsi="Times New Roman"/>
                <w:b/>
                <w:position w:val="7"/>
                <w:sz w:val="16"/>
                <w:sz w:val="20"/>
              </w:rPr>
              <w:t>(1)</w:t>
            </w:r>
          </w:p>
        </w:tc>
        <w:tc>
          <w:tcPr>
            <w:tcW w:w="60" w:type="dxa"/>
            <w:tcBorders/>
            <w:vAlign w:val="bottom"/>
          </w:tcPr>
          <w:p>
            <w:pPr>
              <w:pStyle w:val="TableContents"/>
              <w:bidi w:val="0"/>
              <w:spacing w:before="0" w:after="283"/>
              <w:jc w:val="left"/>
              <w:rPr/>
            </w:pPr>
            <w:r>
              <w:rPr/>
              <w:t> </w:t>
            </w:r>
          </w:p>
        </w:tc>
        <w:tc>
          <w:tcPr>
            <w:tcW w:w="7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Rhyz </w:t>
            </w:r>
          </w:p>
          <w:p>
            <w:pPr>
              <w:pStyle w:val="TableContents"/>
              <w:bidi w:val="0"/>
              <w:spacing w:before="0" w:after="0"/>
              <w:jc w:val="center"/>
              <w:rPr>
                <w:rFonts w:ascii="Times New Roman" w:hAnsi="Times New Roman"/>
                <w:b/>
                <w:sz w:val="20"/>
              </w:rPr>
            </w:pPr>
            <w:r>
              <w:rPr>
                <w:rFonts w:ascii="Times New Roman" w:hAnsi="Times New Roman"/>
                <w:b/>
                <w:sz w:val="20"/>
              </w:rPr>
              <w:t>Other</w:t>
            </w:r>
          </w:p>
        </w:tc>
        <w:tc>
          <w:tcPr>
            <w:tcW w:w="8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Total </w:t>
            </w:r>
          </w:p>
          <w:p>
            <w:pPr>
              <w:pStyle w:val="TableContents"/>
              <w:bidi w:val="0"/>
              <w:spacing w:before="0" w:after="0"/>
              <w:jc w:val="center"/>
              <w:rPr>
                <w:rFonts w:ascii="Times New Roman" w:hAnsi="Times New Roman"/>
                <w:b/>
                <w:sz w:val="20"/>
              </w:rPr>
            </w:pPr>
            <w:r>
              <w:rPr>
                <w:rFonts w:ascii="Times New Roman" w:hAnsi="Times New Roman"/>
                <w:b/>
                <w:sz w:val="20"/>
              </w:rPr>
              <w:t>Segments</w:t>
            </w:r>
          </w:p>
        </w:tc>
        <w:tc>
          <w:tcPr>
            <w:tcW w:w="78" w:type="dxa"/>
            <w:tcBorders/>
            <w:vAlign w:val="bottom"/>
          </w:tcPr>
          <w:p>
            <w:pPr>
              <w:pStyle w:val="TableContents"/>
              <w:bidi w:val="0"/>
              <w:spacing w:before="0" w:after="283"/>
              <w:jc w:val="left"/>
              <w:rPr/>
            </w:pPr>
            <w:r>
              <w:rPr/>
              <w:t> </w:t>
            </w:r>
          </w:p>
        </w:tc>
      </w:tr>
      <w:tr>
        <w:trPr/>
        <w:tc>
          <w:tcPr>
            <w:tcW w:w="10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4"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63,994</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56,285</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31,799</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47,648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363,967</w:t>
            </w:r>
          </w:p>
        </w:tc>
        <w:tc>
          <w:tcPr>
            <w:tcW w:w="78" w:type="dxa"/>
            <w:tcBorders/>
            <w:shd w:fill="CCEEFF" w:val="clear"/>
            <w:vAlign w:val="bottom"/>
          </w:tcPr>
          <w:p>
            <w:pPr>
              <w:pStyle w:val="TableContents"/>
              <w:bidi w:val="0"/>
              <w:spacing w:before="0" w:after="283"/>
              <w:jc w:val="left"/>
              <w:rPr/>
            </w:pPr>
            <w:r>
              <w:rPr/>
              <w:t> </w:t>
            </w:r>
          </w:p>
        </w:tc>
      </w:tr>
      <w:tr>
        <w:trPr/>
        <w:tc>
          <w:tcPr>
            <w:tcW w:w="10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4"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16,682</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13,734</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5,218</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36,795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106,672</w:t>
            </w:r>
          </w:p>
        </w:tc>
        <w:tc>
          <w:tcPr>
            <w:tcW w:w="78" w:type="dxa"/>
            <w:tcBorders/>
            <w:vAlign w:val="bottom"/>
          </w:tcPr>
          <w:p>
            <w:pPr>
              <w:pStyle w:val="TableContents"/>
              <w:bidi w:val="0"/>
              <w:spacing w:before="0" w:after="283"/>
              <w:jc w:val="left"/>
              <w:rPr/>
            </w:pPr>
            <w:r>
              <w:rPr/>
              <w:t> </w:t>
            </w:r>
          </w:p>
        </w:tc>
      </w:tr>
      <w:tr>
        <w:trPr/>
        <w:tc>
          <w:tcPr>
            <w:tcW w:w="105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Other segment items </w:t>
            </w:r>
            <w:r>
              <w:rPr>
                <w:rFonts w:ascii="Times New Roman" w:hAnsi="Times New Roman"/>
                <w:position w:val="7"/>
                <w:sz w:val="16"/>
                <w:sz w:val="20"/>
              </w:rPr>
              <w:t>(2)</w:t>
            </w:r>
          </w:p>
        </w:tc>
        <w:tc>
          <w:tcPr>
            <w:tcW w:w="64"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33,908</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29,708</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28,594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21,989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16,548</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right"/>
              <w:rPr/>
            </w:pPr>
            <w:r>
              <w:rPr/>
              <w:t> </w:t>
            </w:r>
          </w:p>
        </w:tc>
        <w:tc>
          <w:tcPr>
            <w:tcW w:w="2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184,941</w:t>
            </w:r>
          </w:p>
        </w:tc>
        <w:tc>
          <w:tcPr>
            <w:tcW w:w="78" w:type="dxa"/>
            <w:tcBorders/>
            <w:shd w:fill="CCEEFF" w:val="clear"/>
            <w:vAlign w:val="bottom"/>
          </w:tcPr>
          <w:p>
            <w:pPr>
              <w:pStyle w:val="TableContents"/>
              <w:bidi w:val="0"/>
              <w:spacing w:before="0" w:after="283"/>
              <w:jc w:val="left"/>
              <w:rPr/>
            </w:pPr>
            <w:r>
              <w:rPr/>
              <w:t> </w:t>
            </w:r>
          </w:p>
        </w:tc>
      </w:tr>
      <w:tr>
        <w:trPr/>
        <w:tc>
          <w:tcPr>
            <w:tcW w:w="10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Segment contribution</w:t>
            </w:r>
          </w:p>
        </w:tc>
        <w:tc>
          <w:tcPr>
            <w:tcW w:w="64" w:type="dxa"/>
            <w:tcBorders/>
            <w:vAlign w:val="bottom"/>
          </w:tcPr>
          <w:p>
            <w:pPr>
              <w:pStyle w:val="TableContents"/>
              <w:bidi w:val="0"/>
              <w:spacing w:before="0" w:after="283"/>
              <w:jc w:val="righ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13,404</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12,843</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10,033</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right"/>
              <w:rPr/>
            </w:pPr>
            <w:r>
              <w:rPr/>
              <w:t> </w:t>
            </w:r>
          </w:p>
        </w:tc>
        <w:tc>
          <w:tcPr>
            <w:tcW w:w="20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(1,277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72,354</w:t>
            </w:r>
          </w:p>
        </w:tc>
        <w:tc>
          <w:tcPr>
            <w:tcW w:w="7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42"/>
        <w:gridCol w:w="64"/>
        <w:gridCol w:w="133"/>
        <w:gridCol w:w="633"/>
        <w:gridCol w:w="60"/>
        <w:gridCol w:w="66"/>
        <w:gridCol w:w="137"/>
        <w:gridCol w:w="656"/>
        <w:gridCol w:w="60"/>
        <w:gridCol w:w="65"/>
        <w:gridCol w:w="136"/>
        <w:gridCol w:w="646"/>
        <w:gridCol w:w="60"/>
        <w:gridCol w:w="60"/>
        <w:gridCol w:w="125"/>
        <w:gridCol w:w="590"/>
        <w:gridCol w:w="60"/>
        <w:gridCol w:w="60"/>
        <w:gridCol w:w="125"/>
        <w:gridCol w:w="594"/>
        <w:gridCol w:w="60"/>
        <w:gridCol w:w="60"/>
        <w:gridCol w:w="125"/>
        <w:gridCol w:w="590"/>
        <w:gridCol w:w="60"/>
        <w:gridCol w:w="61"/>
        <w:gridCol w:w="127"/>
        <w:gridCol w:w="603"/>
        <w:gridCol w:w="60"/>
        <w:gridCol w:w="101"/>
        <w:gridCol w:w="210"/>
        <w:gridCol w:w="999"/>
        <w:gridCol w:w="60"/>
        <w:gridCol w:w="60"/>
        <w:gridCol w:w="125"/>
        <w:gridCol w:w="590"/>
        <w:gridCol w:w="80"/>
        <w:gridCol w:w="60"/>
        <w:gridCol w:w="125"/>
        <w:gridCol w:w="695"/>
        <w:gridCol w:w="82"/>
      </w:tblGrid>
      <w:tr>
        <w:trPr/>
        <w:tc>
          <w:tcPr>
            <w:tcW w:w="942" w:type="dxa"/>
            <w:tcBorders/>
            <w:vAlign w:val="bottom"/>
          </w:tcPr>
          <w:p>
            <w:pPr>
              <w:pStyle w:val="TableContents"/>
              <w:bidi w:val="0"/>
              <w:spacing w:before="0" w:after="283"/>
              <w:jc w:val="left"/>
              <w:rPr/>
            </w:pPr>
            <w:r>
              <w:rPr/>
              <w:t> </w:t>
            </w:r>
          </w:p>
        </w:tc>
        <w:tc>
          <w:tcPr>
            <w:tcW w:w="9181" w:type="dxa"/>
            <w:gridSpan w:val="39"/>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September 30, 2024</w:t>
            </w:r>
          </w:p>
        </w:tc>
        <w:tc>
          <w:tcPr>
            <w:tcW w:w="82" w:type="dxa"/>
            <w:tcBorders/>
            <w:vAlign w:val="bottom"/>
          </w:tcPr>
          <w:p>
            <w:pPr>
              <w:pStyle w:val="TableContents"/>
              <w:bidi w:val="0"/>
              <w:spacing w:before="0" w:after="283"/>
              <w:jc w:val="left"/>
              <w:rPr/>
            </w:pPr>
            <w:r>
              <w:rPr/>
              <w:t> </w:t>
            </w:r>
          </w:p>
        </w:tc>
      </w:tr>
      <w:tr>
        <w:trPr/>
        <w:tc>
          <w:tcPr>
            <w:tcW w:w="942" w:type="dxa"/>
            <w:tcBorders/>
            <w:vAlign w:val="bottom"/>
          </w:tcPr>
          <w:p>
            <w:pPr>
              <w:pStyle w:val="TableContents"/>
              <w:bidi w:val="0"/>
              <w:spacing w:before="0" w:after="283"/>
              <w:jc w:val="left"/>
              <w:rPr/>
            </w:pPr>
            <w:r>
              <w:rPr/>
              <w:t> </w:t>
            </w:r>
          </w:p>
        </w:tc>
        <w:tc>
          <w:tcPr>
            <w:tcW w:w="6016" w:type="dxa"/>
            <w:gridSpan w:val="2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 Skin</w:t>
            </w:r>
          </w:p>
        </w:tc>
        <w:tc>
          <w:tcPr>
            <w:tcW w:w="60" w:type="dxa"/>
            <w:tcBorders/>
            <w:vAlign w:val="bottom"/>
          </w:tcPr>
          <w:p>
            <w:pPr>
              <w:pStyle w:val="TableContents"/>
              <w:bidi w:val="0"/>
              <w:spacing w:before="0" w:after="283"/>
              <w:jc w:val="left"/>
              <w:rPr/>
            </w:pPr>
            <w:r>
              <w:rPr/>
              <w:t> </w:t>
            </w:r>
          </w:p>
        </w:tc>
        <w:tc>
          <w:tcPr>
            <w:tcW w:w="2145"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Rhyz </w:t>
            </w:r>
          </w:p>
        </w:tc>
        <w:tc>
          <w:tcPr>
            <w:tcW w:w="80" w:type="dxa"/>
            <w:tcBorders/>
            <w:vAlign w:val="bottom"/>
          </w:tcPr>
          <w:p>
            <w:pPr>
              <w:pStyle w:val="TableContents"/>
              <w:bidi w:val="0"/>
              <w:spacing w:before="0" w:after="283"/>
              <w:jc w:val="left"/>
              <w:rPr/>
            </w:pPr>
            <w:r>
              <w:rPr/>
              <w:t> </w:t>
            </w:r>
          </w:p>
        </w:tc>
        <w:tc>
          <w:tcPr>
            <w:tcW w:w="880" w:type="dxa"/>
            <w:gridSpan w:val="3"/>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r>
      <w:tr>
        <w:trPr/>
        <w:tc>
          <w:tcPr>
            <w:tcW w:w="942" w:type="dxa"/>
            <w:tcBorders/>
            <w:vAlign w:val="bottom"/>
          </w:tcPr>
          <w:p>
            <w:pPr>
              <w:pStyle w:val="TableContents"/>
              <w:bidi w:val="0"/>
              <w:spacing w:before="0" w:after="283"/>
              <w:jc w:val="left"/>
              <w:rPr/>
            </w:pPr>
            <w:r>
              <w:rPr/>
              <w:t> </w:t>
            </w:r>
          </w:p>
        </w:tc>
        <w:tc>
          <w:tcPr>
            <w:tcW w:w="8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Americas</w:t>
            </w:r>
          </w:p>
        </w:tc>
        <w:tc>
          <w:tcPr>
            <w:tcW w:w="60" w:type="dxa"/>
            <w:tcBorders/>
            <w:vAlign w:val="bottom"/>
          </w:tcPr>
          <w:p>
            <w:pPr>
              <w:pStyle w:val="TableContents"/>
              <w:bidi w:val="0"/>
              <w:spacing w:before="0" w:after="283"/>
              <w:jc w:val="left"/>
              <w:rPr/>
            </w:pPr>
            <w:r>
              <w:rPr/>
              <w:t> </w:t>
            </w:r>
          </w:p>
        </w:tc>
        <w:tc>
          <w:tcPr>
            <w:tcW w:w="85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Southeast Asia/</w:t>
            </w:r>
          </w:p>
          <w:p>
            <w:pPr>
              <w:pStyle w:val="TableContents"/>
              <w:bidi w:val="0"/>
              <w:spacing w:before="0" w:after="0"/>
              <w:jc w:val="center"/>
              <w:rPr>
                <w:rFonts w:ascii="Times New Roman" w:hAnsi="Times New Roman"/>
                <w:b/>
                <w:sz w:val="20"/>
              </w:rPr>
            </w:pPr>
            <w:r>
              <w:rPr>
                <w:rFonts w:ascii="Times New Roman" w:hAnsi="Times New Roman"/>
                <w:b/>
                <w:sz w:val="20"/>
              </w:rPr>
              <w:t>Pacific</w:t>
            </w:r>
          </w:p>
        </w:tc>
        <w:tc>
          <w:tcPr>
            <w:tcW w:w="60" w:type="dxa"/>
            <w:tcBorders/>
            <w:vAlign w:val="bottom"/>
          </w:tcPr>
          <w:p>
            <w:pPr>
              <w:pStyle w:val="TableContents"/>
              <w:bidi w:val="0"/>
              <w:spacing w:before="0" w:after="283"/>
              <w:jc w:val="left"/>
              <w:rPr/>
            </w:pPr>
            <w:r>
              <w:rPr/>
              <w:t> </w:t>
            </w:r>
          </w:p>
        </w:tc>
        <w:tc>
          <w:tcPr>
            <w:tcW w:w="847"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Mainland </w:t>
            </w:r>
          </w:p>
          <w:p>
            <w:pPr>
              <w:pStyle w:val="TableContents"/>
              <w:bidi w:val="0"/>
              <w:spacing w:before="0" w:after="0"/>
              <w:jc w:val="center"/>
              <w:rPr>
                <w:rFonts w:ascii="Times New Roman" w:hAnsi="Times New Roman"/>
                <w:b/>
                <w:sz w:val="20"/>
              </w:rPr>
            </w:pPr>
            <w:r>
              <w:rPr>
                <w:rFonts w:ascii="Times New Roman" w:hAnsi="Times New Roman"/>
                <w:b/>
                <w:sz w:val="20"/>
              </w:rPr>
              <w:t>China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Japan</w:t>
            </w:r>
          </w:p>
        </w:tc>
        <w:tc>
          <w:tcPr>
            <w:tcW w:w="60" w:type="dxa"/>
            <w:tcBorders/>
            <w:vAlign w:val="bottom"/>
          </w:tcPr>
          <w:p>
            <w:pPr>
              <w:pStyle w:val="TableContents"/>
              <w:bidi w:val="0"/>
              <w:spacing w:before="0" w:after="283"/>
              <w:jc w:val="left"/>
              <w:rPr/>
            </w:pPr>
            <w:r>
              <w:rPr/>
              <w:t> </w:t>
            </w:r>
          </w:p>
        </w:tc>
        <w:tc>
          <w:tcPr>
            <w:tcW w:w="77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Europe &amp;</w:t>
            </w:r>
          </w:p>
          <w:p>
            <w:pPr>
              <w:pStyle w:val="TableContents"/>
              <w:bidi w:val="0"/>
              <w:spacing w:before="0" w:after="0"/>
              <w:jc w:val="center"/>
              <w:rPr>
                <w:rFonts w:ascii="Times New Roman" w:hAnsi="Times New Roman"/>
                <w:b/>
                <w:sz w:val="20"/>
              </w:rPr>
            </w:pPr>
            <w:r>
              <w:rPr>
                <w:rFonts w:ascii="Times New Roman" w:hAnsi="Times New Roman"/>
                <w:b/>
                <w:sz w:val="20"/>
              </w:rPr>
              <w:t>Africa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South </w:t>
            </w:r>
          </w:p>
          <w:p>
            <w:pPr>
              <w:pStyle w:val="TableContents"/>
              <w:bidi w:val="0"/>
              <w:spacing w:before="0" w:after="0"/>
              <w:jc w:val="center"/>
              <w:rPr>
                <w:rFonts w:ascii="Times New Roman" w:hAnsi="Times New Roman"/>
                <w:b/>
                <w:sz w:val="20"/>
              </w:rPr>
            </w:pPr>
            <w:r>
              <w:rPr>
                <w:rFonts w:ascii="Times New Roman" w:hAnsi="Times New Roman"/>
                <w:b/>
                <w:sz w:val="20"/>
              </w:rPr>
              <w:t>Korea</w:t>
            </w:r>
          </w:p>
        </w:tc>
        <w:tc>
          <w:tcPr>
            <w:tcW w:w="60" w:type="dxa"/>
            <w:tcBorders/>
            <w:vAlign w:val="bottom"/>
          </w:tcPr>
          <w:p>
            <w:pPr>
              <w:pStyle w:val="TableContents"/>
              <w:bidi w:val="0"/>
              <w:spacing w:before="0" w:after="283"/>
              <w:jc w:val="left"/>
              <w:rPr/>
            </w:pPr>
            <w:r>
              <w:rPr/>
              <w:t> </w:t>
            </w:r>
          </w:p>
        </w:tc>
        <w:tc>
          <w:tcPr>
            <w:tcW w:w="791"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Hong Kong/</w:t>
            </w:r>
          </w:p>
          <w:p>
            <w:pPr>
              <w:pStyle w:val="TableContents"/>
              <w:bidi w:val="0"/>
              <w:spacing w:before="0" w:after="0"/>
              <w:jc w:val="center"/>
              <w:rPr>
                <w:rFonts w:ascii="Times New Roman" w:hAnsi="Times New Roman"/>
                <w:b/>
                <w:sz w:val="20"/>
              </w:rPr>
            </w:pPr>
            <w:r>
              <w:rPr>
                <w:rFonts w:ascii="Times New Roman" w:hAnsi="Times New Roman"/>
                <w:b/>
                <w:sz w:val="20"/>
              </w:rPr>
              <w:t>Taiwan</w:t>
            </w:r>
          </w:p>
        </w:tc>
        <w:tc>
          <w:tcPr>
            <w:tcW w:w="60" w:type="dxa"/>
            <w:tcBorders/>
            <w:vAlign w:val="bottom"/>
          </w:tcPr>
          <w:p>
            <w:pPr>
              <w:pStyle w:val="TableContents"/>
              <w:bidi w:val="0"/>
              <w:spacing w:before="0" w:after="283"/>
              <w:jc w:val="left"/>
              <w:rPr/>
            </w:pPr>
            <w:r>
              <w:rPr/>
              <w:t> </w:t>
            </w:r>
          </w:p>
        </w:tc>
        <w:tc>
          <w:tcPr>
            <w:tcW w:w="131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Manufacturing </w:t>
            </w:r>
            <w:r>
              <w:rPr>
                <w:rFonts w:ascii="Times New Roman" w:hAnsi="Times New Roman"/>
                <w:b/>
                <w:position w:val="7"/>
                <w:sz w:val="16"/>
                <w:sz w:val="20"/>
              </w:rPr>
              <w:t>(1)</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Rhyz </w:t>
            </w:r>
          </w:p>
          <w:p>
            <w:pPr>
              <w:pStyle w:val="TableContents"/>
              <w:bidi w:val="0"/>
              <w:spacing w:before="0" w:after="0"/>
              <w:jc w:val="center"/>
              <w:rPr>
                <w:rFonts w:ascii="Times New Roman" w:hAnsi="Times New Roman"/>
                <w:b/>
                <w:sz w:val="20"/>
              </w:rPr>
            </w:pPr>
            <w:r>
              <w:rPr>
                <w:rFonts w:ascii="Times New Roman" w:hAnsi="Times New Roman"/>
                <w:b/>
                <w:sz w:val="20"/>
              </w:rPr>
              <w:t>Other</w:t>
            </w:r>
          </w:p>
        </w:tc>
        <w:tc>
          <w:tcPr>
            <w:tcW w:w="8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Total </w:t>
            </w:r>
          </w:p>
          <w:p>
            <w:pPr>
              <w:pStyle w:val="TableContents"/>
              <w:bidi w:val="0"/>
              <w:spacing w:before="0" w:after="0"/>
              <w:jc w:val="center"/>
              <w:rPr>
                <w:rFonts w:ascii="Times New Roman" w:hAnsi="Times New Roman"/>
                <w:b/>
                <w:sz w:val="20"/>
              </w:rPr>
            </w:pPr>
            <w:r>
              <w:rPr>
                <w:rFonts w:ascii="Times New Roman" w:hAnsi="Times New Roman"/>
                <w:b/>
                <w:sz w:val="20"/>
              </w:rPr>
              <w:t>Segments</w:t>
            </w:r>
          </w:p>
        </w:tc>
        <w:tc>
          <w:tcPr>
            <w:tcW w:w="82" w:type="dxa"/>
            <w:tcBorders/>
            <w:vAlign w:val="bottom"/>
          </w:tcPr>
          <w:p>
            <w:pPr>
              <w:pStyle w:val="TableContents"/>
              <w:bidi w:val="0"/>
              <w:spacing w:before="0" w:after="283"/>
              <w:jc w:val="left"/>
              <w:rPr/>
            </w:pPr>
            <w:r>
              <w:rPr/>
              <w:t> </w:t>
            </w:r>
          </w:p>
        </w:tc>
      </w:tr>
      <w:tr>
        <w:trPr/>
        <w:tc>
          <w:tcPr>
            <w:tcW w:w="9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4"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77,194</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59,515</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38,577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45,201</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33,749</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51,773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427,627</w:t>
            </w:r>
          </w:p>
        </w:tc>
        <w:tc>
          <w:tcPr>
            <w:tcW w:w="82" w:type="dxa"/>
            <w:tcBorders/>
            <w:shd w:fill="CCEEFF" w:val="clear"/>
            <w:vAlign w:val="bottom"/>
          </w:tcPr>
          <w:p>
            <w:pPr>
              <w:pStyle w:val="TableContents"/>
              <w:bidi w:val="0"/>
              <w:spacing w:before="0" w:after="283"/>
              <w:jc w:val="left"/>
              <w:rPr/>
            </w:pPr>
            <w:r>
              <w:rPr/>
              <w:t> </w:t>
            </w:r>
          </w:p>
        </w:tc>
      </w:tr>
      <w:tr>
        <w:trPr/>
        <w:tc>
          <w:tcPr>
            <w:tcW w:w="94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Cost of sales</w:t>
            </w:r>
          </w:p>
        </w:tc>
        <w:tc>
          <w:tcPr>
            <w:tcW w:w="64"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20,335</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16,708</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9,768</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6,595</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127,797</w:t>
            </w:r>
          </w:p>
        </w:tc>
        <w:tc>
          <w:tcPr>
            <w:tcW w:w="82" w:type="dxa"/>
            <w:tcBorders/>
            <w:vAlign w:val="bottom"/>
          </w:tcPr>
          <w:p>
            <w:pPr>
              <w:pStyle w:val="TableContents"/>
              <w:bidi w:val="0"/>
              <w:spacing w:before="0" w:after="283"/>
              <w:jc w:val="left"/>
              <w:rPr/>
            </w:pPr>
            <w:r>
              <w:rPr/>
              <w:t> </w:t>
            </w:r>
          </w:p>
        </w:tc>
      </w:tr>
      <w:tr>
        <w:trPr/>
        <w:tc>
          <w:tcPr>
            <w:tcW w:w="942"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Other segment items </w:t>
            </w:r>
            <w:r>
              <w:rPr>
                <w:rFonts w:ascii="Times New Roman" w:hAnsi="Times New Roman"/>
                <w:position w:val="7"/>
                <w:sz w:val="16"/>
                <w:sz w:val="20"/>
              </w:rPr>
              <w:t>(2)</w:t>
            </w:r>
          </w:p>
        </w:tc>
        <w:tc>
          <w:tcPr>
            <w:tcW w:w="64"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40,978</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32,810</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23,743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21,150</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17,929</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22,007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226,864</w:t>
            </w:r>
          </w:p>
        </w:tc>
        <w:tc>
          <w:tcPr>
            <w:tcW w:w="82" w:type="dxa"/>
            <w:tcBorders/>
            <w:shd w:fill="CCEEFF" w:val="clear"/>
            <w:vAlign w:val="bottom"/>
          </w:tcPr>
          <w:p>
            <w:pPr>
              <w:pStyle w:val="TableContents"/>
              <w:bidi w:val="0"/>
              <w:spacing w:before="0" w:after="283"/>
              <w:jc w:val="left"/>
              <w:rPr/>
            </w:pPr>
            <w:r>
              <w:rPr/>
              <w:t> </w:t>
            </w:r>
          </w:p>
        </w:tc>
      </w:tr>
      <w:tr>
        <w:trPr/>
        <w:tc>
          <w:tcPr>
            <w:tcW w:w="94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Segment contribution</w:t>
            </w:r>
          </w:p>
        </w:tc>
        <w:tc>
          <w:tcPr>
            <w:tcW w:w="64" w:type="dxa"/>
            <w:tcBorders/>
            <w:vAlign w:val="bottom"/>
          </w:tcPr>
          <w:p>
            <w:pPr>
              <w:pStyle w:val="TableContents"/>
              <w:bidi w:val="0"/>
              <w:spacing w:before="0" w:after="283"/>
              <w:jc w:val="righ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15,881</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9,997</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3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6" w:type="dxa"/>
            <w:tcBorders>
              <w:bottom w:val="double" w:sz="8"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4" w:type="dxa"/>
            <w:tcBorders>
              <w:bottom w:val="double" w:sz="8"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14,283</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bottom w:val="double" w:sz="8" w:space="0" w:color="000000"/>
            </w:tcBorders>
            <w:tcMar>
              <w:bottom w:w="3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3" w:type="dxa"/>
            <w:tcBorders>
              <w:bottom w:val="double" w:sz="8"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9,225</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0" w:type="dxa"/>
            <w:tcBorders>
              <w:bottom w:val="double" w:sz="8" w:space="0" w:color="000000"/>
            </w:tcBorders>
            <w:tcMar>
              <w:bottom w:w="3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(2,923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72,966</w:t>
            </w:r>
          </w:p>
        </w:tc>
        <w:tc>
          <w:tcPr>
            <w:tcW w:w="8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665" w:type="dxa"/>
        <w:jc w:val="left"/>
        <w:tblInd w:w="0" w:type="dxa"/>
        <w:tblLayout w:type="fixed"/>
        <w:tblCellMar>
          <w:top w:w="0" w:type="dxa"/>
          <w:left w:w="0" w:type="dxa"/>
          <w:bottom w:w="0" w:type="dxa"/>
          <w:right w:w="0" w:type="dxa"/>
        </w:tblCellMar>
      </w:tblPr>
      <w:tblGrid>
        <w:gridCol w:w="875"/>
        <w:gridCol w:w="60"/>
        <w:gridCol w:w="125"/>
        <w:gridCol w:w="695"/>
        <w:gridCol w:w="60"/>
        <w:gridCol w:w="60"/>
        <w:gridCol w:w="125"/>
        <w:gridCol w:w="695"/>
        <w:gridCol w:w="60"/>
        <w:gridCol w:w="60"/>
        <w:gridCol w:w="125"/>
        <w:gridCol w:w="695"/>
        <w:gridCol w:w="60"/>
        <w:gridCol w:w="60"/>
        <w:gridCol w:w="125"/>
        <w:gridCol w:w="695"/>
        <w:gridCol w:w="60"/>
        <w:gridCol w:w="60"/>
        <w:gridCol w:w="125"/>
        <w:gridCol w:w="695"/>
        <w:gridCol w:w="60"/>
        <w:gridCol w:w="60"/>
        <w:gridCol w:w="125"/>
        <w:gridCol w:w="695"/>
        <w:gridCol w:w="60"/>
        <w:gridCol w:w="60"/>
        <w:gridCol w:w="125"/>
        <w:gridCol w:w="590"/>
        <w:gridCol w:w="60"/>
        <w:gridCol w:w="88"/>
        <w:gridCol w:w="183"/>
        <w:gridCol w:w="1024"/>
        <w:gridCol w:w="60"/>
        <w:gridCol w:w="60"/>
        <w:gridCol w:w="125"/>
        <w:gridCol w:w="590"/>
        <w:gridCol w:w="80"/>
        <w:gridCol w:w="60"/>
        <w:gridCol w:w="125"/>
        <w:gridCol w:w="845"/>
        <w:gridCol w:w="75"/>
      </w:tblGrid>
      <w:tr>
        <w:trPr/>
        <w:tc>
          <w:tcPr>
            <w:tcW w:w="875" w:type="dxa"/>
            <w:tcBorders/>
            <w:vAlign w:val="bottom"/>
          </w:tcPr>
          <w:p>
            <w:pPr>
              <w:pStyle w:val="TableContents"/>
              <w:bidi w:val="0"/>
              <w:spacing w:before="0" w:after="283"/>
              <w:jc w:val="left"/>
              <w:rPr/>
            </w:pPr>
            <w:r>
              <w:rPr/>
              <w:t> </w:t>
            </w:r>
          </w:p>
        </w:tc>
        <w:tc>
          <w:tcPr>
            <w:tcW w:w="9715" w:type="dxa"/>
            <w:gridSpan w:val="39"/>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 September 30, 2025</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415" w:type="dxa"/>
            <w:gridSpan w:val="2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 Skin</w:t>
            </w:r>
          </w:p>
        </w:tc>
        <w:tc>
          <w:tcPr>
            <w:tcW w:w="60" w:type="dxa"/>
            <w:tcBorders/>
            <w:vAlign w:val="bottom"/>
          </w:tcPr>
          <w:p>
            <w:pPr>
              <w:pStyle w:val="TableContents"/>
              <w:bidi w:val="0"/>
              <w:spacing w:before="0" w:after="283"/>
              <w:jc w:val="left"/>
              <w:rPr/>
            </w:pPr>
            <w:r>
              <w:rPr/>
              <w:t> </w:t>
            </w:r>
          </w:p>
        </w:tc>
        <w:tc>
          <w:tcPr>
            <w:tcW w:w="2130"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Rhyz </w:t>
            </w:r>
          </w:p>
        </w:tc>
        <w:tc>
          <w:tcPr>
            <w:tcW w:w="80" w:type="dxa"/>
            <w:tcBorders/>
            <w:vAlign w:val="bottom"/>
          </w:tcPr>
          <w:p>
            <w:pPr>
              <w:pStyle w:val="TableContents"/>
              <w:bidi w:val="0"/>
              <w:spacing w:before="0" w:after="283"/>
              <w:jc w:val="left"/>
              <w:rPr/>
            </w:pPr>
            <w:r>
              <w:rPr/>
              <w:t> </w:t>
            </w:r>
          </w:p>
        </w:tc>
        <w:tc>
          <w:tcPr>
            <w:tcW w:w="103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Americas</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Southeast Asia/</w:t>
            </w:r>
          </w:p>
          <w:p>
            <w:pPr>
              <w:pStyle w:val="TableContents"/>
              <w:bidi w:val="0"/>
              <w:spacing w:before="0" w:after="0"/>
              <w:jc w:val="center"/>
              <w:rPr>
                <w:rFonts w:ascii="Times New Roman" w:hAnsi="Times New Roman"/>
                <w:b/>
                <w:sz w:val="20"/>
              </w:rPr>
            </w:pPr>
            <w:r>
              <w:rPr>
                <w:rFonts w:ascii="Times New Roman" w:hAnsi="Times New Roman"/>
                <w:b/>
                <w:sz w:val="20"/>
              </w:rPr>
              <w:t>Pacific</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Mainland </w:t>
            </w:r>
          </w:p>
          <w:p>
            <w:pPr>
              <w:pStyle w:val="TableContents"/>
              <w:bidi w:val="0"/>
              <w:spacing w:before="0" w:after="0"/>
              <w:jc w:val="center"/>
              <w:rPr>
                <w:rFonts w:ascii="Times New Roman" w:hAnsi="Times New Roman"/>
                <w:b/>
                <w:sz w:val="20"/>
              </w:rPr>
            </w:pPr>
            <w:r>
              <w:rPr>
                <w:rFonts w:ascii="Times New Roman" w:hAnsi="Times New Roman"/>
                <w:b/>
                <w:sz w:val="20"/>
              </w:rPr>
              <w:t>China</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Japan</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Europe &amp;</w:t>
            </w:r>
          </w:p>
          <w:p>
            <w:pPr>
              <w:pStyle w:val="TableContents"/>
              <w:bidi w:val="0"/>
              <w:spacing w:before="0" w:after="0"/>
              <w:jc w:val="center"/>
              <w:rPr>
                <w:rFonts w:ascii="Times New Roman" w:hAnsi="Times New Roman"/>
                <w:b/>
                <w:sz w:val="20"/>
              </w:rPr>
            </w:pPr>
            <w:r>
              <w:rPr>
                <w:rFonts w:ascii="Times New Roman" w:hAnsi="Times New Roman"/>
                <w:b/>
                <w:sz w:val="20"/>
              </w:rPr>
              <w:t>Africa</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South </w:t>
            </w:r>
          </w:p>
          <w:p>
            <w:pPr>
              <w:pStyle w:val="TableContents"/>
              <w:bidi w:val="0"/>
              <w:spacing w:before="0" w:after="0"/>
              <w:jc w:val="center"/>
              <w:rPr>
                <w:rFonts w:ascii="Times New Roman" w:hAnsi="Times New Roman"/>
                <w:b/>
                <w:sz w:val="20"/>
              </w:rPr>
            </w:pPr>
            <w:r>
              <w:rPr>
                <w:rFonts w:ascii="Times New Roman" w:hAnsi="Times New Roman"/>
                <w:b/>
                <w:sz w:val="20"/>
              </w:rPr>
              <w:t>Korea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Hong Kong/</w:t>
            </w:r>
          </w:p>
          <w:p>
            <w:pPr>
              <w:pStyle w:val="TableContents"/>
              <w:bidi w:val="0"/>
              <w:spacing w:before="0" w:after="0"/>
              <w:jc w:val="center"/>
              <w:rPr>
                <w:rFonts w:ascii="Times New Roman" w:hAnsi="Times New Roman"/>
                <w:b/>
                <w:sz w:val="20"/>
              </w:rPr>
            </w:pPr>
            <w:r>
              <w:rPr>
                <w:rFonts w:ascii="Times New Roman" w:hAnsi="Times New Roman"/>
                <w:b/>
                <w:sz w:val="20"/>
              </w:rPr>
              <w:t>Taiwan</w:t>
            </w:r>
          </w:p>
        </w:tc>
        <w:tc>
          <w:tcPr>
            <w:tcW w:w="60" w:type="dxa"/>
            <w:tcBorders/>
            <w:vAlign w:val="bottom"/>
          </w:tcPr>
          <w:p>
            <w:pPr>
              <w:pStyle w:val="TableContents"/>
              <w:bidi w:val="0"/>
              <w:spacing w:before="0" w:after="283"/>
              <w:jc w:val="left"/>
              <w:rPr/>
            </w:pPr>
            <w:r>
              <w:rPr/>
              <w:t> </w:t>
            </w:r>
          </w:p>
        </w:tc>
        <w:tc>
          <w:tcPr>
            <w:tcW w:w="129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Manufacturing </w:t>
            </w:r>
            <w:r>
              <w:rPr>
                <w:rFonts w:ascii="Times New Roman" w:hAnsi="Times New Roman"/>
                <w:b/>
                <w:position w:val="7"/>
                <w:sz w:val="16"/>
                <w:sz w:val="20"/>
              </w:rPr>
              <w:t>(1)</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Rhyz </w:t>
            </w:r>
          </w:p>
          <w:p>
            <w:pPr>
              <w:pStyle w:val="TableContents"/>
              <w:bidi w:val="0"/>
              <w:spacing w:before="0" w:after="0"/>
              <w:jc w:val="center"/>
              <w:rPr>
                <w:rFonts w:ascii="Times New Roman" w:hAnsi="Times New Roman"/>
                <w:b/>
                <w:sz w:val="20"/>
              </w:rPr>
            </w:pPr>
            <w:r>
              <w:rPr>
                <w:rFonts w:ascii="Times New Roman" w:hAnsi="Times New Roman"/>
                <w:b/>
                <w:sz w:val="20"/>
              </w:rPr>
              <w:t>Other</w:t>
            </w:r>
          </w:p>
        </w:tc>
        <w:tc>
          <w:tcPr>
            <w:tcW w:w="80" w:type="dxa"/>
            <w:tcBorders/>
            <w:vAlign w:val="bottom"/>
          </w:tcPr>
          <w:p>
            <w:pPr>
              <w:pStyle w:val="TableContents"/>
              <w:bidi w:val="0"/>
              <w:spacing w:before="0" w:after="283"/>
              <w:jc w:val="left"/>
              <w:rPr/>
            </w:pPr>
            <w:r>
              <w:rPr/>
              <w:t> </w:t>
            </w:r>
          </w:p>
        </w:tc>
        <w:tc>
          <w:tcPr>
            <w:tcW w:w="10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Total </w:t>
            </w:r>
          </w:p>
          <w:p>
            <w:pPr>
              <w:pStyle w:val="TableContents"/>
              <w:bidi w:val="0"/>
              <w:spacing w:before="0" w:after="0"/>
              <w:jc w:val="center"/>
              <w:rPr>
                <w:rFonts w:ascii="Times New Roman" w:hAnsi="Times New Roman"/>
                <w:b/>
                <w:sz w:val="20"/>
              </w:rPr>
            </w:pPr>
            <w:r>
              <w:rPr>
                <w:rFonts w:ascii="Times New Roman" w:hAnsi="Times New Roman"/>
                <w:b/>
                <w:sz w:val="20"/>
              </w:rPr>
              <w:t>Segments</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143,518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131,860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101,785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87,773</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163,338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1,113,639</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52,849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38,758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26,152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27,109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27,622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20,451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14,932</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128,733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339,870</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Other segment items </w:t>
            </w:r>
            <w:r>
              <w:rPr>
                <w:rFonts w:ascii="Times New Roman" w:hAnsi="Times New Roman"/>
                <w:position w:val="7"/>
                <w:sz w:val="16"/>
                <w:sz w:val="20"/>
              </w:rPr>
              <w:t>(2)</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107,182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85,797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67,707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64,311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51,387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44,789</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543,272</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Segment contribution</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31,569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37,044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16,418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29,947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28,052</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(3,793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230,497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725" w:type="dxa"/>
        <w:jc w:val="left"/>
        <w:tblInd w:w="0" w:type="dxa"/>
        <w:tblLayout w:type="fixed"/>
        <w:tblCellMar>
          <w:top w:w="0" w:type="dxa"/>
          <w:left w:w="0" w:type="dxa"/>
          <w:bottom w:w="0" w:type="dxa"/>
          <w:right w:w="0" w:type="dxa"/>
        </w:tblCellMar>
      </w:tblPr>
      <w:tblGrid>
        <w:gridCol w:w="875"/>
        <w:gridCol w:w="60"/>
        <w:gridCol w:w="125"/>
        <w:gridCol w:w="695"/>
        <w:gridCol w:w="60"/>
        <w:gridCol w:w="60"/>
        <w:gridCol w:w="125"/>
        <w:gridCol w:w="695"/>
        <w:gridCol w:w="60"/>
        <w:gridCol w:w="60"/>
        <w:gridCol w:w="125"/>
        <w:gridCol w:w="695"/>
        <w:gridCol w:w="60"/>
        <w:gridCol w:w="60"/>
        <w:gridCol w:w="125"/>
        <w:gridCol w:w="695"/>
        <w:gridCol w:w="60"/>
        <w:gridCol w:w="60"/>
        <w:gridCol w:w="125"/>
        <w:gridCol w:w="695"/>
        <w:gridCol w:w="60"/>
        <w:gridCol w:w="60"/>
        <w:gridCol w:w="125"/>
        <w:gridCol w:w="695"/>
        <w:gridCol w:w="60"/>
        <w:gridCol w:w="60"/>
        <w:gridCol w:w="125"/>
        <w:gridCol w:w="590"/>
        <w:gridCol w:w="60"/>
        <w:gridCol w:w="88"/>
        <w:gridCol w:w="183"/>
        <w:gridCol w:w="1024"/>
        <w:gridCol w:w="60"/>
        <w:gridCol w:w="60"/>
        <w:gridCol w:w="125"/>
        <w:gridCol w:w="650"/>
        <w:gridCol w:w="80"/>
        <w:gridCol w:w="60"/>
        <w:gridCol w:w="125"/>
        <w:gridCol w:w="845"/>
        <w:gridCol w:w="75"/>
      </w:tblGrid>
      <w:tr>
        <w:trPr/>
        <w:tc>
          <w:tcPr>
            <w:tcW w:w="875" w:type="dxa"/>
            <w:tcBorders/>
            <w:vAlign w:val="bottom"/>
          </w:tcPr>
          <w:p>
            <w:pPr>
              <w:pStyle w:val="TableContents"/>
              <w:bidi w:val="0"/>
              <w:spacing w:before="0" w:after="283"/>
              <w:jc w:val="left"/>
              <w:rPr/>
            </w:pPr>
            <w:r>
              <w:rPr/>
              <w:t> </w:t>
            </w:r>
          </w:p>
        </w:tc>
        <w:tc>
          <w:tcPr>
            <w:tcW w:w="9775" w:type="dxa"/>
            <w:gridSpan w:val="39"/>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 September 30, 2024</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415" w:type="dxa"/>
            <w:gridSpan w:val="2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 Skin</w:t>
            </w:r>
          </w:p>
        </w:tc>
        <w:tc>
          <w:tcPr>
            <w:tcW w:w="60" w:type="dxa"/>
            <w:tcBorders/>
            <w:vAlign w:val="bottom"/>
          </w:tcPr>
          <w:p>
            <w:pPr>
              <w:pStyle w:val="TableContents"/>
              <w:bidi w:val="0"/>
              <w:spacing w:before="0" w:after="283"/>
              <w:jc w:val="left"/>
              <w:rPr/>
            </w:pPr>
            <w:r>
              <w:rPr/>
              <w:t> </w:t>
            </w:r>
          </w:p>
        </w:tc>
        <w:tc>
          <w:tcPr>
            <w:tcW w:w="2190"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Rhyz </w:t>
            </w:r>
          </w:p>
        </w:tc>
        <w:tc>
          <w:tcPr>
            <w:tcW w:w="80" w:type="dxa"/>
            <w:tcBorders/>
            <w:vAlign w:val="bottom"/>
          </w:tcPr>
          <w:p>
            <w:pPr>
              <w:pStyle w:val="TableContents"/>
              <w:bidi w:val="0"/>
              <w:spacing w:before="0" w:after="283"/>
              <w:jc w:val="left"/>
              <w:rPr/>
            </w:pPr>
            <w:r>
              <w:rPr/>
              <w:t> </w:t>
            </w:r>
          </w:p>
        </w:tc>
        <w:tc>
          <w:tcPr>
            <w:tcW w:w="103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Americas</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Southeast Asia/</w:t>
            </w:r>
          </w:p>
          <w:p>
            <w:pPr>
              <w:pStyle w:val="TableContents"/>
              <w:bidi w:val="0"/>
              <w:spacing w:before="0" w:after="0"/>
              <w:jc w:val="center"/>
              <w:rPr>
                <w:rFonts w:ascii="Times New Roman" w:hAnsi="Times New Roman"/>
                <w:b/>
                <w:sz w:val="20"/>
              </w:rPr>
            </w:pPr>
            <w:r>
              <w:rPr>
                <w:rFonts w:ascii="Times New Roman" w:hAnsi="Times New Roman"/>
                <w:b/>
                <w:sz w:val="20"/>
              </w:rPr>
              <w:t>Pacific</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Mainland </w:t>
            </w:r>
          </w:p>
          <w:p>
            <w:pPr>
              <w:pStyle w:val="TableContents"/>
              <w:bidi w:val="0"/>
              <w:spacing w:before="0" w:after="0"/>
              <w:jc w:val="center"/>
              <w:rPr>
                <w:rFonts w:ascii="Times New Roman" w:hAnsi="Times New Roman"/>
                <w:b/>
                <w:sz w:val="20"/>
              </w:rPr>
            </w:pPr>
            <w:r>
              <w:rPr>
                <w:rFonts w:ascii="Times New Roman" w:hAnsi="Times New Roman"/>
                <w:b/>
                <w:sz w:val="20"/>
              </w:rPr>
              <w:t>China</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Japan</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Europe &amp;</w:t>
            </w:r>
          </w:p>
          <w:p>
            <w:pPr>
              <w:pStyle w:val="TableContents"/>
              <w:bidi w:val="0"/>
              <w:spacing w:before="0" w:after="0"/>
              <w:jc w:val="center"/>
              <w:rPr>
                <w:rFonts w:ascii="Times New Roman" w:hAnsi="Times New Roman"/>
                <w:b/>
                <w:sz w:val="20"/>
              </w:rPr>
            </w:pPr>
            <w:r>
              <w:rPr>
                <w:rFonts w:ascii="Times New Roman" w:hAnsi="Times New Roman"/>
                <w:b/>
                <w:sz w:val="20"/>
              </w:rPr>
              <w:t>Africa</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South </w:t>
            </w:r>
          </w:p>
          <w:p>
            <w:pPr>
              <w:pStyle w:val="TableContents"/>
              <w:bidi w:val="0"/>
              <w:spacing w:before="0" w:after="0"/>
              <w:jc w:val="center"/>
              <w:rPr>
                <w:rFonts w:ascii="Times New Roman" w:hAnsi="Times New Roman"/>
                <w:b/>
                <w:sz w:val="20"/>
              </w:rPr>
            </w:pPr>
            <w:r>
              <w:rPr>
                <w:rFonts w:ascii="Times New Roman" w:hAnsi="Times New Roman"/>
                <w:b/>
                <w:sz w:val="20"/>
              </w:rPr>
              <w:t>Korea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Hong Kong/</w:t>
            </w:r>
          </w:p>
          <w:p>
            <w:pPr>
              <w:pStyle w:val="TableContents"/>
              <w:bidi w:val="0"/>
              <w:spacing w:before="0" w:after="0"/>
              <w:jc w:val="center"/>
              <w:rPr>
                <w:rFonts w:ascii="Times New Roman" w:hAnsi="Times New Roman"/>
                <w:b/>
                <w:sz w:val="20"/>
              </w:rPr>
            </w:pPr>
            <w:r>
              <w:rPr>
                <w:rFonts w:ascii="Times New Roman" w:hAnsi="Times New Roman"/>
                <w:b/>
                <w:sz w:val="20"/>
              </w:rPr>
              <w:t>Taiwan</w:t>
            </w:r>
          </w:p>
        </w:tc>
        <w:tc>
          <w:tcPr>
            <w:tcW w:w="60" w:type="dxa"/>
            <w:tcBorders/>
            <w:vAlign w:val="bottom"/>
          </w:tcPr>
          <w:p>
            <w:pPr>
              <w:pStyle w:val="TableContents"/>
              <w:bidi w:val="0"/>
              <w:spacing w:before="0" w:after="283"/>
              <w:jc w:val="left"/>
              <w:rPr/>
            </w:pPr>
            <w:r>
              <w:rPr/>
              <w:t> </w:t>
            </w:r>
          </w:p>
        </w:tc>
        <w:tc>
          <w:tcPr>
            <w:tcW w:w="129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Manufacturing </w:t>
            </w:r>
            <w:r>
              <w:rPr>
                <w:rFonts w:ascii="Times New Roman" w:hAnsi="Times New Roman"/>
                <w:b/>
                <w:position w:val="7"/>
                <w:sz w:val="16"/>
                <w:sz w:val="20"/>
              </w:rPr>
              <w:t>(1)</w:t>
            </w:r>
          </w:p>
        </w:tc>
        <w:tc>
          <w:tcPr>
            <w:tcW w:w="60" w:type="dxa"/>
            <w:tcBorders/>
            <w:vAlign w:val="bottom"/>
          </w:tcPr>
          <w:p>
            <w:pPr>
              <w:pStyle w:val="TableContents"/>
              <w:bidi w:val="0"/>
              <w:spacing w:before="0" w:after="283"/>
              <w:jc w:val="left"/>
              <w:rPr/>
            </w:pPr>
            <w:r>
              <w:rPr/>
              <w:t> </w:t>
            </w:r>
          </w:p>
        </w:tc>
        <w:tc>
          <w:tcPr>
            <w:tcW w:w="83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Rhyz </w:t>
            </w:r>
          </w:p>
          <w:p>
            <w:pPr>
              <w:pStyle w:val="TableContents"/>
              <w:bidi w:val="0"/>
              <w:spacing w:before="0" w:after="0"/>
              <w:jc w:val="center"/>
              <w:rPr>
                <w:rFonts w:ascii="Times New Roman" w:hAnsi="Times New Roman"/>
                <w:b/>
                <w:sz w:val="20"/>
              </w:rPr>
            </w:pPr>
            <w:r>
              <w:rPr>
                <w:rFonts w:ascii="Times New Roman" w:hAnsi="Times New Roman"/>
                <w:b/>
                <w:sz w:val="20"/>
              </w:rPr>
              <w:t>Other</w:t>
            </w:r>
          </w:p>
        </w:tc>
        <w:tc>
          <w:tcPr>
            <w:tcW w:w="80" w:type="dxa"/>
            <w:tcBorders/>
            <w:vAlign w:val="bottom"/>
          </w:tcPr>
          <w:p>
            <w:pPr>
              <w:pStyle w:val="TableContents"/>
              <w:bidi w:val="0"/>
              <w:spacing w:before="0" w:after="283"/>
              <w:jc w:val="left"/>
              <w:rPr/>
            </w:pPr>
            <w:r>
              <w:rPr/>
              <w:t> </w:t>
            </w:r>
          </w:p>
        </w:tc>
        <w:tc>
          <w:tcPr>
            <w:tcW w:w="10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Total </w:t>
            </w:r>
          </w:p>
          <w:p>
            <w:pPr>
              <w:pStyle w:val="TableContents"/>
              <w:bidi w:val="0"/>
              <w:spacing w:before="0" w:after="0"/>
              <w:jc w:val="center"/>
              <w:rPr>
                <w:rFonts w:ascii="Times New Roman" w:hAnsi="Times New Roman"/>
                <w:b/>
                <w:sz w:val="20"/>
              </w:rPr>
            </w:pPr>
            <w:r>
              <w:rPr>
                <w:rFonts w:ascii="Times New Roman" w:hAnsi="Times New Roman"/>
                <w:b/>
                <w:sz w:val="20"/>
              </w:rPr>
              <w:t>Segments</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237,160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179,921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178,797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98,061</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153,548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49,967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1,283,346</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61,755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48,350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32,346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26,865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32,388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26,829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18,828</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122,647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377,327</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Other segment items </w:t>
            </w:r>
            <w:r>
              <w:rPr>
                <w:rFonts w:ascii="Times New Roman" w:hAnsi="Times New Roman"/>
                <w:position w:val="7"/>
                <w:sz w:val="16"/>
                <w:sz w:val="20"/>
              </w:rPr>
              <w:t>(2)</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127,169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99,784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113,548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69,980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75,301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54,227</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56,986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687,295</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Segment contribution</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31,787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32,903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13,874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39,789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25,006</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(14,338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218,724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 w:hAnsi="Times New Roman"/>
                <w:b w:val="false"/>
                <w:sz w:val="20"/>
              </w:rPr>
            </w:pPr>
            <w:r>
              <w:rPr>
                <w:rFonts w:ascii="Times New Roman" w:hAnsi="Times New Roman"/>
                <w:b w:val="false"/>
                <w:sz w:val="20"/>
              </w:rPr>
              <w:t>(1)</w:t>
            </w:r>
          </w:p>
        </w:tc>
        <w:tc>
          <w:tcPr>
            <w:tcW w:w="9989" w:type="dxa"/>
            <w:tcBorders/>
            <w:vAlign w:val="center"/>
          </w:tcPr>
          <w:p>
            <w:pPr>
              <w:pStyle w:val="TableContents"/>
              <w:bidi w:val="0"/>
              <w:spacing w:before="0" w:after="283"/>
              <w:jc w:val="both"/>
              <w:rPr/>
            </w:pPr>
            <w:r>
              <w:rPr>
                <w:rFonts w:ascii="Times New Roman" w:hAnsi="Times New Roman"/>
                <w:sz w:val="20"/>
              </w:rPr>
              <w:t xml:space="preserve">The Manufacturing segment had $9.9 million and $10.9 million of intersegment revenue for the </w:t>
            </w:r>
            <w:r>
              <w:rPr/>
              <w:t xml:space="preserve">three months ended September 30, 2025 </w:t>
            </w:r>
            <w:r>
              <w:rPr>
                <w:rFonts w:ascii="Times New Roman" w:hAnsi="Times New Roman"/>
                <w:sz w:val="20"/>
              </w:rPr>
              <w:t xml:space="preserve">and </w:t>
            </w:r>
            <w:r>
              <w:rPr/>
              <w:t>2024</w:t>
            </w:r>
            <w:r>
              <w:rPr>
                <w:rFonts w:ascii="Times New Roman" w:hAnsi="Times New Roman"/>
                <w:sz w:val="20"/>
              </w:rPr>
              <w:t>, respectively, and $27.5 million and $28.5 million for the nine months ended September 30, 2025 and 2024, respectively. Intersegment revenue is eliminated in the consolidated financial statements, as well as the reported segment revenue in the table above.</w:t>
            </w:r>
            <w:r>
              <w:rPr/>
              <w:t xml:space="preserve"> </w:t>
            </w:r>
          </w:p>
        </w:tc>
      </w:tr>
    </w:tbl>
    <w:tbl>
      <w:tblPr>
        <w:tblW w:w="8155" w:type="dxa"/>
        <w:jc w:val="left"/>
        <w:tblInd w:w="0" w:type="dxa"/>
        <w:tblLayout w:type="fixed"/>
        <w:tblCellMar>
          <w:top w:w="0" w:type="dxa"/>
          <w:left w:w="0" w:type="dxa"/>
          <w:bottom w:w="0" w:type="dxa"/>
          <w:right w:w="0" w:type="dxa"/>
        </w:tblCellMar>
      </w:tblPr>
      <w:tblGrid>
        <w:gridCol w:w="260"/>
        <w:gridCol w:w="7895"/>
      </w:tblGrid>
      <w:tr>
        <w:trPr/>
        <w:tc>
          <w:tcPr>
            <w:tcW w:w="260" w:type="dxa"/>
            <w:tcBorders/>
            <w:vAlign w:val="center"/>
          </w:tcPr>
          <w:p>
            <w:pPr>
              <w:pStyle w:val="TableContents"/>
              <w:bidi w:val="0"/>
              <w:spacing w:before="0" w:after="283"/>
              <w:jc w:val="left"/>
              <w:rPr>
                <w:rFonts w:ascii="Times New Roman" w:hAnsi="Times New Roman"/>
                <w:b w:val="false"/>
                <w:sz w:val="20"/>
              </w:rPr>
            </w:pPr>
            <w:r>
              <w:rPr>
                <w:rFonts w:ascii="Times New Roman" w:hAnsi="Times New Roman"/>
                <w:b w:val="false"/>
                <w:sz w:val="20"/>
              </w:rPr>
              <w:t>(2)</w:t>
            </w:r>
          </w:p>
        </w:tc>
        <w:tc>
          <w:tcPr>
            <w:tcW w:w="78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Other segment items primarily include selling expenses and general and administrative expenses.</w:t>
            </w:r>
          </w:p>
        </w:tc>
      </w:tr>
    </w:tbl>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tbl>
      <w:tblPr>
        <w:tblW w:w="6570" w:type="dxa"/>
        <w:jc w:val="left"/>
        <w:tblInd w:w="0" w:type="dxa"/>
        <w:tblLayout w:type="fixed"/>
        <w:tblCellMar>
          <w:top w:w="0" w:type="dxa"/>
          <w:left w:w="0" w:type="dxa"/>
          <w:bottom w:w="0" w:type="dxa"/>
          <w:right w:w="0" w:type="dxa"/>
        </w:tblCellMar>
      </w:tblPr>
      <w:tblGrid>
        <w:gridCol w:w="2075"/>
        <w:gridCol w:w="60"/>
        <w:gridCol w:w="125"/>
        <w:gridCol w:w="695"/>
        <w:gridCol w:w="60"/>
        <w:gridCol w:w="60"/>
        <w:gridCol w:w="140"/>
        <w:gridCol w:w="800"/>
        <w:gridCol w:w="60"/>
        <w:gridCol w:w="60"/>
        <w:gridCol w:w="140"/>
        <w:gridCol w:w="980"/>
        <w:gridCol w:w="60"/>
        <w:gridCol w:w="60"/>
        <w:gridCol w:w="140"/>
        <w:gridCol w:w="980"/>
        <w:gridCol w:w="75"/>
      </w:tblGrid>
      <w:tr>
        <w:trPr/>
        <w:tc>
          <w:tcPr>
            <w:tcW w:w="2075" w:type="dxa"/>
            <w:tcBorders/>
            <w:vAlign w:val="bottom"/>
          </w:tcPr>
          <w:p>
            <w:pPr>
              <w:pStyle w:val="TableContents"/>
              <w:bidi w:val="0"/>
              <w:spacing w:before="0" w:after="283"/>
              <w:jc w:val="left"/>
              <w:rPr/>
            </w:pPr>
            <w:r>
              <w:rPr/>
              <w:t> </w:t>
            </w:r>
          </w:p>
        </w:tc>
        <w:tc>
          <w:tcPr>
            <w:tcW w:w="1940"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60" w:type="dxa"/>
            <w:tcBorders/>
            <w:vAlign w:val="bottom"/>
          </w:tcPr>
          <w:p>
            <w:pPr>
              <w:pStyle w:val="TableContents"/>
              <w:bidi w:val="0"/>
              <w:spacing w:before="0" w:after="283"/>
              <w:jc w:val="left"/>
              <w:rPr/>
            </w:pPr>
            <w:r>
              <w:rPr/>
              <w:t> </w:t>
            </w:r>
          </w:p>
        </w:tc>
        <w:tc>
          <w:tcPr>
            <w:tcW w:w="2420"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75"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18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18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7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segment 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363,967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427,627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1,113,639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1,283,346</w:t>
            </w:r>
          </w:p>
        </w:tc>
        <w:tc>
          <w:tcPr>
            <w:tcW w:w="75" w:type="dxa"/>
            <w:tcBorders/>
            <w:shd w:fill="CCEEFF" w:val="clear"/>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Core Nu Skin adjustment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2,518</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3,186</w:t>
            </w:r>
          </w:p>
        </w:tc>
        <w:tc>
          <w:tcPr>
            <w:tcW w:w="7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revenue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364,211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430,145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283"/>
              <w:jc w:val="right"/>
              <w:rPr/>
            </w:pPr>
            <w:r>
              <w:rPr/>
              <w:t>1,114,839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283"/>
              <w:jc w:val="right"/>
              <w:rPr/>
            </w:pPr>
            <w:r>
              <w:rPr/>
              <w:t>1,286,532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tbl>
      <w:tblPr>
        <w:tblW w:w="7677" w:type="dxa"/>
        <w:jc w:val="left"/>
        <w:tblInd w:w="0" w:type="dxa"/>
        <w:tblLayout w:type="fixed"/>
        <w:tblCellMar>
          <w:top w:w="0" w:type="dxa"/>
          <w:left w:w="0" w:type="dxa"/>
          <w:bottom w:w="0" w:type="dxa"/>
          <w:right w:w="0" w:type="dxa"/>
        </w:tblCellMar>
      </w:tblPr>
      <w:tblGrid>
        <w:gridCol w:w="3395"/>
        <w:gridCol w:w="60"/>
        <w:gridCol w:w="132"/>
        <w:gridCol w:w="688"/>
        <w:gridCol w:w="84"/>
        <w:gridCol w:w="63"/>
        <w:gridCol w:w="132"/>
        <w:gridCol w:w="688"/>
        <w:gridCol w:w="80"/>
        <w:gridCol w:w="60"/>
        <w:gridCol w:w="140"/>
        <w:gridCol w:w="875"/>
        <w:gridCol w:w="95"/>
        <w:gridCol w:w="60"/>
        <w:gridCol w:w="140"/>
        <w:gridCol w:w="875"/>
        <w:gridCol w:w="110"/>
      </w:tblGrid>
      <w:tr>
        <w:trPr/>
        <w:tc>
          <w:tcPr>
            <w:tcW w:w="3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110"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segment contribution</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72,354</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72,966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230,497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218,724</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Corporate and Other</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(50,712</w:t>
            </w:r>
          </w:p>
        </w:tc>
        <w:tc>
          <w:tcPr>
            <w:tcW w:w="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(54,735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(187,978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(317,228</w:t>
            </w:r>
          </w:p>
        </w:tc>
        <w:tc>
          <w:tcPr>
            <w:tcW w:w="110" w:type="dxa"/>
            <w:tcBorders/>
            <w:vAlign w:val="bottom"/>
          </w:tcPr>
          <w:p>
            <w:pPr>
              <w:pStyle w:val="TableContents"/>
              <w:bidi w:val="0"/>
              <w:spacing w:before="0" w:after="283"/>
              <w:jc w:val="left"/>
              <w:rPr/>
            </w:pPr>
            <w:r>
              <w:rPr/>
              <w:t>)</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21,642</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42,519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(98,504</w:t>
            </w:r>
          </w:p>
        </w:tc>
        <w:tc>
          <w:tcPr>
            <w:tcW w:w="110" w:type="dxa"/>
            <w:tcBorders/>
            <w:shd w:fill="CCEEFF" w:val="clear"/>
            <w:vAlign w:val="bottom"/>
          </w:tcPr>
          <w:p>
            <w:pPr>
              <w:pStyle w:val="TableContents"/>
              <w:bidi w:val="0"/>
              <w:spacing w:before="0" w:after="283"/>
              <w:jc w:val="left"/>
              <w:rPr/>
            </w:pPr>
            <w:r>
              <w:rPr/>
              <w:t>)</w:t>
            </w:r>
          </w:p>
        </w:tc>
      </w:tr>
      <w:tr>
        <w:trPr/>
        <w:tc>
          <w:tcPr>
            <w:tcW w:w="339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4,145</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9,954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20,545</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283"/>
              <w:jc w:val="left"/>
              <w:rPr/>
            </w:pPr>
            <w:r>
              <w:rPr/>
              <w:t>Gain on sale of business</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176,162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income (expense), net</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(1,503</w:t>
            </w:r>
          </w:p>
        </w:tc>
        <w:tc>
          <w:tcPr>
            <w:tcW w:w="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(30,721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1,800</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before provision for income taxes</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15,994</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13,298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75" w:type="dxa"/>
            <w:tcBorders>
              <w:bottom w:val="double" w:sz="8" w:space="0" w:color="000000"/>
            </w:tcBorders>
            <w:shd w:fill="CCEEFF" w:val="clear"/>
            <w:tcMar>
              <w:bottom w:w="28" w:type="dxa"/>
            </w:tcMar>
            <w:vAlign w:val="bottom"/>
          </w:tcPr>
          <w:p>
            <w:pPr>
              <w:pStyle w:val="TableContents"/>
              <w:bidi w:val="0"/>
              <w:spacing w:before="0" w:after="283"/>
              <w:jc w:val="right"/>
              <w:rPr/>
            </w:pPr>
            <w:r>
              <w:rPr/>
              <w:t>178,006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75" w:type="dxa"/>
            <w:tcBorders>
              <w:bottom w:val="double" w:sz="8" w:space="0" w:color="000000"/>
            </w:tcBorders>
            <w:shd w:fill="CCEEFF" w:val="clear"/>
            <w:tcMar>
              <w:bottom w:w="28" w:type="dxa"/>
            </w:tcMar>
            <w:vAlign w:val="bottom"/>
          </w:tcPr>
          <w:p>
            <w:pPr>
              <w:pStyle w:val="TableContents"/>
              <w:bidi w:val="0"/>
              <w:spacing w:before="0" w:after="283"/>
              <w:jc w:val="right"/>
              <w:rPr/>
            </w:pPr>
            <w:r>
              <w:rPr/>
              <w:t>(117,249</w:t>
            </w:r>
          </w:p>
        </w:tc>
        <w:tc>
          <w:tcPr>
            <w:tcW w:w="110"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Depreciation and Amortization</w:t>
      </w:r>
    </w:p>
    <w:p>
      <w:pPr>
        <w:pStyle w:val="TextBody"/>
        <w:bidi w:val="0"/>
        <w:spacing w:before="0" w:after="0"/>
        <w:jc w:val="left"/>
        <w:rPr/>
      </w:pPr>
      <w:r>
        <w:rPr/>
      </w:r>
    </w:p>
    <w:tbl>
      <w:tblPr>
        <w:tblW w:w="5872" w:type="dxa"/>
        <w:jc w:val="left"/>
        <w:tblInd w:w="0" w:type="dxa"/>
        <w:tblLayout w:type="fixed"/>
        <w:tblCellMar>
          <w:top w:w="0" w:type="dxa"/>
          <w:left w:w="0" w:type="dxa"/>
          <w:bottom w:w="0" w:type="dxa"/>
          <w:right w:w="0" w:type="dxa"/>
        </w:tblCellMar>
      </w:tblPr>
      <w:tblGrid>
        <w:gridCol w:w="2165"/>
        <w:gridCol w:w="60"/>
        <w:gridCol w:w="158"/>
        <w:gridCol w:w="668"/>
        <w:gridCol w:w="67"/>
        <w:gridCol w:w="67"/>
        <w:gridCol w:w="158"/>
        <w:gridCol w:w="668"/>
        <w:gridCol w:w="60"/>
        <w:gridCol w:w="60"/>
        <w:gridCol w:w="147"/>
        <w:gridCol w:w="623"/>
        <w:gridCol w:w="63"/>
        <w:gridCol w:w="63"/>
        <w:gridCol w:w="147"/>
        <w:gridCol w:w="623"/>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(U.S. dollars in thousands)</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42</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w:t>
            </w:r>
          </w:p>
        </w:tc>
        <w:tc>
          <w:tcPr>
            <w:tcW w:w="623" w:type="dxa"/>
            <w:tcBorders/>
            <w:shd w:fill="CCEEFF" w:val="clear"/>
            <w:vAlign w:val="bottom"/>
          </w:tcPr>
          <w:p>
            <w:pPr>
              <w:pStyle w:val="TableContents"/>
              <w:bidi w:val="0"/>
              <w:spacing w:before="0" w:after="283"/>
              <w:jc w:val="right"/>
              <w:rPr/>
            </w:pPr>
            <w:r>
              <w:rPr/>
              <w:t>135</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w:t>
            </w:r>
          </w:p>
        </w:tc>
        <w:tc>
          <w:tcPr>
            <w:tcW w:w="623" w:type="dxa"/>
            <w:tcBorders/>
            <w:shd w:fill="CCEEFF" w:val="clear"/>
            <w:vAlign w:val="bottom"/>
          </w:tcPr>
          <w:p>
            <w:pPr>
              <w:pStyle w:val="TableContents"/>
              <w:bidi w:val="0"/>
              <w:spacing w:before="0" w:after="283"/>
              <w:jc w:val="right"/>
              <w:rPr/>
            </w:pPr>
            <w:r>
              <w:rPr/>
              <w:t>283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pPr>
            <w:r>
              <w:rPr/>
              <w:t>Southeast Asia/Pacific</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184</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567</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650</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1,966</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6,066</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8,197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South Korea</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196</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522</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762</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Europe &amp; Africa</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823</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1,063</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1,348</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Nu Skin</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3,057</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9,345</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12,287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Manufacturing</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3,276</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9,904</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10,227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1,627</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5,531</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Rhyz</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3,621</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11,531</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15,758</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5,413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18,473</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25,316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12,091</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39,349</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53,361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Capital Expenditures</w:t>
      </w:r>
    </w:p>
    <w:p>
      <w:pPr>
        <w:pStyle w:val="TextBody"/>
        <w:bidi w:val="0"/>
        <w:spacing w:before="0" w:after="0"/>
        <w:jc w:val="left"/>
        <w:rPr/>
      </w:pPr>
      <w:r>
        <w:rPr/>
      </w:r>
    </w:p>
    <w:tbl>
      <w:tblPr>
        <w:tblW w:w="5872" w:type="dxa"/>
        <w:jc w:val="left"/>
        <w:tblInd w:w="0" w:type="dxa"/>
        <w:tblLayout w:type="fixed"/>
        <w:tblCellMar>
          <w:top w:w="0" w:type="dxa"/>
          <w:left w:w="0" w:type="dxa"/>
          <w:bottom w:w="0" w:type="dxa"/>
          <w:right w:w="0" w:type="dxa"/>
        </w:tblCellMar>
      </w:tblPr>
      <w:tblGrid>
        <w:gridCol w:w="2165"/>
        <w:gridCol w:w="60"/>
        <w:gridCol w:w="182"/>
        <w:gridCol w:w="633"/>
        <w:gridCol w:w="78"/>
        <w:gridCol w:w="78"/>
        <w:gridCol w:w="182"/>
        <w:gridCol w:w="633"/>
        <w:gridCol w:w="60"/>
        <w:gridCol w:w="60"/>
        <w:gridCol w:w="147"/>
        <w:gridCol w:w="623"/>
        <w:gridCol w:w="63"/>
        <w:gridCol w:w="63"/>
        <w:gridCol w:w="147"/>
        <w:gridCol w:w="623"/>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(U.S. dollars in thousands)</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w:t>
            </w:r>
          </w:p>
        </w:tc>
        <w:tc>
          <w:tcPr>
            <w:tcW w:w="633" w:type="dxa"/>
            <w:tcBorders/>
            <w:shd w:fill="CCEEFF" w:val="clear"/>
            <w:vAlign w:val="bottom"/>
          </w:tcPr>
          <w:p>
            <w:pPr>
              <w:pStyle w:val="TableContents"/>
              <w:bidi w:val="0"/>
              <w:spacing w:before="0" w:after="283"/>
              <w:jc w:val="right"/>
              <w:rPr/>
            </w:pPr>
            <w:r>
              <w:rPr/>
              <w:t>25</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w:t>
            </w:r>
          </w:p>
        </w:tc>
        <w:tc>
          <w:tcPr>
            <w:tcW w:w="633"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w:t>
            </w:r>
          </w:p>
        </w:tc>
        <w:tc>
          <w:tcPr>
            <w:tcW w:w="623" w:type="dxa"/>
            <w:tcBorders/>
            <w:shd w:fill="CCEEFF" w:val="clear"/>
            <w:vAlign w:val="bottom"/>
          </w:tcPr>
          <w:p>
            <w:pPr>
              <w:pStyle w:val="TableContents"/>
              <w:bidi w:val="0"/>
              <w:spacing w:before="0" w:after="283"/>
              <w:jc w:val="right"/>
              <w:rPr/>
            </w:pPr>
            <w:r>
              <w:rPr/>
              <w:t>44</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w:t>
            </w:r>
          </w:p>
        </w:tc>
        <w:tc>
          <w:tcPr>
            <w:tcW w:w="623" w:type="dxa"/>
            <w:tcBorders/>
            <w:shd w:fill="CCEEFF" w:val="clear"/>
            <w:vAlign w:val="bottom"/>
          </w:tcPr>
          <w:p>
            <w:pPr>
              <w:pStyle w:val="TableContents"/>
              <w:bidi w:val="0"/>
              <w:spacing w:before="0" w:after="283"/>
              <w:jc w:val="right"/>
              <w:rPr/>
            </w:pPr>
            <w:r>
              <w:rPr/>
              <w:t>71</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202</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281</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25</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1,099</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122</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 Korea</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Europe &amp; Africa</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386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Nu Skin</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550</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1,745</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6,000</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Manufacturing</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2,495</w:t>
            </w:r>
          </w:p>
        </w:tc>
        <w:tc>
          <w:tcPr>
            <w:tcW w:w="7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4,157</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Rhyz</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2,495</w:t>
            </w:r>
          </w:p>
        </w:tc>
        <w:tc>
          <w:tcPr>
            <w:tcW w:w="7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4,173</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5,232</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6,869</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17,599</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17,768</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9,914</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23,517</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29,000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12.</w:t>
            </w:r>
          </w:p>
        </w:tc>
        <w:tc>
          <w:tcPr>
            <w:tcW w:w="28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Commitments and Contingencies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13.</w:t>
            </w:r>
          </w:p>
        </w:tc>
        <w:tc>
          <w:tcPr>
            <w:tcW w:w="120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Restructuring</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the fourth quarter of 2023, the Company adopted a strategic plan (“2023 Plan”) to focus resources on the Company’s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$1.1 million in other cash charges and approximately $38.8 million in non-cash charges, including approximately $36.6 million in fixed asset impairments. The Company has incurred all expected charges under the 2023 Plan, and anticipates making the remaining payments in the fourth quarter of 2025.</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fourth quarter of 2023, the Company incurred charges to be settled in cash of $10.0 million in severance charges. During the fourth quarter of 2023, the Company made cash payments of $0.3 million, leaving an ending restructuring accrual of $9.7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first quarter of 2024, the Company incurred charges to be settled in cash of $4.1 million in severance charges and $2.0 million in other associated cost, and non-cash charges of $1.0 million in write-down of assets. During the first quarter of 2024, the Company made cash payments of $7.0 million, leaving an ending restructuring accrual of $8.8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second quarter of 2024, the Company incurred charges to be settled in cash of $1.0 million in severance charges and $0.1 million in other cash charges. In the second quarter of 2024, the Company incurred non-cash charges of $7.2 million, consisting of $6.4 million in fixed asset impairments and $0.8 million in other asset write-downs. During the second quarter of 2024, the Company made cash payments of $2.8 million, leaving an ending restructuring accrual of $7.1 million</w:t>
            </w:r>
            <w:r>
              <w:rPr>
                <w:rFonts w:ascii="Times New Roman" w:hAnsi="Times New Roman"/>
                <w:color w:val="000000"/>
                <w:sz w:val="20"/>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 xml:space="preserve">During the third quarter of 2024, the Company incurred </w:t>
            </w:r>
            <w:r>
              <w:rPr>
                <w:rFonts w:ascii="Times New Roman" w:hAnsi="Times New Roman"/>
                <w:b w:val="false"/>
                <w:i w:val="false"/>
                <w:caps w:val="false"/>
                <w:smallCaps w:val="false"/>
                <w:color w:val="000000"/>
                <w:sz w:val="20"/>
                <w:shd w:fill="FFFFFF" w:val="clear"/>
              </w:rPr>
              <w:t>no</w:t>
            </w:r>
            <w:r>
              <w:rPr>
                <w:rFonts w:ascii="Times New Roman" w:hAnsi="Times New Roman"/>
                <w:color w:val="000000"/>
                <w:sz w:val="20"/>
              </w:rPr>
              <w:t xml:space="preserve"> additional charges and made cash payments of $</w:t>
            </w:r>
            <w:r>
              <w:rPr>
                <w:rFonts w:ascii="Times New Roman" w:hAnsi="Times New Roman"/>
                <w:b w:val="false"/>
                <w:i w:val="false"/>
                <w:caps w:val="false"/>
                <w:smallCaps w:val="false"/>
                <w:color w:val="000000"/>
                <w:sz w:val="20"/>
                <w:shd w:fill="FFFFFF" w:val="clear"/>
              </w:rPr>
              <w:t>3.9</w:t>
            </w:r>
            <w:r>
              <w:rPr>
                <w:rFonts w:ascii="Times New Roman" w:hAnsi="Times New Roman"/>
                <w:color w:val="000000"/>
                <w:sz w:val="20"/>
              </w:rPr>
              <w:t xml:space="preserve"> million, leaving an ending restructuring accrual of $</w:t>
            </w:r>
            <w:r>
              <w:rPr>
                <w:rFonts w:ascii="Times New Roman" w:hAnsi="Times New Roman"/>
                <w:b w:val="false"/>
                <w:i w:val="false"/>
                <w:caps w:val="false"/>
                <w:smallCaps w:val="false"/>
                <w:color w:val="000000"/>
                <w:sz w:val="20"/>
                <w:shd w:fill="FFFFFF" w:val="clear"/>
              </w:rPr>
              <w:t>3.2</w:t>
            </w:r>
            <w:r>
              <w:rPr>
                <w:rFonts w:ascii="Times New Roman" w:hAnsi="Times New Roman"/>
                <w:color w:val="000000"/>
                <w:sz w:val="20"/>
              </w:rPr>
              <w:t xml:space="preserve">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During the fourth quarter of 2024, the Company incurred charges to be settled in cash of $</w:t>
            </w:r>
            <w:r>
              <w:rPr>
                <w:rFonts w:ascii="Times New Roman" w:hAnsi="Times New Roman"/>
                <w:b w:val="false"/>
                <w:i w:val="false"/>
                <w:caps w:val="false"/>
                <w:smallCaps w:val="false"/>
                <w:color w:val="000000"/>
                <w:sz w:val="20"/>
                <w:shd w:fill="FFFFFF" w:val="clear"/>
              </w:rPr>
              <w:t>16.9</w:t>
            </w:r>
            <w:r>
              <w:rPr>
                <w:rFonts w:ascii="Times New Roman" w:hAnsi="Times New Roman"/>
                <w:color w:val="000000"/>
                <w:sz w:val="20"/>
              </w:rPr>
              <w:t xml:space="preserve"> million in severance charges and $</w:t>
            </w:r>
            <w:r>
              <w:rPr>
                <w:rFonts w:ascii="Times New Roman" w:hAnsi="Times New Roman"/>
                <w:b w:val="false"/>
                <w:i w:val="false"/>
                <w:caps w:val="false"/>
                <w:smallCaps w:val="false"/>
                <w:color w:val="000000"/>
                <w:sz w:val="20"/>
                <w:shd w:fill="FFFFFF" w:val="clear"/>
              </w:rPr>
              <w:t>0.9</w:t>
            </w:r>
            <w:r>
              <w:rPr>
                <w:rFonts w:ascii="Times New Roman" w:hAnsi="Times New Roman"/>
                <w:color w:val="000000"/>
                <w:sz w:val="20"/>
              </w:rPr>
              <w:t xml:space="preserve"> million in other cash charges. In the fourth quarter of 2024, the Company incurred non-cash charges of $</w:t>
            </w:r>
            <w:r>
              <w:rPr>
                <w:rFonts w:ascii="Times New Roman" w:hAnsi="Times New Roman"/>
                <w:b w:val="false"/>
                <w:i w:val="false"/>
                <w:caps w:val="false"/>
                <w:smallCaps w:val="false"/>
                <w:color w:val="000000"/>
                <w:sz w:val="20"/>
                <w:shd w:fill="FFFFFF" w:val="clear"/>
              </w:rPr>
              <w:t>30.2</w:t>
            </w:r>
            <w:r>
              <w:rPr>
                <w:rFonts w:ascii="Times New Roman" w:hAnsi="Times New Roman"/>
                <w:color w:val="000000"/>
                <w:sz w:val="20"/>
              </w:rPr>
              <w:t xml:space="preserve"> million of fixed asset impairments and $</w:t>
            </w:r>
            <w:r>
              <w:rPr>
                <w:rFonts w:ascii="Times New Roman" w:hAnsi="Times New Roman"/>
                <w:b w:val="false"/>
                <w:i w:val="false"/>
                <w:caps w:val="false"/>
                <w:smallCaps w:val="false"/>
                <w:color w:val="000000"/>
                <w:sz w:val="20"/>
                <w:shd w:fill="FFFFFF" w:val="clear"/>
              </w:rPr>
              <w:t>1.4</w:t>
            </w:r>
            <w:r>
              <w:rPr>
                <w:rFonts w:ascii="Times New Roman" w:hAnsi="Times New Roman"/>
                <w:color w:val="000000"/>
                <w:sz w:val="20"/>
              </w:rPr>
              <w:t xml:space="preserve"> million of other non-cash charges. During the fourth quarter of 2024, the Company made cash payments of $</w:t>
            </w:r>
            <w:r>
              <w:rPr>
                <w:rFonts w:ascii="Times New Roman" w:hAnsi="Times New Roman"/>
                <w:b w:val="false"/>
                <w:i w:val="false"/>
                <w:caps w:val="false"/>
                <w:smallCaps w:val="false"/>
                <w:color w:val="000000"/>
                <w:sz w:val="20"/>
                <w:shd w:fill="FFFFFF" w:val="clear"/>
              </w:rPr>
              <w:t>14.8</w:t>
            </w:r>
            <w:r>
              <w:rPr>
                <w:rFonts w:ascii="Times New Roman" w:hAnsi="Times New Roman"/>
                <w:color w:val="000000"/>
                <w:sz w:val="20"/>
              </w:rPr>
              <w:t xml:space="preserve"> million, leaving an ending restructuring accrual of $</w:t>
            </w:r>
            <w:r>
              <w:rPr>
                <w:rFonts w:ascii="Times New Roman" w:hAnsi="Times New Roman"/>
                <w:b w:val="false"/>
                <w:i w:val="false"/>
                <w:caps w:val="false"/>
                <w:smallCaps w:val="false"/>
                <w:color w:val="000000"/>
                <w:sz w:val="20"/>
                <w:shd w:fill="FFFFFF" w:val="clear"/>
              </w:rPr>
              <w:t>6.2</w:t>
            </w:r>
            <w:r>
              <w:rPr>
                <w:rFonts w:ascii="Times New Roman" w:hAnsi="Times New Roman"/>
                <w:color w:val="000000"/>
                <w:sz w:val="20"/>
              </w:rPr>
              <w:t xml:space="preserve">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 xml:space="preserve">During the first quarter of 2025, the Company incurred </w:t>
            </w:r>
            <w:r>
              <w:rPr>
                <w:rFonts w:ascii="Times New Roman" w:hAnsi="Times New Roman"/>
                <w:b w:val="false"/>
                <w:i w:val="false"/>
                <w:caps w:val="false"/>
                <w:smallCaps w:val="false"/>
                <w:color w:val="000000"/>
                <w:sz w:val="20"/>
                <w:shd w:fill="FFFFFF" w:val="clear"/>
              </w:rPr>
              <w:t>no</w:t>
            </w:r>
            <w:r>
              <w:rPr>
                <w:rFonts w:ascii="Times New Roman" w:hAnsi="Times New Roman"/>
                <w:color w:val="000000"/>
                <w:sz w:val="20"/>
              </w:rPr>
              <w:t xml:space="preserve"> further charges, and it made cash payments of $</w:t>
            </w:r>
            <w:r>
              <w:rPr>
                <w:rFonts w:ascii="Times New Roman" w:hAnsi="Times New Roman"/>
                <w:b w:val="false"/>
                <w:i w:val="false"/>
                <w:caps w:val="false"/>
                <w:smallCaps w:val="false"/>
                <w:color w:val="000000"/>
                <w:sz w:val="20"/>
                <w:shd w:fill="FFFFFF" w:val="clear"/>
              </w:rPr>
              <w:t>4.7</w:t>
            </w:r>
            <w:r>
              <w:rPr>
                <w:rFonts w:ascii="Times New Roman" w:hAnsi="Times New Roman"/>
                <w:color w:val="000000"/>
                <w:sz w:val="20"/>
              </w:rPr>
              <w:t xml:space="preserve"> million leaving an ending restructuring accrual of $</w:t>
            </w:r>
            <w:r>
              <w:rPr>
                <w:rFonts w:ascii="Times New Roman" w:hAnsi="Times New Roman"/>
                <w:b w:val="false"/>
                <w:i w:val="false"/>
                <w:caps w:val="false"/>
                <w:smallCaps w:val="false"/>
                <w:color w:val="000000"/>
                <w:sz w:val="20"/>
                <w:shd w:fill="FFFFFF" w:val="clear"/>
              </w:rPr>
              <w:t>1.5</w:t>
            </w:r>
            <w:r>
              <w:rPr>
                <w:rFonts w:ascii="Times New Roman" w:hAnsi="Times New Roman"/>
                <w:color w:val="000000"/>
                <w:sz w:val="20"/>
              </w:rPr>
              <w:t xml:space="preserve">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During the second quarter of 2025, the Company incurred no further charges, and it made cash payments of $0.5 million leaving an ending restructuring accrual of $1.0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During the third quarter of 2025, the Company incurred no further charges, and it made cash payments of $0.1 million, leaving an ending restructuring accrual of $0.9 million.</w:t>
            </w:r>
          </w:p>
        </w:tc>
      </w:tr>
    </w:tbl>
    <w:p>
      <w:pPr>
        <w:pStyle w:val="TextBody"/>
        <w:bidi w:val="0"/>
        <w:spacing w:before="0" w:after="0"/>
        <w:jc w:val="both"/>
        <w:rPr/>
      </w:pPr>
      <w:r>
        <w:rPr/>
      </w:r>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Restructuring expense by segment – 2023 Plan</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7882" w:type="dxa"/>
        <w:jc w:val="left"/>
        <w:tblInd w:w="0" w:type="dxa"/>
        <w:tblLayout w:type="fixed"/>
        <w:tblCellMar>
          <w:top w:w="0" w:type="dxa"/>
          <w:left w:w="0" w:type="dxa"/>
          <w:bottom w:w="0" w:type="dxa"/>
          <w:right w:w="0" w:type="dxa"/>
        </w:tblCellMar>
      </w:tblPr>
      <w:tblGrid>
        <w:gridCol w:w="2165"/>
        <w:gridCol w:w="60"/>
        <w:gridCol w:w="274"/>
        <w:gridCol w:w="1200"/>
        <w:gridCol w:w="60"/>
        <w:gridCol w:w="60"/>
        <w:gridCol w:w="145"/>
        <w:gridCol w:w="580"/>
        <w:gridCol w:w="95"/>
        <w:gridCol w:w="60"/>
        <w:gridCol w:w="162"/>
        <w:gridCol w:w="727"/>
        <w:gridCol w:w="60"/>
        <w:gridCol w:w="60"/>
        <w:gridCol w:w="204"/>
        <w:gridCol w:w="970"/>
        <w:gridCol w:w="60"/>
        <w:gridCol w:w="60"/>
        <w:gridCol w:w="125"/>
        <w:gridCol w:w="680"/>
        <w:gridCol w:w="75"/>
      </w:tblGrid>
      <w:tr>
        <w:trPr/>
        <w:tc>
          <w:tcPr>
            <w:tcW w:w="2165" w:type="dxa"/>
            <w:tcBorders/>
            <w:vAlign w:val="bottom"/>
          </w:tcPr>
          <w:p>
            <w:pPr>
              <w:pStyle w:val="TableContents"/>
              <w:bidi w:val="0"/>
              <w:spacing w:before="0" w:after="0"/>
              <w:jc w:val="left"/>
              <w:rPr/>
            </w:pPr>
            <w:r>
              <w:rPr/>
            </w:r>
          </w:p>
        </w:tc>
        <w:tc>
          <w:tcPr>
            <w:tcW w:w="60" w:type="dxa"/>
            <w:tcBorders/>
            <w:vAlign w:val="bottom"/>
          </w:tcPr>
          <w:p>
            <w:pPr>
              <w:pStyle w:val="TableContents"/>
              <w:bidi w:val="0"/>
              <w:spacing w:before="0" w:after="283"/>
              <w:jc w:val="left"/>
              <w:rPr/>
            </w:pPr>
            <w:r>
              <w:rPr/>
              <w:t> </w:t>
            </w:r>
          </w:p>
        </w:tc>
        <w:tc>
          <w:tcPr>
            <w:tcW w:w="465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vAlign w:val="bottom"/>
          </w:tcPr>
          <w:p>
            <w:pPr>
              <w:pStyle w:val="TableContents"/>
              <w:bidi w:val="0"/>
              <w:spacing w:before="0" w:after="283"/>
              <w:jc w:val="left"/>
              <w:rPr/>
            </w:pPr>
            <w:r>
              <w:rPr/>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(U.S. dollars in thousands)</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December 31, </w:t>
            </w:r>
          </w:p>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Nu Skin</w:t>
            </w:r>
          </w:p>
        </w:tc>
        <w:tc>
          <w:tcPr>
            <w:tcW w:w="60" w:type="dxa"/>
            <w:tcBorders/>
            <w:vAlign w:val="bottom"/>
          </w:tcPr>
          <w:p>
            <w:pPr>
              <w:pStyle w:val="TableContents"/>
              <w:bidi w:val="0"/>
              <w:spacing w:before="0" w:after="283"/>
              <w:jc w:val="left"/>
              <w:rPr/>
            </w:pPr>
            <w:r>
              <w:rPr/>
              <w:t> </w:t>
            </w:r>
          </w:p>
        </w:tc>
        <w:tc>
          <w:tcPr>
            <w:tcW w:w="14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Americas</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xml:space="preserve">$ </w:t>
            </w:r>
          </w:p>
        </w:tc>
        <w:tc>
          <w:tcPr>
            <w:tcW w:w="1200" w:type="dxa"/>
            <w:tcBorders/>
            <w:shd w:fill="CCEEFF" w:val="clear"/>
            <w:vAlign w:val="bottom"/>
          </w:tcPr>
          <w:p>
            <w:pPr>
              <w:pStyle w:val="TableContents"/>
              <w:bidi w:val="0"/>
              <w:spacing w:before="0" w:after="283"/>
              <w:jc w:val="right"/>
              <w:rPr/>
            </w:pPr>
            <w:r>
              <w:rPr/>
              <w:t>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267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4,169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Southeast Asia/Pacific</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1,589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862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2,948</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Mainland China</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3,449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(162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1,017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2,910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7,214</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Japan</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Europe &amp; Africa</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414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2,797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South Korea</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1,646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(134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1,646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Hong Kong/Taiwan</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bottom"/>
          </w:tcPr>
          <w:p>
            <w:pPr>
              <w:pStyle w:val="TableContents"/>
              <w:bidi w:val="0"/>
              <w:spacing w:before="0" w:after="283"/>
              <w:jc w:val="right"/>
              <w:rPr/>
            </w:pPr>
            <w:r>
              <w:rPr/>
              <w:t>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bottom"/>
          </w:tcPr>
          <w:p>
            <w:pPr>
              <w:pStyle w:val="TableContents"/>
              <w:bidi w:val="0"/>
              <w:spacing w:before="0" w:after="283"/>
              <w:jc w:val="right"/>
              <w:rPr/>
            </w:pPr>
            <w:r>
              <w:rPr/>
              <w:t>(147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283"/>
              <w:jc w:val="right"/>
              <w:rPr/>
            </w:pPr>
            <w:r>
              <w:rPr/>
              <w:t>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936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Total Nu Skin</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8,290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5,661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5,356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19,735</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 xml:space="preserve">Rhyz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Manufacturing</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Rhyz Other</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bottom"/>
          </w:tcPr>
          <w:p>
            <w:pPr>
              <w:pStyle w:val="TableContents"/>
              <w:bidi w:val="0"/>
              <w:spacing w:before="0" w:after="283"/>
              <w:jc w:val="right"/>
              <w:rPr/>
            </w:pPr>
            <w:r>
              <w:rPr/>
              <w:t>1,040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bottom"/>
          </w:tcPr>
          <w:p>
            <w:pPr>
              <w:pStyle w:val="TableContents"/>
              <w:bidi w:val="0"/>
              <w:spacing w:before="0" w:after="283"/>
              <w:jc w:val="right"/>
              <w:rPr/>
            </w:pPr>
            <w:r>
              <w:rPr/>
              <w:t>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 xml:space="preserve">Total Rhyz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bottom w:val="single" w:sz="12" w:space="0" w:color="000000"/>
            </w:tcBorders>
            <w:tcMar>
              <w:bottom w:w="28" w:type="dxa"/>
            </w:tcMar>
            <w:vAlign w:val="bottom"/>
          </w:tcPr>
          <w:p>
            <w:pPr>
              <w:pStyle w:val="TableContents"/>
              <w:bidi w:val="0"/>
              <w:spacing w:before="0" w:after="283"/>
              <w:jc w:val="right"/>
              <w:rPr/>
            </w:pPr>
            <w:r>
              <w:rPr/>
              <w:t>1,040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tcMar>
              <w:bottom w:w="28" w:type="dxa"/>
            </w:tcMar>
            <w:vAlign w:val="bottom"/>
          </w:tcPr>
          <w:p>
            <w:pPr>
              <w:pStyle w:val="TableContents"/>
              <w:bidi w:val="0"/>
              <w:spacing w:before="0" w:after="283"/>
              <w:jc w:val="right"/>
              <w:rPr/>
            </w:pPr>
            <w:r>
              <w:rPr/>
              <w:t>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1,080</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bottom"/>
          </w:tcPr>
          <w:p>
            <w:pPr>
              <w:pStyle w:val="TableContents"/>
              <w:bidi w:val="0"/>
              <w:spacing w:before="0" w:after="283"/>
              <w:jc w:val="right"/>
              <w:rPr/>
            </w:pPr>
            <w:r>
              <w:rPr/>
              <w:t>32,887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bottom"/>
          </w:tcPr>
          <w:p>
            <w:pPr>
              <w:pStyle w:val="TableContents"/>
              <w:bidi w:val="0"/>
              <w:spacing w:before="0" w:after="283"/>
              <w:jc w:val="right"/>
              <w:rPr/>
            </w:pPr>
            <w:r>
              <w:rPr/>
              <w:t>7,896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46,903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w:t>
            </w:r>
          </w:p>
        </w:tc>
        <w:tc>
          <w:tcPr>
            <w:tcW w:w="1200" w:type="dxa"/>
            <w:tcBorders>
              <w:bottom w:val="double" w:sz="8" w:space="0" w:color="000000"/>
            </w:tcBorders>
            <w:tcMar>
              <w:bottom w:w="28" w:type="dxa"/>
            </w:tcMar>
            <w:vAlign w:val="bottom"/>
          </w:tcPr>
          <w:p>
            <w:pPr>
              <w:pStyle w:val="TableContents"/>
              <w:bidi w:val="0"/>
              <w:spacing w:before="0" w:after="283"/>
              <w:jc w:val="right"/>
              <w:rPr/>
            </w:pPr>
            <w:r>
              <w:rPr/>
              <w:t>42,217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bottom w:val="double" w:sz="8" w:space="0" w:color="000000"/>
            </w:tcBorders>
            <w:tcMar>
              <w:bottom w:w="28" w:type="dxa"/>
            </w:tcMar>
            <w:vAlign w:val="bottom"/>
          </w:tcPr>
          <w:p>
            <w:pPr>
              <w:pStyle w:val="TableContents"/>
              <w:bidi w:val="0"/>
              <w:spacing w:before="0" w:after="283"/>
              <w:jc w:val="left"/>
              <w:rPr/>
            </w:pPr>
            <w:r>
              <w:rPr/>
              <w:t>$</w:t>
            </w:r>
          </w:p>
        </w:tc>
        <w:tc>
          <w:tcPr>
            <w:tcW w:w="580" w:type="dxa"/>
            <w:tcBorders>
              <w:bottom w:val="double" w:sz="8" w:space="0" w:color="000000"/>
            </w:tcBorders>
            <w:tcMar>
              <w:bottom w:w="28" w:type="dxa"/>
            </w:tcMar>
            <w:vAlign w:val="bottom"/>
          </w:tcPr>
          <w:p>
            <w:pPr>
              <w:pStyle w:val="TableContents"/>
              <w:bidi w:val="0"/>
              <w:spacing w:before="0" w:after="283"/>
              <w:jc w:val="right"/>
              <w:rPr/>
            </w:pPr>
            <w:r>
              <w:rPr/>
              <w:t>8,364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67,718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i w:val="false"/>
          <w:caps w:val="false"/>
          <w:smallCaps w:val="false"/>
          <w:color w:val="000000"/>
          <w:sz w:val="20"/>
          <w:shd w:fill="FFFFFF" w:val="clear"/>
        </w:rPr>
        <w:t xml:space="preserve"> </w:t>
      </w:r>
    </w:p>
    <w:p>
      <w:pPr>
        <w:pStyle w:val="Normal"/>
        <w:bidi w:val="0"/>
        <w:spacing w:before="0" w:after="0"/>
        <w:jc w:val="left"/>
        <w:rPr>
          <w:sz w:val="4"/>
          <w:szCs w:val="4"/>
        </w:rPr>
      </w:pPr>
      <w:r>
        <w:rPr>
          <w:sz w:val="4"/>
          <w:szCs w:val="4"/>
        </w:rPr>
      </w:r>
      <w:bookmarkStart w:id="12" w:name="MANAGEMENTSDISCUSSIONANDA"/>
      <w:bookmarkStart w:id="13" w:name="MANAGEMENTSDISCUSSIONANDA"/>
      <w:bookmarkEnd w:id="13"/>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2.</w:t>
            </w:r>
          </w:p>
        </w:tc>
        <w:tc>
          <w:tcPr>
            <w:tcW w:w="9361" w:type="dxa"/>
            <w:tcBorders/>
            <w:vAlign w:val="center"/>
          </w:tcPr>
          <w:p>
            <w:pPr>
              <w:pStyle w:val="TableContents"/>
              <w:bidi w:val="0"/>
              <w:spacing w:before="0" w:after="0"/>
              <w:jc w:val="left"/>
              <w:rPr>
                <w:b/>
                <w:u w:val="single"/>
              </w:rPr>
            </w:pPr>
            <w:r>
              <w:rPr>
                <w:b/>
                <w:u w:val="single"/>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acquisitions, and the integration of acquired companies,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global economic conditions and our markets, including India;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or related to the United States and Mainland China; statements regarding tariffs and trade policies;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important risks and uncertainties that could cause actual results to differ materially from the expectations and beliefs contained herein. For a summary of these risks, see the risk factors included in our Annual Report on Form 10-K for the 2024 fiscal year and in any of our subsequent Securities and Exchange Commission filings, including this Quarterly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Management’s Discussion and Analysis should be read in conjunction with our consolidated financial statements and related notes and Management’s Discussion and Analysis included in our Annual Report on Form 10-K for the 2024 fiscal year, and our other reports filed with the Securities and Exchange Commission through the date of this Quarterly Report.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September 30, 2025 decreased 15% to $364.2 million, compared to $430.1 million in the prior-year period, and revenue for the nine-month period ended September 30, 2025 decreased 13% to $1,114.8 million, compared to $1,286.5 million in the prior-year period. Our revenue in the third quarter and first nine months of 2025 was negatively impacted  0.4% and 0.9%, respectively, from foreign-currency fluctuations. Our Customers, Paid Affiliates and Sales Leaders declined 10%, 13% and 19%, respectively, on a year-over-year basis.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declines for the third quarter and first nine months of 2025 were largely driven by the continued macroeconomic challenges we have been facing in our markets, which have negatively impacted consumer spending and customer acquisition. In addition, while we believe we continue to make progress on our long-term vision, we have experienced headwinds from the transformation process. Our priorities for 2025 focus on business model optimization, driven by the continued rollout of enhancements to our sales performance plan, a limited preview of our </w:t>
      </w:r>
      <w:r>
        <w:rPr>
          <w:rFonts w:ascii="Times New Roman;Times;serif" w:hAnsi="Times New Roman;Times;serif"/>
          <w:i/>
          <w:color w:val="000000"/>
          <w:sz w:val="20"/>
          <w:shd w:fill="FFFFFF" w:val="clear"/>
        </w:rPr>
        <w:t>Prysm iO</w:t>
      </w:r>
      <w:r>
        <w:rPr>
          <w:rFonts w:ascii="Times New Roman;Times;serif" w:hAnsi="Times New Roman;Times;serif"/>
          <w:color w:val="000000"/>
          <w:sz w:val="20"/>
          <w:shd w:fill="FFFFFF" w:val="clear"/>
        </w:rPr>
        <w:t xml:space="preserve"> intelligent wellness platform and business expansion into India. Due to the timing of the limited leader preview, we are not anticipating material revenue from the </w:t>
      </w:r>
      <w:r>
        <w:rPr>
          <w:rFonts w:ascii="Times New Roman;Times;serif" w:hAnsi="Times New Roman;Times;serif"/>
          <w:i/>
          <w:color w:val="000000"/>
          <w:sz w:val="20"/>
          <w:shd w:fill="FFFFFF" w:val="clear"/>
        </w:rPr>
        <w:t>Prysm iO</w:t>
      </w:r>
      <w:r>
        <w:rPr>
          <w:rFonts w:ascii="Times New Roman;Times;serif" w:hAnsi="Times New Roman;Times;serif"/>
          <w:color w:val="000000"/>
          <w:sz w:val="20"/>
          <w:shd w:fill="FFFFFF" w:val="clear"/>
        </w:rPr>
        <w:t xml:space="preserve"> device sales in 2025. We are currently anticipating nominal revenue from our fourth quarter India market pre-opening, as we are preparing for the formal launch in the second half of 2026.</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Earnings per share for the third quarter of 2025 increased to $0.34, compared to $0.17 in the prior-year period. Earnings per share for the first nine months of 2025 increased to $2.91, compared to $(2.23) in the prior-year period. The increase in earnings per share for the third quarter of 2025 was primarily attributable to a decline in our income tax rate from additional research and development credits recognized during the quarter, as well as a decline in general and administrative expenses from continued expense management. In addition, our earnings per share for the first nine months of 2025 increased due to the sale of our Mavely business, which generated a pre-tax gain of approximately $176.2 million, partially offset by the associated taxes, an intangible asset group impairment of $25.1 million in our Rhyz Other segment, a non-cash loss on investment of $28.1 million and the decline in revenue. The improvement in earnings per share for the nine-month period also reflects restructuring and impairment charges of $149.4 million in the second quarter of 2024, which did not repeat in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Segment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report our business in nine segments to reflect our current management approach. These segments consist of our seven geographic Nu Skin segments—Americas, Mainland China, Southeast Asia/Pacific, Japan, Europe &amp; Africa, South Korea and Hong Kong/Taiwan—and our two Rhyz segments—Manufacturing and Rhyz Other. The Nu Skin Other category includes miscellaneous corporate revenue and related adjustments.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revenue for the three- and nine-month periods ended September 30, 2025 and 2024 for each of our reportable segments (U.S. dollars in thousands):</w:t>
      </w:r>
    </w:p>
    <w:p>
      <w:pPr>
        <w:pStyle w:val="TextBody"/>
        <w:bidi w:val="0"/>
        <w:spacing w:before="0" w:after="0"/>
        <w:jc w:val="left"/>
        <w:rPr/>
      </w:pPr>
      <w:r>
        <w:rPr/>
      </w:r>
    </w:p>
    <w:tbl>
      <w:tblPr>
        <w:tblW w:w="10795" w:type="dxa"/>
        <w:jc w:val="left"/>
        <w:tblInd w:w="0" w:type="dxa"/>
        <w:tblLayout w:type="fixed"/>
        <w:tblCellMar>
          <w:top w:w="0" w:type="dxa"/>
          <w:left w:w="0" w:type="dxa"/>
          <w:bottom w:w="0" w:type="dxa"/>
          <w:right w:w="0" w:type="dxa"/>
        </w:tblCellMar>
      </w:tblPr>
      <w:tblGrid>
        <w:gridCol w:w="1430"/>
        <w:gridCol w:w="60"/>
        <w:gridCol w:w="140"/>
        <w:gridCol w:w="800"/>
        <w:gridCol w:w="60"/>
        <w:gridCol w:w="60"/>
        <w:gridCol w:w="140"/>
        <w:gridCol w:w="800"/>
        <w:gridCol w:w="60"/>
        <w:gridCol w:w="60"/>
        <w:gridCol w:w="85"/>
        <w:gridCol w:w="730"/>
        <w:gridCol w:w="215"/>
        <w:gridCol w:w="60"/>
        <w:gridCol w:w="105"/>
        <w:gridCol w:w="905"/>
        <w:gridCol w:w="215"/>
        <w:gridCol w:w="60"/>
        <w:gridCol w:w="140"/>
        <w:gridCol w:w="980"/>
        <w:gridCol w:w="60"/>
        <w:gridCol w:w="60"/>
        <w:gridCol w:w="140"/>
        <w:gridCol w:w="980"/>
        <w:gridCol w:w="60"/>
        <w:gridCol w:w="60"/>
        <w:gridCol w:w="85"/>
        <w:gridCol w:w="730"/>
        <w:gridCol w:w="215"/>
        <w:gridCol w:w="60"/>
        <w:gridCol w:w="105"/>
        <w:gridCol w:w="905"/>
        <w:gridCol w:w="230"/>
      </w:tblGrid>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0"/>
              <w:jc w:val="center"/>
              <w:rPr>
                <w:b/>
              </w:rPr>
            </w:pPr>
            <w:r>
              <w:rPr>
                <w:b/>
              </w:rPr>
              <w:t>Constant-</w:t>
            </w:r>
          </w:p>
          <w:p>
            <w:pPr>
              <w:pStyle w:val="TableContents"/>
              <w:bidi w:val="0"/>
              <w:spacing w:before="0" w:after="0"/>
              <w:jc w:val="center"/>
              <w:rPr>
                <w:b/>
              </w:rPr>
            </w:pPr>
            <w:r>
              <w:rPr>
                <w:b/>
              </w:rPr>
              <w:t>Currency</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0"/>
              <w:jc w:val="center"/>
              <w:rPr>
                <w:b/>
              </w:rPr>
            </w:pPr>
            <w:r>
              <w:rPr>
                <w:b/>
              </w:rPr>
              <w:t>Constant-</w:t>
            </w:r>
          </w:p>
          <w:p>
            <w:pPr>
              <w:pStyle w:val="TableContents"/>
              <w:bidi w:val="0"/>
              <w:spacing w:before="0" w:after="0"/>
              <w:jc w:val="center"/>
              <w:rPr>
                <w:b/>
              </w:rPr>
            </w:pPr>
            <w:r>
              <w:rPr>
                <w:b/>
              </w:rPr>
              <w:t>Currency</w:t>
            </w:r>
          </w:p>
        </w:tc>
        <w:tc>
          <w:tcPr>
            <w:tcW w:w="23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23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i/>
              </w:rPr>
            </w:pPr>
            <w:r>
              <w:rPr>
                <w:i/>
              </w:rPr>
              <w:t>Nu Skin</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63,994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77,194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(17.1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(10.7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205,998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237,160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(13.1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(6.8</w:t>
            </w:r>
          </w:p>
        </w:tc>
        <w:tc>
          <w:tcPr>
            <w:tcW w:w="230"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360" w:right="0" w:hanging="0"/>
              <w:jc w:val="left"/>
              <w:rPr/>
            </w:pPr>
            <w:r>
              <w:rPr/>
              <w:t>Southeast Asia/Pacific</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56,285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59,515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(5.4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(5.4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159,291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179,921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(11.5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(11.6</w:t>
            </w:r>
          </w:p>
        </w:tc>
        <w:tc>
          <w:tcPr>
            <w:tcW w:w="230"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0"/>
              <w:ind w:left="360" w:right="0" w:hanging="0"/>
              <w:jc w:val="left"/>
              <w:rPr/>
            </w:pPr>
            <w:r>
              <w:rPr/>
              <w:t>Mainland China</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42,519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53,020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(19.8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(19.8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143,518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178,797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(19.7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(19.4</w:t>
            </w:r>
          </w:p>
        </w:tc>
        <w:tc>
          <w:tcPr>
            <w:tcW w:w="230"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360" w:right="0" w:hanging="0"/>
              <w:jc w:val="left"/>
              <w:rPr/>
            </w:pPr>
            <w:r>
              <w:rPr/>
              <w:t>Japan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44,545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47,222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(5.7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(6.5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131,860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134,045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(1.6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(3.5</w:t>
            </w:r>
          </w:p>
        </w:tc>
        <w:tc>
          <w:tcPr>
            <w:tcW w:w="230"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0"/>
              <w:ind w:left="360" w:right="0" w:hanging="0"/>
              <w:jc w:val="left"/>
              <w:rPr/>
            </w:pPr>
            <w:r>
              <w:rPr/>
              <w:t>Europe &amp; Africa</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38,002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38,577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(7.4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108,351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121,564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(10.9</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(13.5</w:t>
            </w:r>
          </w:p>
        </w:tc>
        <w:tc>
          <w:tcPr>
            <w:tcW w:w="230"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360" w:right="0" w:hanging="0"/>
              <w:jc w:val="left"/>
              <w:rPr/>
            </w:pPr>
            <w:r>
              <w:rPr/>
              <w:t>South Korea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35,202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45,201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(22.1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(20.2</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101,785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130,283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(21.9</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(18.4</w:t>
            </w:r>
          </w:p>
        </w:tc>
        <w:tc>
          <w:tcPr>
            <w:tcW w:w="230"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0"/>
              <w:ind w:left="360" w:right="0" w:hanging="0"/>
              <w:jc w:val="left"/>
              <w:rPr/>
            </w:pPr>
            <w:r>
              <w:rPr/>
              <w:t>Hong Kong/Taiwan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31,799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33,749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(5.8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(10.1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87,773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98,061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(10.5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(12.0</w:t>
            </w:r>
          </w:p>
        </w:tc>
        <w:tc>
          <w:tcPr>
            <w:tcW w:w="230"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360" w:right="0" w:hanging="0"/>
              <w:jc w:val="left"/>
              <w:rPr/>
            </w:pPr>
            <w:r>
              <w:rPr/>
              <w:t>Nu Skin 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2,518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(90.3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(90.3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3,186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(62.3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(62.2</w:t>
            </w:r>
          </w:p>
        </w:tc>
        <w:tc>
          <w:tcPr>
            <w:tcW w:w="230"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0"/>
              <w:jc w:val="left"/>
              <w:rPr>
                <w:i/>
              </w:rPr>
            </w:pPr>
            <w:r>
              <w:rPr>
                <w:i/>
              </w:rPr>
              <w:t>Total Nu Skin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312,590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356,996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(12.4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(12.0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939,776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1,083,017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(13.2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(12.1</w:t>
            </w:r>
          </w:p>
        </w:tc>
        <w:tc>
          <w:tcPr>
            <w:tcW w:w="230"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jc w:val="left"/>
              <w:rPr>
                <w:i/>
              </w:rPr>
            </w:pPr>
            <w:r>
              <w:rPr>
                <w:i/>
              </w:rPr>
              <w:t>Rhyz</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360" w:right="0" w:hanging="0"/>
              <w:jc w:val="left"/>
              <w:rPr/>
            </w:pPr>
            <w:r>
              <w:rPr/>
              <w:t>Manufacturing</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47,648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51,773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(8.0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(8.0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163,338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153,548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6.4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6.4</w:t>
            </w:r>
          </w:p>
        </w:tc>
        <w:tc>
          <w:tcPr>
            <w:tcW w:w="230"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360" w:right="0" w:hanging="0"/>
              <w:jc w:val="left"/>
              <w:rPr/>
            </w:pPr>
            <w:r>
              <w:rPr/>
              <w:t>Rhyz 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3,973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21,376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(81.4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(81.4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11,725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49,967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(76.5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(76.5</w:t>
            </w:r>
          </w:p>
        </w:tc>
        <w:tc>
          <w:tcPr>
            <w:tcW w:w="230"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0"/>
              <w:jc w:val="left"/>
              <w:rPr>
                <w:i/>
              </w:rPr>
            </w:pPr>
            <w:r>
              <w:rPr>
                <w:i/>
              </w:rPr>
              <w:t>Total Rhyz</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51,621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73,149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(29.4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(29.4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175,063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203,515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(14.0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(14.0</w:t>
            </w:r>
          </w:p>
        </w:tc>
        <w:tc>
          <w:tcPr>
            <w:tcW w:w="230"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180" w:right="0" w:hanging="0"/>
              <w:jc w:val="left"/>
              <w:rPr/>
            </w:pPr>
            <w:r>
              <w:rPr/>
              <w:t>Total</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364,211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430,145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(15.3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(14.9</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1,114,839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1,286,532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(13.3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(12.4</w:t>
            </w:r>
          </w:p>
        </w:tc>
        <w:tc>
          <w:tcPr>
            <w:tcW w:w="230"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0"/>
              <w:jc w:val="both"/>
              <w:rPr/>
            </w:pPr>
            <w:r>
              <w:rPr/>
              <w:t>Constant-currency revenue change is a non-GAAP financial measure. See “Non-GAAP Financial Measures,” below.</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set forth summarized financial information for each of our reportable segments for the three- and nine-month periods ended September 30, 2025 and 2024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11 to the consolidated financial statements contained in this report.</w:t>
      </w:r>
    </w:p>
    <w:p>
      <w:pPr>
        <w:pStyle w:val="TextBody"/>
        <w:bidi w:val="0"/>
        <w:spacing w:before="0" w:after="0"/>
        <w:jc w:val="left"/>
        <w:rPr/>
      </w:pPr>
      <w:r>
        <w:rPr/>
      </w:r>
    </w:p>
    <w:tbl>
      <w:tblPr>
        <w:tblW w:w="13460" w:type="dxa"/>
        <w:jc w:val="left"/>
        <w:tblInd w:w="0" w:type="dxa"/>
        <w:tblLayout w:type="fixed"/>
        <w:tblCellMar>
          <w:top w:w="0" w:type="dxa"/>
          <w:left w:w="0" w:type="dxa"/>
          <w:bottom w:w="0" w:type="dxa"/>
          <w:right w:w="0" w:type="dxa"/>
        </w:tblCellMar>
      </w:tblPr>
      <w:tblGrid>
        <w:gridCol w:w="995"/>
        <w:gridCol w:w="60"/>
        <w:gridCol w:w="167"/>
        <w:gridCol w:w="813"/>
        <w:gridCol w:w="215"/>
        <w:gridCol w:w="60"/>
        <w:gridCol w:w="172"/>
        <w:gridCol w:w="838"/>
        <w:gridCol w:w="215"/>
        <w:gridCol w:w="60"/>
        <w:gridCol w:w="172"/>
        <w:gridCol w:w="838"/>
        <w:gridCol w:w="215"/>
        <w:gridCol w:w="60"/>
        <w:gridCol w:w="140"/>
        <w:gridCol w:w="680"/>
        <w:gridCol w:w="215"/>
        <w:gridCol w:w="60"/>
        <w:gridCol w:w="157"/>
        <w:gridCol w:w="763"/>
        <w:gridCol w:w="215"/>
        <w:gridCol w:w="60"/>
        <w:gridCol w:w="140"/>
        <w:gridCol w:w="680"/>
        <w:gridCol w:w="215"/>
        <w:gridCol w:w="60"/>
        <w:gridCol w:w="140"/>
        <w:gridCol w:w="680"/>
        <w:gridCol w:w="215"/>
        <w:gridCol w:w="60"/>
        <w:gridCol w:w="267"/>
        <w:gridCol w:w="1298"/>
        <w:gridCol w:w="215"/>
        <w:gridCol w:w="60"/>
        <w:gridCol w:w="140"/>
        <w:gridCol w:w="635"/>
        <w:gridCol w:w="215"/>
        <w:gridCol w:w="60"/>
        <w:gridCol w:w="145"/>
        <w:gridCol w:w="835"/>
        <w:gridCol w:w="230"/>
      </w:tblGrid>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September 30, 2025</w:t>
            </w:r>
          </w:p>
        </w:tc>
        <w:tc>
          <w:tcPr>
            <w:tcW w:w="23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Southeast Asia/ </w:t>
              <w:br/>
              <w:t>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Mainland </w:t>
            </w:r>
          </w:p>
          <w:p>
            <w:pPr>
              <w:pStyle w:val="TableContents"/>
              <w:bidi w:val="0"/>
              <w:spacing w:before="0" w:after="0"/>
              <w:jc w:val="center"/>
              <w:rPr>
                <w:b/>
                <w:color w:val="000000"/>
              </w:rPr>
            </w:pPr>
            <w:r>
              <w:rPr>
                <w:b/>
                <w:color w:val="000000"/>
              </w:rPr>
              <w:t>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w:t>
            </w:r>
          </w:p>
          <w:p>
            <w:pPr>
              <w:pStyle w:val="TableContents"/>
              <w:bidi w:val="0"/>
              <w:spacing w:before="0" w:after="0"/>
              <w:jc w:val="center"/>
              <w:rPr>
                <w:b/>
                <w:color w:val="000000"/>
              </w:rPr>
            </w:pPr>
            <w:r>
              <w:rPr>
                <w:b/>
                <w:color w:val="000000"/>
              </w:rPr>
              <w:t>&amp; 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w:t>
            </w:r>
          </w:p>
          <w:p>
            <w:pPr>
              <w:pStyle w:val="TableContents"/>
              <w:bidi w:val="0"/>
              <w:spacing w:before="0" w:after="0"/>
              <w:jc w:val="center"/>
              <w:rPr>
                <w:b/>
                <w:color w:val="000000"/>
              </w:rPr>
            </w:pPr>
            <w:r>
              <w:rPr>
                <w:b/>
                <w:color w:val="000000"/>
              </w:rPr>
              <w:t>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Hong Kong/ </w:t>
            </w:r>
          </w:p>
          <w:p>
            <w:pPr>
              <w:pStyle w:val="TableContents"/>
              <w:bidi w:val="0"/>
              <w:spacing w:before="0" w:after="0"/>
              <w:jc w:val="center"/>
              <w:rPr>
                <w:b/>
                <w:color w:val="000000"/>
              </w:rPr>
            </w:pPr>
            <w:r>
              <w:rPr>
                <w:b/>
                <w:color w:val="000000"/>
              </w:rPr>
              <w:t>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p>
            <w:pPr>
              <w:pStyle w:val="TableContents"/>
              <w:bidi w:val="0"/>
              <w:spacing w:before="0" w:after="0"/>
              <w:jc w:val="center"/>
              <w:rPr>
                <w:b/>
                <w:color w:val="000000"/>
              </w:rPr>
            </w:pPr>
            <w:r>
              <w:rPr>
                <w:b/>
                <w:color w:val="000000"/>
              </w:rPr>
              <w:t>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w:t>
            </w:r>
          </w:p>
          <w:p>
            <w:pPr>
              <w:pStyle w:val="TableContents"/>
              <w:bidi w:val="0"/>
              <w:spacing w:before="0" w:after="0"/>
              <w:jc w:val="center"/>
              <w:rPr>
                <w:b/>
                <w:color w:val="000000"/>
              </w:rPr>
            </w:pPr>
            <w:r>
              <w:rPr>
                <w:b/>
                <w:color w:val="000000"/>
              </w:rPr>
              <w:t>Segments</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Revenue</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color w:val="000000"/>
              </w:rPr>
            </w:pPr>
            <w:r>
              <w:rPr>
                <w:color w:val="000000"/>
              </w:rPr>
              <w:t>$</w:t>
            </w:r>
          </w:p>
        </w:tc>
        <w:tc>
          <w:tcPr>
            <w:tcW w:w="813" w:type="dxa"/>
            <w:tcBorders/>
            <w:shd w:fill="CCEEFF" w:val="clear"/>
            <w:vAlign w:val="bottom"/>
          </w:tcPr>
          <w:p>
            <w:pPr>
              <w:pStyle w:val="TableContents"/>
              <w:bidi w:val="0"/>
              <w:spacing w:before="0" w:after="0"/>
              <w:jc w:val="right"/>
              <w:rPr>
                <w:color w:val="000000"/>
              </w:rPr>
            </w:pPr>
            <w:r>
              <w:rPr>
                <w:color w:val="000000"/>
              </w:rPr>
              <w:t>63,994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56,285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42,519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44,545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38,002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35,202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31,799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color w:val="000000"/>
              </w:rPr>
            </w:pPr>
            <w:r>
              <w:rPr>
                <w:color w:val="000000"/>
              </w:rPr>
              <w:t>$</w:t>
            </w:r>
          </w:p>
        </w:tc>
        <w:tc>
          <w:tcPr>
            <w:tcW w:w="1298" w:type="dxa"/>
            <w:tcBorders/>
            <w:shd w:fill="CCEEFF" w:val="clear"/>
            <w:vAlign w:val="bottom"/>
          </w:tcPr>
          <w:p>
            <w:pPr>
              <w:pStyle w:val="TableContents"/>
              <w:bidi w:val="0"/>
              <w:spacing w:before="0" w:after="0"/>
              <w:jc w:val="right"/>
              <w:rPr>
                <w:color w:val="000000"/>
              </w:rPr>
            </w:pPr>
            <w:r>
              <w:rPr>
                <w:color w:val="000000"/>
              </w:rPr>
              <w:t>47,648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3,973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363,967</w:t>
            </w:r>
          </w:p>
        </w:tc>
        <w:tc>
          <w:tcPr>
            <w:tcW w:w="23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ind w:left="180" w:right="0" w:hanging="180"/>
              <w:jc w:val="left"/>
              <w:rPr>
                <w:color w:val="000000"/>
              </w:rPr>
            </w:pPr>
            <w:r>
              <w:rPr>
                <w:color w:val="000000"/>
              </w:rPr>
              <w:t>Cost of sales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16,682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13,734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7,365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9,319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9,717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6,952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5,218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36,795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000000"/>
              </w:rPr>
            </w:pPr>
            <w:r>
              <w:rPr>
                <w:color w:val="000000"/>
              </w:rPr>
              <w:t>890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106,672</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33,908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29,708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28,594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21,989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22,449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19,131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16,548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8,254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184,941</w:t>
            </w:r>
          </w:p>
        </w:tc>
        <w:tc>
          <w:tcPr>
            <w:tcW w:w="23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ind w:left="180" w:right="0" w:hanging="180"/>
              <w:jc w:val="left"/>
              <w:rPr>
                <w:color w:val="000000"/>
              </w:rPr>
            </w:pPr>
            <w:r>
              <w:rPr>
                <w:color w:val="000000"/>
              </w:rPr>
              <w:t>Segment contribution</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13,404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12,843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6,560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13,237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5,836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9,119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10,033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2,599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(1,277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72,354</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Segment contribution as a percentage of revenue</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i/>
                <w:color w:val="000000"/>
              </w:rPr>
            </w:pPr>
            <w:r>
              <w:rPr>
                <w:i/>
                <w:color w:val="000000"/>
              </w:rPr>
              <w:t>20.9</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i/>
                <w:color w:val="000000"/>
              </w:rPr>
            </w:pPr>
            <w:r>
              <w:rPr>
                <w:i/>
                <w:color w:val="000000"/>
              </w:rPr>
              <w:t>22.8</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i/>
                <w:color w:val="000000"/>
              </w:rPr>
            </w:pPr>
            <w:r>
              <w:rPr>
                <w:i/>
                <w:color w:val="000000"/>
              </w:rPr>
              <w:t>15.4</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29.7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15.4</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25.9</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31.6</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i/>
                <w:color w:val="000000"/>
              </w:rPr>
            </w:pPr>
            <w:r>
              <w:rPr>
                <w:i/>
                <w:color w:val="000000"/>
              </w:rPr>
              <w:t>5.5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i/>
                <w:color w:val="000000"/>
              </w:rPr>
            </w:pPr>
            <w:r>
              <w:rPr>
                <w:i/>
                <w:color w:val="000000"/>
              </w:rPr>
              <w:t>(32.1</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19.9</w:t>
            </w:r>
          </w:p>
        </w:tc>
        <w:tc>
          <w:tcPr>
            <w:tcW w:w="230" w:type="dxa"/>
            <w:tcBorders/>
            <w:shd w:fill="CCEEFF" w:val="clear"/>
            <w:vAlign w:val="bottom"/>
          </w:tcPr>
          <w:p>
            <w:pPr>
              <w:pStyle w:val="TableContents"/>
              <w:bidi w:val="0"/>
              <w:spacing w:before="0" w:after="0"/>
              <w:jc w:val="left"/>
              <w:rPr>
                <w:i/>
                <w:color w:val="000000"/>
              </w:rPr>
            </w:pPr>
            <w:r>
              <w:rPr>
                <w:i/>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tbl>
      <w:tblPr>
        <w:tblW w:w="13505" w:type="dxa"/>
        <w:jc w:val="left"/>
        <w:tblInd w:w="0" w:type="dxa"/>
        <w:tblLayout w:type="fixed"/>
        <w:tblCellMar>
          <w:top w:w="0" w:type="dxa"/>
          <w:left w:w="0" w:type="dxa"/>
          <w:bottom w:w="0" w:type="dxa"/>
          <w:right w:w="0" w:type="dxa"/>
        </w:tblCellMar>
      </w:tblPr>
      <w:tblGrid>
        <w:gridCol w:w="995"/>
        <w:gridCol w:w="60"/>
        <w:gridCol w:w="167"/>
        <w:gridCol w:w="813"/>
        <w:gridCol w:w="215"/>
        <w:gridCol w:w="60"/>
        <w:gridCol w:w="172"/>
        <w:gridCol w:w="838"/>
        <w:gridCol w:w="215"/>
        <w:gridCol w:w="60"/>
        <w:gridCol w:w="172"/>
        <w:gridCol w:w="838"/>
        <w:gridCol w:w="215"/>
        <w:gridCol w:w="60"/>
        <w:gridCol w:w="140"/>
        <w:gridCol w:w="680"/>
        <w:gridCol w:w="215"/>
        <w:gridCol w:w="60"/>
        <w:gridCol w:w="157"/>
        <w:gridCol w:w="763"/>
        <w:gridCol w:w="215"/>
        <w:gridCol w:w="60"/>
        <w:gridCol w:w="140"/>
        <w:gridCol w:w="680"/>
        <w:gridCol w:w="215"/>
        <w:gridCol w:w="60"/>
        <w:gridCol w:w="140"/>
        <w:gridCol w:w="680"/>
        <w:gridCol w:w="215"/>
        <w:gridCol w:w="60"/>
        <w:gridCol w:w="267"/>
        <w:gridCol w:w="1298"/>
        <w:gridCol w:w="215"/>
        <w:gridCol w:w="60"/>
        <w:gridCol w:w="140"/>
        <w:gridCol w:w="680"/>
        <w:gridCol w:w="215"/>
        <w:gridCol w:w="60"/>
        <w:gridCol w:w="145"/>
        <w:gridCol w:w="835"/>
        <w:gridCol w:w="230"/>
      </w:tblGrid>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September 30, 2024</w:t>
            </w:r>
          </w:p>
        </w:tc>
        <w:tc>
          <w:tcPr>
            <w:tcW w:w="23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Southeast Asia/ </w:t>
            </w:r>
          </w:p>
          <w:p>
            <w:pPr>
              <w:pStyle w:val="TableContents"/>
              <w:bidi w:val="0"/>
              <w:spacing w:before="0" w:after="0"/>
              <w:jc w:val="center"/>
              <w:rPr>
                <w:b/>
                <w:color w:val="000000"/>
              </w:rPr>
            </w:pPr>
            <w:r>
              <w:rPr>
                <w:b/>
                <w:color w:val="000000"/>
              </w:rPr>
              <w:t>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Mainland </w:t>
            </w:r>
          </w:p>
          <w:p>
            <w:pPr>
              <w:pStyle w:val="TableContents"/>
              <w:bidi w:val="0"/>
              <w:spacing w:before="0" w:after="0"/>
              <w:jc w:val="center"/>
              <w:rPr>
                <w:b/>
                <w:color w:val="000000"/>
              </w:rPr>
            </w:pPr>
            <w:r>
              <w:rPr>
                <w:b/>
                <w:color w:val="000000"/>
              </w:rPr>
              <w:t>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w:t>
            </w:r>
          </w:p>
          <w:p>
            <w:pPr>
              <w:pStyle w:val="TableContents"/>
              <w:bidi w:val="0"/>
              <w:spacing w:before="0" w:after="0"/>
              <w:jc w:val="center"/>
              <w:rPr>
                <w:b/>
                <w:color w:val="000000"/>
              </w:rPr>
            </w:pPr>
            <w:r>
              <w:rPr>
                <w:b/>
                <w:color w:val="000000"/>
              </w:rPr>
              <w:t>&amp; 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South </w:t>
            </w:r>
          </w:p>
          <w:p>
            <w:pPr>
              <w:pStyle w:val="TableContents"/>
              <w:bidi w:val="0"/>
              <w:spacing w:before="0" w:after="0"/>
              <w:jc w:val="center"/>
              <w:rPr>
                <w:b/>
                <w:color w:val="000000"/>
              </w:rPr>
            </w:pPr>
            <w:r>
              <w:rPr>
                <w:b/>
                <w:color w:val="000000"/>
              </w:rPr>
              <w:t>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Hong Kong/ </w:t>
            </w:r>
          </w:p>
          <w:p>
            <w:pPr>
              <w:pStyle w:val="TableContents"/>
              <w:bidi w:val="0"/>
              <w:spacing w:before="0" w:after="0"/>
              <w:jc w:val="center"/>
              <w:rPr>
                <w:b/>
                <w:color w:val="000000"/>
              </w:rPr>
            </w:pPr>
            <w:r>
              <w:rPr>
                <w:b/>
                <w:color w:val="000000"/>
              </w:rPr>
              <w:t>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p>
            <w:pPr>
              <w:pStyle w:val="TableContents"/>
              <w:bidi w:val="0"/>
              <w:spacing w:before="0" w:after="0"/>
              <w:jc w:val="center"/>
              <w:rPr>
                <w:b/>
                <w:color w:val="000000"/>
              </w:rPr>
            </w:pPr>
            <w:r>
              <w:rPr>
                <w:b/>
                <w:color w:val="000000"/>
              </w:rPr>
              <w:t>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w:t>
            </w:r>
          </w:p>
          <w:p>
            <w:pPr>
              <w:pStyle w:val="TableContents"/>
              <w:bidi w:val="0"/>
              <w:spacing w:before="0" w:after="0"/>
              <w:jc w:val="center"/>
              <w:rPr>
                <w:b/>
                <w:color w:val="000000"/>
              </w:rPr>
            </w:pPr>
            <w:r>
              <w:rPr>
                <w:b/>
                <w:color w:val="000000"/>
              </w:rPr>
              <w:t>Segments</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jc w:val="left"/>
              <w:rPr>
                <w:color w:val="000000"/>
              </w:rPr>
            </w:pPr>
            <w:r>
              <w:rPr>
                <w:color w:val="000000"/>
              </w:rPr>
              <w:t>Revenue</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color w:val="000000"/>
              </w:rPr>
            </w:pPr>
            <w:r>
              <w:rPr>
                <w:color w:val="000000"/>
              </w:rPr>
              <w:t>$</w:t>
            </w:r>
          </w:p>
        </w:tc>
        <w:tc>
          <w:tcPr>
            <w:tcW w:w="813" w:type="dxa"/>
            <w:tcBorders/>
            <w:shd w:fill="CCEEFF" w:val="clear"/>
            <w:vAlign w:val="bottom"/>
          </w:tcPr>
          <w:p>
            <w:pPr>
              <w:pStyle w:val="TableContents"/>
              <w:bidi w:val="0"/>
              <w:spacing w:before="0" w:after="0"/>
              <w:jc w:val="right"/>
              <w:rPr>
                <w:color w:val="000000"/>
              </w:rPr>
            </w:pPr>
            <w:r>
              <w:rPr>
                <w:color w:val="000000"/>
              </w:rPr>
              <w:t>77,194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59,515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53,020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47,222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38,577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45,201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33,749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color w:val="000000"/>
              </w:rPr>
            </w:pPr>
            <w:r>
              <w:rPr>
                <w:color w:val="000000"/>
              </w:rPr>
              <w:t>$</w:t>
            </w:r>
          </w:p>
        </w:tc>
        <w:tc>
          <w:tcPr>
            <w:tcW w:w="1298" w:type="dxa"/>
            <w:tcBorders/>
            <w:shd w:fill="CCEEFF" w:val="clear"/>
            <w:vAlign w:val="bottom"/>
          </w:tcPr>
          <w:p>
            <w:pPr>
              <w:pStyle w:val="TableContents"/>
              <w:bidi w:val="0"/>
              <w:spacing w:before="0" w:after="0"/>
              <w:jc w:val="right"/>
              <w:rPr>
                <w:color w:val="000000"/>
              </w:rPr>
            </w:pPr>
            <w:r>
              <w:rPr>
                <w:color w:val="000000"/>
              </w:rPr>
              <w:t>51,773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21,376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427,627</w:t>
            </w:r>
          </w:p>
        </w:tc>
        <w:tc>
          <w:tcPr>
            <w:tcW w:w="23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ind w:left="180" w:right="0" w:hanging="180"/>
              <w:jc w:val="left"/>
              <w:rPr>
                <w:color w:val="000000"/>
              </w:rPr>
            </w:pPr>
            <w:r>
              <w:rPr>
                <w:color w:val="000000"/>
              </w:rPr>
              <w:t>Cost of sales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20,335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16,708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10,370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9,541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9,641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9,768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6,595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42,547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2,292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127,797</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40,978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32,810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35,373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24,190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23,743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21,150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17,929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8,684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22,007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226,864</w:t>
            </w:r>
          </w:p>
        </w:tc>
        <w:tc>
          <w:tcPr>
            <w:tcW w:w="23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ind w:left="180" w:right="0" w:hanging="180"/>
              <w:jc w:val="left"/>
              <w:rPr>
                <w:color w:val="000000"/>
              </w:rPr>
            </w:pPr>
            <w:r>
              <w:rPr>
                <w:color w:val="000000"/>
              </w:rPr>
              <w:t>Segment contribution</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15,881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9,997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7,277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13,491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5,193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14,283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9,225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72,966</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Segment contribution as a percentage of revenue</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i/>
                <w:color w:val="000000"/>
              </w:rPr>
            </w:pPr>
            <w:r>
              <w:rPr>
                <w:i/>
                <w:color w:val="000000"/>
              </w:rPr>
              <w:t>20.6</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i/>
                <w:color w:val="000000"/>
              </w:rPr>
            </w:pPr>
            <w:r>
              <w:rPr>
                <w:i/>
                <w:color w:val="000000"/>
              </w:rPr>
              <w:t>16.8</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i/>
                <w:color w:val="000000"/>
              </w:rPr>
            </w:pPr>
            <w:r>
              <w:rPr>
                <w:i/>
                <w:color w:val="000000"/>
              </w:rPr>
              <w:t>13.7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28.6</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13.5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31.6</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27.3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i/>
                <w:color w:val="000000"/>
              </w:rPr>
            </w:pPr>
            <w:r>
              <w:rPr>
                <w:i/>
                <w:color w:val="000000"/>
              </w:rPr>
              <w:t>1.0</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(13.7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17.0</w:t>
            </w:r>
          </w:p>
        </w:tc>
        <w:tc>
          <w:tcPr>
            <w:tcW w:w="230" w:type="dxa"/>
            <w:tcBorders/>
            <w:shd w:fill="CCEEFF" w:val="clear"/>
            <w:vAlign w:val="bottom"/>
          </w:tcPr>
          <w:p>
            <w:pPr>
              <w:pStyle w:val="TableContents"/>
              <w:bidi w:val="0"/>
              <w:spacing w:before="0" w:after="0"/>
              <w:jc w:val="left"/>
              <w:rPr>
                <w:i/>
                <w:color w:val="000000"/>
              </w:rPr>
            </w:pPr>
            <w:r>
              <w:rPr>
                <w:i/>
                <w:color w:val="000000"/>
              </w:rPr>
              <w:t>%</w:t>
            </w:r>
          </w:p>
        </w:tc>
      </w:tr>
    </w:tbl>
    <w:p>
      <w:pPr>
        <w:pStyle w:val="TextBody"/>
        <w:bidi w:val="0"/>
        <w:spacing w:before="0" w:after="0"/>
        <w:jc w:val="left"/>
        <w:rPr/>
      </w:pPr>
      <w:r>
        <w:rPr/>
      </w:r>
    </w:p>
    <w:tbl>
      <w:tblPr>
        <w:tblW w:w="13905" w:type="dxa"/>
        <w:jc w:val="left"/>
        <w:tblInd w:w="0" w:type="dxa"/>
        <w:tblLayout w:type="fixed"/>
        <w:tblCellMar>
          <w:top w:w="0" w:type="dxa"/>
          <w:left w:w="0" w:type="dxa"/>
          <w:bottom w:w="0" w:type="dxa"/>
          <w:right w:w="0" w:type="dxa"/>
        </w:tblCellMar>
      </w:tblPr>
      <w:tblGrid>
        <w:gridCol w:w="995"/>
        <w:gridCol w:w="60"/>
        <w:gridCol w:w="145"/>
        <w:gridCol w:w="835"/>
        <w:gridCol w:w="215"/>
        <w:gridCol w:w="60"/>
        <w:gridCol w:w="150"/>
        <w:gridCol w:w="860"/>
        <w:gridCol w:w="215"/>
        <w:gridCol w:w="60"/>
        <w:gridCol w:w="150"/>
        <w:gridCol w:w="860"/>
        <w:gridCol w:w="215"/>
        <w:gridCol w:w="60"/>
        <w:gridCol w:w="140"/>
        <w:gridCol w:w="800"/>
        <w:gridCol w:w="215"/>
        <w:gridCol w:w="60"/>
        <w:gridCol w:w="140"/>
        <w:gridCol w:w="800"/>
        <w:gridCol w:w="215"/>
        <w:gridCol w:w="60"/>
        <w:gridCol w:w="140"/>
        <w:gridCol w:w="800"/>
        <w:gridCol w:w="215"/>
        <w:gridCol w:w="60"/>
        <w:gridCol w:w="140"/>
        <w:gridCol w:w="680"/>
        <w:gridCol w:w="215"/>
        <w:gridCol w:w="60"/>
        <w:gridCol w:w="233"/>
        <w:gridCol w:w="1332"/>
        <w:gridCol w:w="215"/>
        <w:gridCol w:w="60"/>
        <w:gridCol w:w="140"/>
        <w:gridCol w:w="680"/>
        <w:gridCol w:w="215"/>
        <w:gridCol w:w="60"/>
        <w:gridCol w:w="140"/>
        <w:gridCol w:w="980"/>
        <w:gridCol w:w="230"/>
      </w:tblGrid>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2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 September 30, 2025</w:t>
            </w:r>
          </w:p>
        </w:tc>
        <w:tc>
          <w:tcPr>
            <w:tcW w:w="23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Southeast Asia/</w:t>
            </w:r>
          </w:p>
          <w:p>
            <w:pPr>
              <w:pStyle w:val="TableContents"/>
              <w:bidi w:val="0"/>
              <w:spacing w:before="0" w:after="0"/>
              <w:jc w:val="center"/>
              <w:rPr>
                <w:b/>
                <w:color w:val="000000"/>
              </w:rPr>
            </w:pPr>
            <w:r>
              <w:rPr>
                <w:b/>
                <w:color w:val="000000"/>
              </w:rPr>
              <w:t>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Mainland</w:t>
            </w:r>
          </w:p>
          <w:p>
            <w:pPr>
              <w:pStyle w:val="TableContents"/>
              <w:bidi w:val="0"/>
              <w:spacing w:before="0" w:after="0"/>
              <w:jc w:val="center"/>
              <w:rPr>
                <w:b/>
                <w:color w:val="000000"/>
              </w:rPr>
            </w:pPr>
            <w:r>
              <w:rPr>
                <w:b/>
                <w:color w:val="000000"/>
              </w:rPr>
              <w:t>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w:t>
            </w:r>
          </w:p>
          <w:p>
            <w:pPr>
              <w:pStyle w:val="TableContents"/>
              <w:bidi w:val="0"/>
              <w:spacing w:before="0" w:after="0"/>
              <w:jc w:val="center"/>
              <w:rPr>
                <w:b/>
                <w:color w:val="000000"/>
              </w:rPr>
            </w:pPr>
            <w:r>
              <w:rPr>
                <w:b/>
                <w:color w:val="000000"/>
              </w:rPr>
              <w:t>&amp; 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w:t>
            </w:r>
          </w:p>
          <w:p>
            <w:pPr>
              <w:pStyle w:val="TableContents"/>
              <w:bidi w:val="0"/>
              <w:spacing w:before="0" w:after="0"/>
              <w:jc w:val="center"/>
              <w:rPr>
                <w:b/>
                <w:color w:val="000000"/>
              </w:rPr>
            </w:pPr>
            <w:r>
              <w:rPr>
                <w:b/>
                <w:color w:val="000000"/>
              </w:rPr>
              <w:t>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Hong Kong/</w:t>
            </w:r>
          </w:p>
          <w:p>
            <w:pPr>
              <w:pStyle w:val="TableContents"/>
              <w:bidi w:val="0"/>
              <w:spacing w:before="0" w:after="0"/>
              <w:jc w:val="center"/>
              <w:rPr>
                <w:b/>
                <w:color w:val="000000"/>
              </w:rPr>
            </w:pPr>
            <w:r>
              <w:rPr>
                <w:b/>
                <w:color w:val="000000"/>
              </w:rPr>
              <w:t>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p>
            <w:pPr>
              <w:pStyle w:val="TableContents"/>
              <w:bidi w:val="0"/>
              <w:spacing w:before="0" w:after="0"/>
              <w:jc w:val="center"/>
              <w:rPr>
                <w:b/>
                <w:color w:val="000000"/>
              </w:rPr>
            </w:pPr>
            <w:r>
              <w:rPr>
                <w:b/>
                <w:color w:val="000000"/>
              </w:rPr>
              <w:t>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Segments</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Revenue</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205,998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159,291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143,518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131,860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108,351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101,785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87,773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1332" w:type="dxa"/>
            <w:tcBorders/>
            <w:shd w:fill="CCEEFF" w:val="clear"/>
            <w:vAlign w:val="bottom"/>
          </w:tcPr>
          <w:p>
            <w:pPr>
              <w:pStyle w:val="TableContents"/>
              <w:bidi w:val="0"/>
              <w:spacing w:before="0" w:after="0"/>
              <w:jc w:val="right"/>
              <w:rPr>
                <w:color w:val="000000"/>
              </w:rPr>
            </w:pPr>
            <w:r>
              <w:rPr>
                <w:color w:val="000000"/>
              </w:rPr>
              <w:t>163,338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11,725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1,113,639</w:t>
            </w:r>
          </w:p>
        </w:tc>
        <w:tc>
          <w:tcPr>
            <w:tcW w:w="23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ind w:left="180" w:right="0" w:hanging="180"/>
              <w:jc w:val="left"/>
              <w:rPr>
                <w:color w:val="000000"/>
              </w:rPr>
            </w:pPr>
            <w:r>
              <w:rPr>
                <w:color w:val="000000"/>
              </w:rPr>
              <w:t>Cost of sales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52,849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38,758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26,152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27,109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27,622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20,451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14,932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0"/>
              <w:jc w:val="right"/>
              <w:rPr>
                <w:color w:val="000000"/>
              </w:rPr>
            </w:pPr>
            <w:r>
              <w:rPr>
                <w:color w:val="000000"/>
              </w:rPr>
              <w:t>128,733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3,264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339,870</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107,182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83,318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85,797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67,707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64,311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51,387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44,789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26,527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12,254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543,272</w:t>
            </w:r>
          </w:p>
        </w:tc>
        <w:tc>
          <w:tcPr>
            <w:tcW w:w="23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ind w:left="180" w:right="0" w:hanging="180"/>
              <w:jc w:val="left"/>
              <w:rPr>
                <w:color w:val="000000"/>
              </w:rPr>
            </w:pPr>
            <w:r>
              <w:rPr>
                <w:color w:val="000000"/>
              </w:rPr>
              <w:t>Segment contribution</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45,967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37,215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31,569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37,044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16,418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29,947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28,052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8,078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(3,793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230,497</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Segment contribution as a percentage of revenue</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22.3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i/>
                <w:color w:val="000000"/>
              </w:rPr>
            </w:pPr>
            <w:r>
              <w:rPr>
                <w:i/>
                <w:color w:val="000000"/>
              </w:rPr>
              <w:t>23.4</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i/>
                <w:color w:val="000000"/>
              </w:rPr>
            </w:pPr>
            <w:r>
              <w:rPr>
                <w:i/>
                <w:color w:val="000000"/>
              </w:rPr>
              <w:t>22.0</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i/>
                <w:color w:val="000000"/>
              </w:rPr>
            </w:pPr>
            <w:r>
              <w:rPr>
                <w:i/>
                <w:color w:val="000000"/>
              </w:rPr>
              <w:t>28.1</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i/>
                <w:color w:val="000000"/>
              </w:rPr>
            </w:pPr>
            <w:r>
              <w:rPr>
                <w:i/>
                <w:color w:val="000000"/>
              </w:rPr>
              <w:t>15.2</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i/>
                <w:color w:val="000000"/>
              </w:rPr>
            </w:pPr>
            <w:r>
              <w:rPr>
                <w:i/>
                <w:color w:val="000000"/>
              </w:rPr>
              <w:t>29.4</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32.0</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0"/>
              <w:jc w:val="right"/>
              <w:rPr>
                <w:i/>
                <w:color w:val="000000"/>
              </w:rPr>
            </w:pPr>
            <w:r>
              <w:rPr>
                <w:i/>
                <w:color w:val="000000"/>
              </w:rPr>
              <w:t>4.9</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(32.3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i/>
                <w:color w:val="000000"/>
              </w:rPr>
            </w:pPr>
            <w:r>
              <w:rPr>
                <w:i/>
                <w:color w:val="000000"/>
              </w:rPr>
              <w:t>20.7</w:t>
            </w:r>
          </w:p>
        </w:tc>
        <w:tc>
          <w:tcPr>
            <w:tcW w:w="230" w:type="dxa"/>
            <w:tcBorders/>
            <w:shd w:fill="CCEEFF" w:val="clear"/>
            <w:vAlign w:val="bottom"/>
          </w:tcPr>
          <w:p>
            <w:pPr>
              <w:pStyle w:val="TableContents"/>
              <w:bidi w:val="0"/>
              <w:spacing w:before="0" w:after="0"/>
              <w:jc w:val="left"/>
              <w:rPr>
                <w:i/>
                <w:color w:val="000000"/>
              </w:rPr>
            </w:pPr>
            <w:r>
              <w:rPr>
                <w:i/>
                <w:color w:val="000000"/>
              </w:rPr>
              <w:t>%</w:t>
            </w:r>
          </w:p>
        </w:tc>
      </w:tr>
    </w:tbl>
    <w:p>
      <w:pPr>
        <w:pStyle w:val="TextBody"/>
        <w:bidi w:val="0"/>
        <w:spacing w:before="0" w:after="0"/>
        <w:jc w:val="left"/>
        <w:rPr/>
      </w:pPr>
      <w:r>
        <w:rPr/>
      </w:r>
    </w:p>
    <w:tbl>
      <w:tblPr>
        <w:tblW w:w="13980" w:type="dxa"/>
        <w:jc w:val="left"/>
        <w:tblInd w:w="0" w:type="dxa"/>
        <w:tblLayout w:type="fixed"/>
        <w:tblCellMar>
          <w:top w:w="0" w:type="dxa"/>
          <w:left w:w="0" w:type="dxa"/>
          <w:bottom w:w="0" w:type="dxa"/>
          <w:right w:w="0" w:type="dxa"/>
        </w:tblCellMar>
      </w:tblPr>
      <w:tblGrid>
        <w:gridCol w:w="995"/>
        <w:gridCol w:w="60"/>
        <w:gridCol w:w="145"/>
        <w:gridCol w:w="835"/>
        <w:gridCol w:w="215"/>
        <w:gridCol w:w="60"/>
        <w:gridCol w:w="150"/>
        <w:gridCol w:w="860"/>
        <w:gridCol w:w="215"/>
        <w:gridCol w:w="60"/>
        <w:gridCol w:w="150"/>
        <w:gridCol w:w="860"/>
        <w:gridCol w:w="215"/>
        <w:gridCol w:w="60"/>
        <w:gridCol w:w="140"/>
        <w:gridCol w:w="800"/>
        <w:gridCol w:w="215"/>
        <w:gridCol w:w="60"/>
        <w:gridCol w:w="140"/>
        <w:gridCol w:w="800"/>
        <w:gridCol w:w="215"/>
        <w:gridCol w:w="60"/>
        <w:gridCol w:w="140"/>
        <w:gridCol w:w="800"/>
        <w:gridCol w:w="215"/>
        <w:gridCol w:w="60"/>
        <w:gridCol w:w="140"/>
        <w:gridCol w:w="680"/>
        <w:gridCol w:w="215"/>
        <w:gridCol w:w="60"/>
        <w:gridCol w:w="233"/>
        <w:gridCol w:w="1332"/>
        <w:gridCol w:w="215"/>
        <w:gridCol w:w="60"/>
        <w:gridCol w:w="140"/>
        <w:gridCol w:w="755"/>
        <w:gridCol w:w="215"/>
        <w:gridCol w:w="60"/>
        <w:gridCol w:w="140"/>
        <w:gridCol w:w="980"/>
        <w:gridCol w:w="230"/>
      </w:tblGrid>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9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 September 30, 2024</w:t>
            </w:r>
          </w:p>
        </w:tc>
        <w:tc>
          <w:tcPr>
            <w:tcW w:w="23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Southeast Asia/</w:t>
            </w:r>
          </w:p>
          <w:p>
            <w:pPr>
              <w:pStyle w:val="TableContents"/>
              <w:bidi w:val="0"/>
              <w:spacing w:before="0" w:after="0"/>
              <w:jc w:val="center"/>
              <w:rPr>
                <w:b/>
                <w:color w:val="000000"/>
              </w:rPr>
            </w:pPr>
            <w:r>
              <w:rPr>
                <w:b/>
                <w:color w:val="000000"/>
              </w:rPr>
              <w:t>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Mainland</w:t>
            </w:r>
          </w:p>
          <w:p>
            <w:pPr>
              <w:pStyle w:val="TableContents"/>
              <w:bidi w:val="0"/>
              <w:spacing w:before="0" w:after="0"/>
              <w:jc w:val="center"/>
              <w:rPr>
                <w:b/>
                <w:color w:val="000000"/>
              </w:rPr>
            </w:pPr>
            <w:r>
              <w:rPr>
                <w:b/>
                <w:color w:val="000000"/>
              </w:rPr>
              <w:t>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w:t>
            </w:r>
          </w:p>
          <w:p>
            <w:pPr>
              <w:pStyle w:val="TableContents"/>
              <w:bidi w:val="0"/>
              <w:spacing w:before="0" w:after="0"/>
              <w:jc w:val="center"/>
              <w:rPr>
                <w:b/>
                <w:color w:val="000000"/>
              </w:rPr>
            </w:pPr>
            <w:r>
              <w:rPr>
                <w:b/>
                <w:color w:val="000000"/>
              </w:rPr>
              <w:t>&amp; 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w:t>
            </w:r>
          </w:p>
          <w:p>
            <w:pPr>
              <w:pStyle w:val="TableContents"/>
              <w:bidi w:val="0"/>
              <w:spacing w:before="0" w:after="0"/>
              <w:jc w:val="center"/>
              <w:rPr>
                <w:b/>
                <w:color w:val="000000"/>
              </w:rPr>
            </w:pPr>
            <w:r>
              <w:rPr>
                <w:b/>
                <w:color w:val="000000"/>
              </w:rPr>
              <w:t>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Hong Kong/</w:t>
            </w:r>
          </w:p>
          <w:p>
            <w:pPr>
              <w:pStyle w:val="TableContents"/>
              <w:bidi w:val="0"/>
              <w:spacing w:before="0" w:after="0"/>
              <w:jc w:val="center"/>
              <w:rPr>
                <w:b/>
                <w:color w:val="000000"/>
              </w:rPr>
            </w:pPr>
            <w:r>
              <w:rPr>
                <w:b/>
                <w:color w:val="000000"/>
              </w:rPr>
              <w:t>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p>
            <w:pPr>
              <w:pStyle w:val="TableContents"/>
              <w:bidi w:val="0"/>
              <w:spacing w:before="0" w:after="0"/>
              <w:jc w:val="center"/>
              <w:rPr>
                <w:b/>
                <w:color w:val="000000"/>
              </w:rPr>
            </w:pPr>
            <w:r>
              <w:rPr>
                <w:b/>
                <w:color w:val="000000"/>
              </w:rPr>
              <w:t>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Segments</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Revenue</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237,160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179,921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178,797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134,046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121,563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130,283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98,061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1332" w:type="dxa"/>
            <w:tcBorders/>
            <w:shd w:fill="CCEEFF" w:val="clear"/>
            <w:vAlign w:val="bottom"/>
          </w:tcPr>
          <w:p>
            <w:pPr>
              <w:pStyle w:val="TableContents"/>
              <w:bidi w:val="0"/>
              <w:spacing w:before="0" w:after="0"/>
              <w:jc w:val="right"/>
              <w:rPr>
                <w:color w:val="000000"/>
              </w:rPr>
            </w:pPr>
            <w:r>
              <w:rPr>
                <w:color w:val="000000"/>
              </w:rPr>
              <w:t>153,548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49,967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1,283,346</w:t>
            </w:r>
          </w:p>
        </w:tc>
        <w:tc>
          <w:tcPr>
            <w:tcW w:w="23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ind w:left="180" w:right="0" w:hanging="180"/>
              <w:jc w:val="left"/>
              <w:rPr>
                <w:color w:val="000000"/>
              </w:rPr>
            </w:pPr>
            <w:r>
              <w:rPr>
                <w:color w:val="000000"/>
              </w:rPr>
              <w:t>Cost of sales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61,755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48,350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32,346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26,865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32,388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26,829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18,828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0"/>
              <w:jc w:val="right"/>
              <w:rPr>
                <w:color w:val="000000"/>
              </w:rPr>
            </w:pPr>
            <w:r>
              <w:rPr>
                <w:color w:val="000000"/>
              </w:rPr>
              <w:t>122,647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7,319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377,327</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127,169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99,784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113,548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69,980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75,301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63,665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54,227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26,635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56,986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687,295</w:t>
            </w:r>
          </w:p>
        </w:tc>
        <w:tc>
          <w:tcPr>
            <w:tcW w:w="23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ind w:left="180" w:right="0" w:hanging="180"/>
              <w:jc w:val="left"/>
              <w:rPr>
                <w:color w:val="000000"/>
              </w:rPr>
            </w:pPr>
            <w:r>
              <w:rPr>
                <w:color w:val="000000"/>
              </w:rPr>
              <w:t>Segment contribution</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48,236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31,787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32,903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37,201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13,874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39,789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25,006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4,266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(14,338</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218,724</w:t>
            </w:r>
          </w:p>
        </w:tc>
        <w:tc>
          <w:tcPr>
            <w:tcW w:w="23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ind w:left="180" w:right="0" w:hanging="180"/>
              <w:jc w:val="left"/>
              <w:rPr>
                <w:color w:val="000000"/>
              </w:rPr>
            </w:pPr>
            <w:r>
              <w:rPr>
                <w:color w:val="000000"/>
              </w:rPr>
              <w:t>Segment contribution as a percentage of revenue</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20.3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i/>
                <w:color w:val="000000"/>
              </w:rPr>
            </w:pPr>
            <w:r>
              <w:rPr>
                <w:i/>
                <w:color w:val="000000"/>
              </w:rPr>
              <w:t>17.7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i/>
                <w:color w:val="000000"/>
              </w:rPr>
            </w:pPr>
            <w:r>
              <w:rPr>
                <w:i/>
                <w:color w:val="000000"/>
              </w:rPr>
              <w:t>18.4</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i/>
                <w:color w:val="000000"/>
              </w:rPr>
            </w:pPr>
            <w:r>
              <w:rPr>
                <w:i/>
                <w:color w:val="000000"/>
              </w:rPr>
              <w:t>27.8</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i/>
                <w:color w:val="000000"/>
              </w:rPr>
            </w:pPr>
            <w:r>
              <w:rPr>
                <w:i/>
                <w:color w:val="000000"/>
              </w:rPr>
              <w:t>11.4</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i/>
                <w:color w:val="000000"/>
              </w:rPr>
            </w:pPr>
            <w:r>
              <w:rPr>
                <w:i/>
                <w:color w:val="000000"/>
              </w:rPr>
              <w:t>30.5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25.5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0"/>
              <w:jc w:val="right"/>
              <w:rPr>
                <w:i/>
                <w:color w:val="000000"/>
              </w:rPr>
            </w:pPr>
            <w:r>
              <w:rPr>
                <w:i/>
                <w:color w:val="000000"/>
              </w:rPr>
              <w:t>2.8</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i/>
                <w:color w:val="000000"/>
              </w:rPr>
            </w:pPr>
            <w:r>
              <w:rPr>
                <w:i/>
                <w:color w:val="000000"/>
              </w:rPr>
              <w:t>(28.7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i/>
                <w:color w:val="000000"/>
              </w:rPr>
            </w:pPr>
            <w:r>
              <w:rPr>
                <w:i/>
                <w:color w:val="000000"/>
              </w:rPr>
              <w:t>17.0</w:t>
            </w:r>
          </w:p>
        </w:tc>
        <w:tc>
          <w:tcPr>
            <w:tcW w:w="230" w:type="dxa"/>
            <w:tcBorders/>
            <w:shd w:fill="CCEEFF" w:val="clear"/>
            <w:vAlign w:val="bottom"/>
          </w:tcPr>
          <w:p>
            <w:pPr>
              <w:pStyle w:val="TableContents"/>
              <w:bidi w:val="0"/>
              <w:spacing w:before="0" w:after="0"/>
              <w:jc w:val="left"/>
              <w:rPr>
                <w:i/>
                <w:color w:val="000000"/>
              </w:rPr>
            </w:pPr>
            <w:r>
              <w:rPr>
                <w:i/>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information concerning the number of Customers, Paid Affiliates and Sales Leaders in our core Nu Skin business for the three-month periods ended September 30, 2025 and 2024.</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rPr/>
      </w:pPr>
      <w:r>
        <w:rPr/>
      </w:r>
    </w:p>
    <w:tbl>
      <w:tblPr>
        <w:tblW w:w="5658" w:type="dxa"/>
        <w:jc w:val="left"/>
        <w:tblInd w:w="0" w:type="dxa"/>
        <w:tblLayout w:type="fixed"/>
        <w:tblCellMar>
          <w:top w:w="0" w:type="dxa"/>
          <w:left w:w="0" w:type="dxa"/>
          <w:bottom w:w="0" w:type="dxa"/>
          <w:right w:w="0" w:type="dxa"/>
        </w:tblCellMar>
      </w:tblPr>
      <w:tblGrid>
        <w:gridCol w:w="2150"/>
        <w:gridCol w:w="60"/>
        <w:gridCol w:w="72"/>
        <w:gridCol w:w="960"/>
        <w:gridCol w:w="72"/>
        <w:gridCol w:w="72"/>
        <w:gridCol w:w="72"/>
        <w:gridCol w:w="960"/>
        <w:gridCol w:w="60"/>
        <w:gridCol w:w="60"/>
        <w:gridCol w:w="123"/>
        <w:gridCol w:w="692"/>
        <w:gridCol w:w="305"/>
      </w:tblGrid>
      <w:tr>
        <w:trPr/>
        <w:tc>
          <w:tcPr>
            <w:tcW w:w="2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305" w:type="dxa"/>
            <w:tcBorders/>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0"/>
              <w:jc w:val="left"/>
              <w:rPr>
                <w:b/>
              </w:rPr>
            </w:pPr>
            <w:r>
              <w:rPr>
                <w:b/>
              </w:rPr>
              <w:t>Customers</w:t>
            </w:r>
          </w:p>
        </w:tc>
        <w:tc>
          <w:tcPr>
            <w:tcW w:w="60"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150" w:type="dxa"/>
            <w:tcBorders/>
            <w:shd w:fill="CCEEFF" w:val="clear"/>
            <w:vAlign w:val="bottom"/>
          </w:tcPr>
          <w:p>
            <w:pPr>
              <w:pStyle w:val="TableContents"/>
              <w:bidi w:val="0"/>
              <w:spacing w:before="0" w:after="0"/>
              <w:ind w:left="180" w:right="0" w:hanging="0"/>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224,013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211,583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6</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Southeast Asia/Pacific</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74,672</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86,307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(13</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106,062</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148,402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(29</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Japan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107,543</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112,257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(4</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127,993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135,291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(5</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South Korea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64,360</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90,248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(29</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41,613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47,680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(13</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jc w:val="left"/>
              <w:rPr>
                <w:b/>
              </w:rPr>
            </w:pPr>
            <w:r>
              <w:rPr>
                <w:b/>
              </w:rPr>
              <w:t>Total Customers</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746,256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831,768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(10</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jc w:val="left"/>
              <w:rPr>
                <w:b/>
              </w:rPr>
            </w:pPr>
            <w:r>
              <w:rPr>
                <w:b/>
              </w:rPr>
              <w:t>Paid Affiliates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0"/>
              <w:ind w:left="180" w:right="0" w:hanging="0"/>
              <w:jc w:val="left"/>
              <w:rPr/>
            </w:pPr>
            <w:r>
              <w:rPr/>
              <w:t>Americas</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28,128</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28,772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21,144</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26,749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(21</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Mainland China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18,197</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22,843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(20</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Japan</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20,559</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22,623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(9</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Europe &amp; Africa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14,803</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16,556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(11</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South Korea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17,111</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20,774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(18</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Hong Kong/Taiwan</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10,154</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10,947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(7</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jc w:val="left"/>
              <w:rPr>
                <w:b/>
              </w:rPr>
            </w:pPr>
            <w:r>
              <w:rPr>
                <w:b/>
              </w:rPr>
              <w:t>Total Paid Affiliates</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130,096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149,264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(13</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jc w:val="left"/>
              <w:rPr>
                <w:b/>
              </w:rPr>
            </w:pPr>
            <w:r>
              <w:rPr>
                <w:b/>
              </w:rPr>
              <w:t>Sales Leaders</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2150" w:type="dxa"/>
            <w:tcBorders/>
            <w:shd w:fill="CCEEFF" w:val="clear"/>
            <w:vAlign w:val="bottom"/>
          </w:tcPr>
          <w:p>
            <w:pPr>
              <w:pStyle w:val="TableContents"/>
              <w:bidi w:val="0"/>
              <w:spacing w:before="0" w:after="0"/>
              <w:ind w:left="180" w:right="0" w:hanging="0"/>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5,642</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6,450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(13</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Southeast Asia/Pacific</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4,360</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5,398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(19</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6,543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9,348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(30</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Japan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6,686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(3</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2,663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3,318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(20</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ind w:left="180" w:right="0" w:hanging="0"/>
              <w:jc w:val="left"/>
              <w:rPr/>
            </w:pPr>
            <w:r>
              <w:rPr/>
              <w:t>South Korea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3,082</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4,388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(30</w:t>
            </w:r>
          </w:p>
        </w:tc>
        <w:tc>
          <w:tcPr>
            <w:tcW w:w="305" w:type="dxa"/>
            <w:tcBorders/>
            <w:vAlign w:val="bottom"/>
          </w:tcPr>
          <w:p>
            <w:pPr>
              <w:pStyle w:val="TableContents"/>
              <w:bidi w:val="0"/>
              <w:spacing w:before="0" w:after="0"/>
              <w:jc w:val="left"/>
              <w:rPr/>
            </w:pPr>
            <w:r>
              <w:rPr/>
              <w:t>)%</w:t>
            </w:r>
          </w:p>
        </w:tc>
      </w:tr>
      <w:tr>
        <w:trPr/>
        <w:tc>
          <w:tcPr>
            <w:tcW w:w="2150" w:type="dxa"/>
            <w:tcBorders/>
            <w:shd w:fill="CCEEFF" w:val="clear"/>
            <w:vAlign w:val="bottom"/>
          </w:tcPr>
          <w:p>
            <w:pPr>
              <w:pStyle w:val="TableContents"/>
              <w:bidi w:val="0"/>
              <w:spacing w:before="0" w:after="0"/>
              <w:ind w:left="180" w:right="0" w:hanging="0"/>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2,174</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2,516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(14</w:t>
            </w:r>
          </w:p>
        </w:tc>
        <w:tc>
          <w:tcPr>
            <w:tcW w:w="305" w:type="dxa"/>
            <w:tcBorders/>
            <w:shd w:fill="CCEEFF" w:val="clear"/>
            <w:vAlign w:val="bottom"/>
          </w:tcPr>
          <w:p>
            <w:pPr>
              <w:pStyle w:val="TableContents"/>
              <w:bidi w:val="0"/>
              <w:spacing w:before="0" w:after="0"/>
              <w:jc w:val="left"/>
              <w:rPr/>
            </w:pPr>
            <w:r>
              <w:rPr/>
              <w:t>)%</w:t>
            </w:r>
          </w:p>
        </w:tc>
      </w:tr>
      <w:tr>
        <w:trPr/>
        <w:tc>
          <w:tcPr>
            <w:tcW w:w="2150" w:type="dxa"/>
            <w:tcBorders/>
            <w:vAlign w:val="bottom"/>
          </w:tcPr>
          <w:p>
            <w:pPr>
              <w:pStyle w:val="TableContents"/>
              <w:bidi w:val="0"/>
              <w:spacing w:before="0" w:after="0"/>
              <w:jc w:val="left"/>
              <w:rPr>
                <w:b/>
              </w:rPr>
            </w:pPr>
            <w:r>
              <w:rPr>
                <w:b/>
              </w:rPr>
              <w:t>Total Sales Leaders</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31,150</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38,284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(19</w:t>
            </w:r>
          </w:p>
        </w:tc>
        <w:tc>
          <w:tcPr>
            <w:tcW w:w="30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Following is a narrative discussion of our results in each segment, which supplements the tables above.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Americas</w:t>
      </w:r>
      <w:r>
        <w:rPr>
          <w:rFonts w:ascii="Times New Roman;Times;serif" w:hAnsi="Times New Roman;Times;serif"/>
          <w:color w:val="000000"/>
          <w:sz w:val="20"/>
          <w:shd w:fill="FFFFFF" w:val="clear"/>
        </w:rPr>
        <w:t>. The results in our Americas segment reflect a continued decline in our North America markets, while our Latin America markets grew year-over-year. Our North America markets continued to be challenged, where in November 2024 we  introduced enhancements to the sales performance plan to address the macro environmental landscape. These enhancements have caused disruption as our sales force adapts to the changes. In addition, our reported revenue reflects negative impacts from unfavorable foreign currency fluctuations of 6.4% and 6.3% for the third quarter and first nine months of 2025,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2024, we launched our developing market strategy in Argentina, with a revised operating model with a focused product portfolio and modified business model that has enabled us to reach a broader demographic. During early 2025, we continued to roll out this strategy in additional Latin America markets. For the third quarter of 2025, our Latin America markets revenue increased from $16.0 million to $24.4 million, a 52.5% year-over-year increase; in addition, Latin America Customers increased 87%, Paid Affiliates increased 56%, and Sales Leaders increased 53%.</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year-over-year decrease in segment contribution for the first nine months of 2025 primarily reflects the overall decline in revenue, partially offset by increased profitability in Latin America.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Southeast Asia/Pacific</w:t>
      </w:r>
      <w:r>
        <w:rPr>
          <w:rFonts w:ascii="Times New Roman;Times;serif" w:hAnsi="Times New Roman;Times;serif"/>
          <w:color w:val="000000"/>
          <w:sz w:val="20"/>
          <w:shd w:fill="FFFFFF" w:val="clear"/>
        </w:rPr>
        <w:t>. The decline in revenue, Customers, Paid Affiliates and Sales Leaders for the third quarter and first nine months of 2025 is partially attributable to slowing momentum from the general macroeconomic factors in the markets. In response to these challenges, in 2025 we began leveraging our learnings from the developing market strategy, including with the launch of products specifically aimed at expanding our customer base.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year-over-year increases in segment contribution for the third quarter and first nine months of 2025 are primarily attributable to a 3.7 percentage point and 2.5 percentage point increase to gross margin due to a shift in product mix, and a 1.4 percentage point and 1.9 percentage point decrease in selling expenses as a percentage of revenue primarily from a lower amount of local sales force incentives during the period as well as less qualifiers for the success trips.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Mainland China</w:t>
      </w:r>
      <w:r>
        <w:rPr>
          <w:rFonts w:ascii="Times New Roman;Times;serif" w:hAnsi="Times New Roman;Times;serif"/>
          <w:color w:val="000000"/>
          <w:sz w:val="20"/>
          <w:shd w:fill="FFFFFF" w:val="clear"/>
        </w:rPr>
        <w:t xml:space="preserve">. Our Mainland China market continued to be challenged during the first nine months of 2025, with ongoing macroeconomic factors, the associated decrease in consumer spending and a continued shift of market consumer awareness and demand to online product marketplaces. During the third quarter of 2025, we had a limited preview of our relaunched </w:t>
      </w:r>
      <w:r>
        <w:rPr>
          <w:rFonts w:ascii="Times New Roman;Times;serif" w:hAnsi="Times New Roman;Times;serif"/>
          <w:i/>
          <w:color w:val="000000"/>
          <w:sz w:val="20"/>
          <w:shd w:fill="FFFFFF" w:val="clear"/>
        </w:rPr>
        <w:t>Tru Face</w:t>
      </w:r>
      <w:r>
        <w:rPr>
          <w:rFonts w:ascii="Times New Roman;Times;serif" w:hAnsi="Times New Roman;Times;serif"/>
          <w:color w:val="000000"/>
          <w:sz w:val="20"/>
          <w:shd w:fill="FFFFFF" w:val="clear"/>
        </w:rPr>
        <w:t xml:space="preserve"> line, which generated approximately $7.2 million of revenue, compared to $4.1 million from the prior </w:t>
      </w:r>
      <w:r>
        <w:rPr>
          <w:rFonts w:ascii="Times New Roman;Times;serif" w:hAnsi="Times New Roman;Times;serif"/>
          <w:i/>
          <w:color w:val="000000"/>
          <w:sz w:val="20"/>
          <w:shd w:fill="FFFFFF" w:val="clear"/>
        </w:rPr>
        <w:t xml:space="preserve">Tru Face </w:t>
      </w:r>
      <w:r>
        <w:rPr>
          <w:rFonts w:ascii="Times New Roman;Times;serif" w:hAnsi="Times New Roman;Times;serif"/>
          <w:color w:val="000000"/>
          <w:sz w:val="20"/>
          <w:shd w:fill="FFFFFF" w:val="clear"/>
        </w:rPr>
        <w:t>line in the comparable period. The full launch is expected to occur in December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segment contribution for the third quarter of 2025 primarily reflects the decline in revenue, partially offset by a 3.2 percentage point decrease in selling expenses as a percent of revenue, a 2.2 percentage point increase in gross margin. The year-over-year decrease in segment contribution for the first nine months of 2025 primarily reflects lower revenue, partially offset by a 4.2 percentage point decrease in selling expense as a percent of revenue. The salaries and service fees of our Sales Leaders in Mainland China are fixed until they are adjusted in a quarterly evaluation process. As a result, we have variations in our selling expenses as a percentage of revenue, particularly when there is a sequential change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Japan</w:t>
      </w:r>
      <w:r>
        <w:rPr>
          <w:rFonts w:ascii="Times New Roman" w:hAnsi="Times New Roman"/>
          <w:color w:val="000000"/>
          <w:sz w:val="20"/>
          <w:shd w:fill="FFFFFF" w:val="clear"/>
        </w:rPr>
        <w:t>. The reduction in revenue, Customers, Paid Affiliates and Sales Leaders is partially attributable to consumer inflationary pressures which depressed spending.  In addition, our third quarter of 2024 revenue benefited from elevated promotions that did not repeat in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is primarily attributable to the decreased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Europe &amp; Africa</w:t>
      </w:r>
      <w:r>
        <w:rPr>
          <w:rFonts w:ascii="Times New Roman" w:hAnsi="Times New Roman"/>
          <w:color w:val="000000"/>
          <w:sz w:val="20"/>
          <w:shd w:fill="FFFFFF" w:val="clear"/>
        </w:rPr>
        <w:t>. The reduction in revenue, Customers, Paid Affiliates and Sales Leaders reflects continued softness in these markets, as well as the macroeconomic factors that have led to a decline in the purchasing power of our customers. We introduced enhancements to the sales performance plan in Europe &amp; Africa starting in March 2025. In addition, our reported revenue reflects benefits from favorable foreign currency fluctuations of 5.9% and 2.6% for the third quarter and first nine months of 2025,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bookmarkStart w:id="14" w:name="z_Hlk197329215"/>
      <w:bookmarkEnd w:id="14"/>
      <w:r>
        <w:rPr>
          <w:rFonts w:ascii="Times New Roman" w:hAnsi="Times New Roman"/>
          <w:color w:val="000000"/>
          <w:sz w:val="20"/>
          <w:shd w:fill="FFFFFF" w:val="clear"/>
        </w:rPr>
        <w:t>The year-over-year increase in segment contribution was primarily driven by a 1.2 percentage point and a 2.2 percentage point decline in selling expenses as a percent of revenue for the third quarter and first nine months of 2025, respectively, primarily from elevated sales force events costs in the prior-year periods, partially offset by the decline in revenue.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South Korea</w:t>
      </w:r>
      <w:r>
        <w:rPr>
          <w:rFonts w:ascii="Times New Roman" w:hAnsi="Times New Roman"/>
          <w:color w:val="000000"/>
          <w:sz w:val="20"/>
          <w:shd w:fill="FFFFFF" w:val="clear"/>
        </w:rPr>
        <w:t>. Our South Korea market was challenged by difficult macroeconomic trends, including inflationary pressures, political instability, and our associated price increases which negatively impacted our revenue, Customers, Paid Affiliates and Sales Leaders for the three- and nine-month periods ended September 30, 2025. In addition, our reported revenue reflects negative impacts from unfavorable foreign currency fluctuations of 1.9% and 3.5% for the third quarter and first nine months of 2025,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primarily reflects the decline in revenue, as well as a 8.3 and 3.3 percentage point increase in selling expenses associated with incremental cost pressure from the enhancements to the sales performance plan, which we introduced in this segment during the fourth quarter of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Hong Kong/Taiwan</w:t>
      </w:r>
      <w:r>
        <w:rPr>
          <w:rFonts w:ascii="Times New Roman" w:hAnsi="Times New Roman"/>
          <w:color w:val="000000"/>
          <w:sz w:val="20"/>
          <w:shd w:fill="FFFFFF" w:val="clear"/>
        </w:rPr>
        <w:t>. The declines in our Hong Kong/Taiwan segment for the third quarter and first nine months of 2025 are attributable to macroeconomic issues, which are resulting in less purchasing power for our consumers. Our reported revenue reflects benefits from favorable foreign currency fluctuations of 4.3% and 1.5% for the third quarter and first nine months of 2025,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for the third quarter was primarily driven by a 3.1 percentage point improvement in gross margin due to sales mix with higher shift of sales to higher margin products, partially offset by the decline in revenue. For the first nine months of 2025, the increase in segment contribution was primarily driven by a 2.2 percentage point increase in gross margin due to sales mix, a 2.4 percentage point decrease in selling expenses and a 1.9 percentage point decrease in general and administrative, from our recent cost saving efforts, partially offset by the decline in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Manufacturing</w:t>
      </w:r>
      <w:r>
        <w:rPr>
          <w:rFonts w:ascii="Times New Roman;Times;serif" w:hAnsi="Times New Roman;Times;serif"/>
          <w:color w:val="000000"/>
          <w:sz w:val="20"/>
          <w:shd w:fill="FFFFFF" w:val="clear"/>
        </w:rPr>
        <w:t>. Our Manufacturing segment revenue decreased 8.0% for the third quarter of 2025 and increased 6.4% for the first nine months of 2025. Our third quarter revenue was negatively impacted by uncertainty surrounding tariffs which affected the timing of customer orders.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for the third quarter and first nine months of 2025 is primarily from the revenue mix amongst our manufacturing entities as well as product mix, which resulted in more profitability for the periods presented.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Rhyz Other</w:t>
      </w:r>
      <w:r>
        <w:rPr>
          <w:rFonts w:ascii="Times New Roman" w:hAnsi="Times New Roman"/>
          <w:color w:val="000000"/>
          <w:sz w:val="20"/>
          <w:shd w:fill="FFFFFF" w:val="clear"/>
        </w:rPr>
        <w:t>. The decrease in revenue of our Rhyz Other segment is primarily driven by the January 2, 2025 sale of Mavely. Mavely recognized $18.4 million and $37.4 million of revenue in the third quarter and first nine months of 2024. In addition, our BeautyBio entity continues to be challenged, with a 65.1% and a 59.4% decline in revenue for the third quarter and first nine months of 2025, as we continue to implement our strategy to minimize future losses and better position the brand.</w:t>
      </w:r>
    </w:p>
    <w:p>
      <w:pPr>
        <w:pStyle w:val="TextBody"/>
        <w:bidi w:val="0"/>
        <w:spacing w:before="0" w:after="0"/>
        <w:jc w:val="both"/>
        <w:rPr>
          <w:color w:val="000000"/>
        </w:rPr>
      </w:pPr>
      <w:r>
        <w:rPr>
          <w:color w:val="00000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Rhyz Other segment also includes LifeDNA, Inc. (“LifeDNA”), a DNA assessment and recommendation technology company. During the third quarter and first nine months of 2025, LifeDNA revenue grew 181% and 150%, respectively, to $3.3 million and $7.9 million. In addition, the profitability of LifeDNA has increased as part of the revenue growth, resulting in an operating margin of 15.9% compared to (25.3)% for the third quarter of 2025 and 2024, respectively, and 10.4% compared to (27.7)% for the first nine months of 2025 and 2024. We are currently evaluating strategic opportunities with LifeDNA, including potentially divesting it, to maximize our return on investment.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is primarily from the sale of Mavely, which operated at a loss during the first half of 2024</w:t>
      </w:r>
      <w:bookmarkStart w:id="15" w:name="z_Hlk197605325"/>
      <w:bookmarkEnd w:id="15"/>
      <w:r>
        <w:rPr>
          <w:rFonts w:ascii="Times New Roman" w:hAnsi="Times New Roman"/>
          <w:color w:val="000000"/>
          <w:sz w:val="20"/>
          <w:shd w:fill="FFFFFF" w:val="clear"/>
        </w:rPr>
        <w:t xml:space="preserve"> and turned profitable in the third quarter of 2024, as well as our cost saving efforts at BeautyBio, which had smaller losses for the third quarter and first nine months of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 Results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September 30, 2025 decreased 15% to $364.2 million, compared to $430.1 million in the prior-year period. Revenue for the nine-month period ended September 30, 2025 decreased 13% to $1,114.8 million compared to $1,286.5 million. Our revenue in the third quarter and first nine months of 2025 was negatively impacted 0.4% and 0.9%, respectively, from foreign-currency fluctuations. For a discussion and analysis of these decreases in revenue, see “Overview” and “Segment Results,” above.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Gross profit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Gross profit as a percentage of revenue was 70.5% for the third quarter of 2025, compared to 70.1% for the prior-year period, and 69.0% for the first nine months of 2025, compared to 70.2% for the prior-year period. Gross profit as a percentage of revenue for our Nu Skin business increased 1.2 percentage points to 77.7% for the third quarter of 2025 and increased 0.7 percentage points to 77.3% for the first nine months of 2025. </w:t>
      </w:r>
      <w:bookmarkStart w:id="16" w:name="z_Hlk213216667"/>
      <w:bookmarkEnd w:id="16"/>
      <w:r>
        <w:rPr>
          <w:rFonts w:ascii="Times New Roman;Times;serif" w:hAnsi="Times New Roman;Times;serif"/>
          <w:color w:val="000000"/>
          <w:sz w:val="20"/>
          <w:shd w:fill="FFFFFF" w:val="clear"/>
        </w:rPr>
        <w:t>Our Nu Skin gross margin continues to benefit from our strategic portfolio optimization as well as a favorable product mix shift.</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continue to monitor macroeconomic trends and uncertainties related to international trade relations and trade policy, including those related to tariffs. Incremental tariffs did not have a significant impact on our financial results for the third quarter or the first nine months of 2025 but could adversely impact our results in the future. While we remain focused on mitigating the impacts of the tariffs, we currently estimate approximately $2 million of incremental cost pressure for the full year 2025. We continue to monitor and plan to take proactive measures to minimize the potential impact.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Selling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Selling expenses as a percentage of revenue decreased to 35.8% for the third quarter of 2025, compared to 39.0% for the prior-year period, and decreased to 33.8% for the first nine months of 2025, compared to 37.8% for the prior-year period. Core Nu Skin selling expenses as a percentage of revenue decreased 1.8 percentage points to 41.7% for the third quarter of 2025 and decreased 2.4 percentage points to 40.1% for the first nine months of 2025.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Our third quarter and first nine months of 2025 core Nu Skin selling expenses decrease is partially attributable to our third quarter of 2024 global Nu Skin L!VE events, which drove approximately $10.2 million of incremental expenditures, that did not repeat in 2025. In addition, approximately 1.3 percentage points and 1.0 percentage points of the decline in selling expenses as a percentage of revenue in our consolidated results are attributable to the January 2, 2025 sale of Mavely.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General and administrative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 and administrative expenses decreased to $104.8 million in the third quarter of 2025, compared to $115.6 million in the prior-year period and decreased to $324.7 million in the first nine months of 2025, compared to $358.1 million in the prior-year period. The $10.8 million decline for the third quarter is from contraction in labor expenses, $2.9 million of 2024 expenses from Mavely, which was sold in the first quarter of 2025, a decline in professional fees and a decrease in promotional expenses in connection with our prior-year product launches.  The $33.4 million decline for the first nine months of 2025 is primarily from $9.1 million contraction in labor expenses, $9.1 million of 2024 expenses from Mavely, which was sold in the first quarter of 2025 and a decrease in promotional expenses in connection with our prior-year product launches. General and administrative expenses as a percentage of revenue increased to 28.8% for the third quarter of 2025, from 26.9% for the prior-year period, and increased to 29.1% for the first nine months of 2025, from 27.8% for the prior-year period.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Restructuring and impairment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2023 restructuring plan.</w:t>
      </w:r>
      <w:r>
        <w:rPr>
          <w:rFonts w:ascii="Times New Roman;Times;serif" w:hAnsi="Times New Roman;Times;serif"/>
          <w:color w:val="000000"/>
          <w:sz w:val="20"/>
          <w:shd w:fill="FFFFFF" w:val="clear"/>
        </w:rPr>
        <w:t xml:space="preserve"> In the fourth quarter of 2023, we adopted a strategic plan to focus resources on our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$1.1 million in other cash charges and approximately $38.8 million in non-cash charges, including approximately $36.6 million in fixed asset impairments. We have incurred all expected charges under the 2023 plan and anticipate making the remaining payments in the fourth quarter of 2025. During the fourth quarter of 2023, we incurred charges to be settled in cash of $10.0 million in severance charges. During the first quarter of 2024, we incurred charges to be settled in cash of $4.1 million in severance charges and $2.0 million in other associated costs, and non-cash charges of $1.0 million in write-down of assets. </w:t>
      </w:r>
      <w:bookmarkStart w:id="17" w:name="z_Hlk197517013"/>
      <w:bookmarkEnd w:id="17"/>
      <w:r>
        <w:rPr>
          <w:rFonts w:ascii="Times New Roman;Times;serif" w:hAnsi="Times New Roman;Times;serif"/>
          <w:color w:val="000000"/>
          <w:sz w:val="20"/>
          <w:shd w:fill="FFFFFF" w:val="clear"/>
        </w:rPr>
        <w:t>During the second quarter of 2024, we incurred charges to be settled in cash of $1.0 million in severance charges and $0.1 million in other cash charges, and non-cash charges of $6.4 million in fixed asset impairments and $0.8 million in other write-downs. In the fourth quarter of 2024, we incurred charges to be settled in cash of $12.8 million in severance charges and $(1.1) million in other cash charges, and non-cash charges of $30.2 million of fixed asset impairments and $0.4 million of other non-cash charges. During the third quarter and first nine months of 2025, we incurred no further charges.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Intangibles and fixed asset impairment.</w:t>
      </w:r>
      <w:r>
        <w:rPr>
          <w:rFonts w:ascii="Times New Roman" w:hAnsi="Times New Roman"/>
          <w:color w:val="000000"/>
          <w:sz w:val="20"/>
          <w:shd w:fill="FFFFFF" w:val="clear"/>
        </w:rPr>
        <w:t xml:space="preserve"> During the three months ended March 31, 2025, we decided to make a strategic shift in how we operate the BeautyBio asset group. These strategic changes include exiting certain sales channels, which reduced the forecasted revenues for BeautyBio. We concluded these actions were an interim impairment triggering event that required us to perform an interim impairment analysis on our BeautyBio asset group. We assessed the recoverability of the related asset group comparing the carrying value to the undiscounted cash flows expected to be generated. The recoverability test indicated the asset group was impaired. We concluded that the carrying value of the asset group exceeded the estimated fair value which resulted in an impairment charge of $25.1 million in our Rhyz Other segment during the three months ended March 31,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expense decreased to $4.1 million in the third quarter of 2025, compared to $6.5 million in the prior-year period. Interest expense for the first nine months of 2025 decreased to $10.0 million compared to $20.5 million for the prior-year period. The decrease in interest expense was primarily due to the debt payments made in the first quarter of 2025 using a portion of the proceeds from the Mavely sale. Our interest rate swap arrangements that we entered into in 2020 matured on July 31, 2025, at which time our effective interest rate increased.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Gain on sale of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January 2025, we completed the sale of our Mavely entity for $230 million in cash and shares of the purchaser’s common stock, subject to certain adjustments as set forth in the purchase agreement, including post-closing determination of net working capital and other elements of purchase price. Following the completion of certain payments to other equity holders in Mavely and the payment of certain transaction expenses, we received $193.7 million of cash and equity interest with an estimated fair value of $6.1 million.  Following the finalization of net working capital, we received additional cash payments of $2.7 million and $1.7 million in the second and third quarter of 2025, respectively.  In the first quarter of 2025, we recorded a pre-tax gain on disposition of $176.2 million.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Other income (expense),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income (expense), net was $(1.5) million for the third quarter of 2025 compared to $1.6 million for the prior-year period and $(30.7) million for the first nine months of 2025 compared to $1.8 million for the prior-year period. The increase in other expense for the first nine months of 2025 is primarily from a $28.1 million unrealized loss on investment. See Note 8 to the consolidated financial statements contained in this report for more information on the unrealized equity investment and the associated loss.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Provision (benefit) for 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Provision (benefit) for income taxes for the three- and nine-month periods ended September 30, 2025 was $(1.1) million and $32.3 million, respectively, compared to $5.0 million and $(6.8) million for the prior-year periods. The effective tax rates for the three- and nine-month periods ended September 30, 2025 were (6.8)% and 18.1% of pre-tax income compared, respectively, compared to 37.6% and 5.8% in the prior-year periods. Our effective tax rates for the third quarter and first nine months of 2025 benefited from $8.1 million of additional research and development credits determined creditable during the quarter. Our effective tax rate for the first nine months of 2025 was additionally impacted by the following items recorded discretely in the first quarter of 2025: the sale of Mavely, the impairment of the BeautyBio asset group and the unrealized loss on investment. Our effective tax rate for the nine-month period ended September 30, 2024 was impacted by the second quarter of 2024 goodwill impairment.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completed the initial assessment of the OBBBA corporate tax provisions as they relate to our financial statements in the third quarter of 2025. The enactment of the OBBBA did not have a material impact to our income tax benefit for the three and nine months ended September 30, 2025. We will continue to evaluate the impacts of OBBBA and do not expect the OBBBA to have a material impact to our total tax provision.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Net income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factors, net income (loss) for the third quarter of 2025 was $17.1 million, compared to $8.3 million in the prior-year period. Net income (loss) for the first nine months of 2025 was $145.7 million, compared to $(110.5) million for the first nine months of 2024.</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nine months of 2025, we generated $63.7 million in cash from operations, compared to $86.0 million during the prior-year period. The decrease in cash flow from operations primarily reflects cash payments made in the first quarter of 2025 related to expenses accrued as of year-end, which included restructuring and other accrued expenses, partially offset by a decline in prepaid expenses associated with the utilization of prepaid income taxes. Cash and cash equivalents, including current investments, as of September 30, 2025 and December 31, 2024 were $253.0 million and $198.0 million, respectively, with the increase being driven by the proceeds from the sale of Mavely and cash generated from operations as described above, partially offset by $165.0 million in net debt payments, which was comprised of $130.0 million toward our term loan and $35.0 million toward our revolving credit facility.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u w:val="single"/>
          <w:shd w:fill="FFFFFF" w:val="clear"/>
        </w:rPr>
        <w:t>Working capital</w:t>
      </w:r>
      <w:r>
        <w:rPr>
          <w:rFonts w:ascii="Times New Roman" w:hAnsi="Times New Roman"/>
          <w:color w:val="000000"/>
          <w:sz w:val="20"/>
          <w:shd w:fill="FFFFFF" w:val="clear"/>
        </w:rPr>
        <w:t>. As of September 30, 2025, working capital was $293.7 million, compared to $242.0 million as of December 31, 2024. Our increase in working capital is primarily attributable to changes in our cash balance as explained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Capital expenditures</w:t>
      </w:r>
      <w:r>
        <w:rPr>
          <w:rFonts w:ascii="Times New Roman" w:hAnsi="Times New Roman"/>
          <w:color w:val="000000"/>
          <w:sz w:val="20"/>
          <w:shd w:fill="FFFFFF" w:val="clear"/>
        </w:rPr>
        <w:t>. Capital expenditures for the nine months ended September 30, 2025 were $23.5 million. We expect that our capital expenditures in 2025 will be primarily related to:</w:t>
      </w:r>
    </w:p>
    <w:p>
      <w:pPr>
        <w:pStyle w:val="TextBody"/>
        <w:bidi w:val="0"/>
        <w:spacing w:before="0" w:after="0"/>
        <w:jc w:val="left"/>
        <w:rPr/>
      </w:pPr>
      <w:r>
        <w:rPr/>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0"/>
              <w:jc w:val="both"/>
              <w:rPr>
                <w:color w:val="000000"/>
              </w:rPr>
            </w:pPr>
            <w:r>
              <w:rPr>
                <w:color w:val="000000"/>
              </w:rPr>
              <w:t>Rhyz plant expansion to increase capacity and capabilities;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color w:val="000000"/>
              </w:rPr>
            </w:pPr>
            <w:r>
              <w:rPr>
                <w:color w:val="000000"/>
              </w:rPr>
              <w:t>purchases and expenditures for computer systems and equipment, software, and application development; and</w:t>
            </w:r>
          </w:p>
        </w:tc>
      </w:tr>
    </w:tbl>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both"/>
              <w:rPr>
                <w:color w:val="000000"/>
              </w:rPr>
            </w:pPr>
            <w:r>
              <w:rPr>
                <w:color w:val="000000"/>
              </w:rPr>
              <w:t>the expansion and upgrade of facilities in our various markets.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estimate that capital expenditures for the uses listed above will total approximately $30–35 million for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Credit Agreement</w:t>
      </w:r>
      <w:r>
        <w:rPr>
          <w:rFonts w:ascii="Times New Roman;Times;serif" w:hAnsi="Times New Roman;Times;serif"/>
          <w:color w:val="000000"/>
          <w:sz w:val="20"/>
          <w:shd w:fill="FFFFFF" w:val="clear"/>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September 30, 2025 and December 31, 2024, we had $0 and $35.0 million of outstanding borrowings under our revolving credit facility, and $230.0 million and $360.0 million on our term loan facility. The carrying value of the debt also reflects debt issuance costs of $1.0 million and $1.4 million as of September 30, 2025 and December 31, 2024, respectively, related to the Credit Agreement. The Credit Agreement requires us to maintain a consolidated leverage ratio not exceeding 2.75 to 1.00 and a consolidated interest coverage ratio of no less than 3.00 to 1.00. As of September 30, 2025, we were in compliance with all debt covenants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 Instruments</w:t>
      </w:r>
      <w:r>
        <w:rPr>
          <w:rFonts w:ascii="Times New Roman" w:hAnsi="Times New Roman"/>
          <w:color w:val="000000"/>
          <w:sz w:val="20"/>
          <w:shd w:fill="FFFFFF" w:val="clear"/>
        </w:rPr>
        <w:t>. During the third quarter of 2025, we had four interest rate swaps mature, with a total notional principal amount of $200 million. We entered into these interest rate swap arrangements during the third quarter of 2020 to hedge the variable cash flows associated with our variable-rate debt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Stock repurchase plan</w:t>
      </w:r>
      <w:r>
        <w:rPr>
          <w:rFonts w:ascii="Times New Roman" w:hAnsi="Times New Roman"/>
          <w:color w:val="000000"/>
          <w:sz w:val="20"/>
          <w:shd w:fill="FFFFFF" w:val="clear"/>
        </w:rPr>
        <w:t>. In 2018, our board of directors approved a stock repurchase plan authorizing us to repurchase up to $500.0 million of our outstanding shares of Class A common stock on the open market or in private transactions. During the third quarter of 2025, we repurchased 0.4 million shares of our Class A common stock under the plan for $5.0 million. As of September 30, 2025, $152.4 million was available for repurchases under the plan. Our stock repurchases are used primarily to offset dilution from our equity incentive plans and for strategic initiatives.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Dividends</w:t>
      </w:r>
      <w:r>
        <w:rPr>
          <w:rFonts w:ascii="Times New Roman;Times;serif" w:hAnsi="Times New Roman;Times;serif"/>
          <w:color w:val="000000"/>
          <w:sz w:val="20"/>
          <w:shd w:fill="FFFFFF" w:val="clear"/>
        </w:rPr>
        <w:t>. In February, May and August 2025, our board of directors declared quarterly cash dividends of $0.06 per share. The quarterly cash dividends of $3.0 million were paid on March 5, 2025, June 11, 2025 and September 10, 2025 to stockholders of record on February 24, 2025, May 30, 2025 and August 29, 2025). In November 2025, our board of directors declared a quarterly cash dividend of $0.06 per share to be paid on December 10, 2025 to stockholders of record on November 28, 2025.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Cash from foreign subsidiaries</w:t>
      </w:r>
      <w:r>
        <w:rPr>
          <w:rFonts w:ascii="Times New Roman" w:hAnsi="Times New Roman"/>
          <w:color w:val="000000"/>
          <w:sz w:val="20"/>
          <w:shd w:fill="FFFFFF" w:val="clear"/>
        </w:rPr>
        <w:t>. As of September 30, 2025 and December 31, 2024, we held $253.0 million and $198.0 million, respectively, in cash and cash equivalents, including current investments. These amounts include $162.4 million and $154.1 million as of September 30, 2025 and December 31, 2024,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September 30, 2025, we had $38.0 million in cash denominated in Chinese RMB. We also have experienced delays in repatriating cash from Argentina. As of September 30, 2025 and December 31, 2024, we had $20.5 million and $22.4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Contingent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Please refer to Note 12 to the consolidated financial statements contained in this Quarterly Report for information regarding our contingent liabilities.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significant changes in our critical accounting policies or estimates during the third quarter of 2025.</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 and Cyclicality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Normal"/>
        <w:bidi w:val="0"/>
        <w:spacing w:before="0" w:after="0"/>
        <w:jc w:val="left"/>
        <w:rPr>
          <w:sz w:val="4"/>
          <w:szCs w:val="4"/>
        </w:rPr>
      </w:pPr>
      <w:r>
        <w:rPr>
          <w:sz w:val="4"/>
          <w:szCs w:val="4"/>
        </w:rPr>
      </w:r>
      <w:bookmarkStart w:id="18" w:name="QUANTITATIVEANDQUALITATIV"/>
      <w:bookmarkStart w:id="19" w:name="QUANTITATIVEANDQUALITATIV"/>
      <w:bookmarkEnd w:id="19"/>
    </w:p>
    <w:tbl>
      <w:tblPr>
        <w:tblW w:w="9790" w:type="dxa"/>
        <w:jc w:val="left"/>
        <w:tblInd w:w="0" w:type="dxa"/>
        <w:tblLayout w:type="fixed"/>
        <w:tblCellMar>
          <w:top w:w="0" w:type="dxa"/>
          <w:left w:w="0" w:type="dxa"/>
          <w:bottom w:w="0" w:type="dxa"/>
          <w:right w:w="0" w:type="dxa"/>
        </w:tblCellMar>
      </w:tblPr>
      <w:tblGrid>
        <w:gridCol w:w="920"/>
        <w:gridCol w:w="8870"/>
      </w:tblGrid>
      <w:tr>
        <w:trPr/>
        <w:tc>
          <w:tcPr>
            <w:tcW w:w="920" w:type="dxa"/>
            <w:tcBorders/>
            <w:vAlign w:val="center"/>
          </w:tcPr>
          <w:p>
            <w:pPr>
              <w:pStyle w:val="TableContents"/>
              <w:bidi w:val="0"/>
              <w:spacing w:before="0" w:after="283"/>
              <w:jc w:val="left"/>
              <w:rPr>
                <w:b/>
              </w:rPr>
            </w:pPr>
            <w:r>
              <w:rPr>
                <w:b/>
              </w:rPr>
              <w:t>ITEM 3.</w:t>
            </w:r>
          </w:p>
        </w:tc>
        <w:tc>
          <w:tcPr>
            <w:tcW w:w="8870" w:type="dxa"/>
            <w:tcBorders/>
            <w:vAlign w:val="center"/>
          </w:tcPr>
          <w:p>
            <w:pPr>
              <w:pStyle w:val="TableContents"/>
              <w:bidi w:val="0"/>
              <w:spacing w:before="0" w:after="0"/>
              <w:jc w:val="left"/>
              <w:rPr>
                <w:b/>
                <w:u w:val="single"/>
              </w:rPr>
            </w:pPr>
            <w:r>
              <w:rPr>
                <w:b/>
                <w:u w:val="single"/>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Currency Risk and Exchange Rate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September 30, 2025, our subsidiary in Argentina had a small net peso monetary position. Net sales of our subsidiary in Argentina were less than 4% of our consolidated net sales for the three- and nine-month periods ended September 30, 2025 and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September 30, 2025 and 2024, we did not hold material non-designated mark-to-market forward derivative contracts to hedge foreign denominated intercompany positions or third party foreign debt. As of September 30, 2025, and 2024 we did not hold any material forward contracts designated as foreign currency cash flow hedges. We continue to evaluate our foreign currency hedging policy.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additional information about our market risk see Note 10 to the consolidated financial statements contained in this Quarterly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ONTROLSANDPROCEDURES"/>
      <w:bookmarkStart w:id="21" w:name="CONTROLSANDPROCEDURES"/>
      <w:bookmarkEnd w:id="21"/>
    </w:p>
    <w:tbl>
      <w:tblPr>
        <w:tblW w:w="4675" w:type="dxa"/>
        <w:jc w:val="left"/>
        <w:tblInd w:w="0" w:type="dxa"/>
        <w:tblLayout w:type="fixed"/>
        <w:tblCellMar>
          <w:top w:w="0" w:type="dxa"/>
          <w:left w:w="0" w:type="dxa"/>
          <w:bottom w:w="0" w:type="dxa"/>
          <w:right w:w="0" w:type="dxa"/>
        </w:tblCellMar>
      </w:tblPr>
      <w:tblGrid>
        <w:gridCol w:w="920"/>
        <w:gridCol w:w="3755"/>
      </w:tblGrid>
      <w:tr>
        <w:trPr/>
        <w:tc>
          <w:tcPr>
            <w:tcW w:w="920" w:type="dxa"/>
            <w:tcBorders/>
            <w:vAlign w:val="center"/>
          </w:tcPr>
          <w:p>
            <w:pPr>
              <w:pStyle w:val="TableContents"/>
              <w:bidi w:val="0"/>
              <w:spacing w:before="0" w:after="283"/>
              <w:jc w:val="left"/>
              <w:rPr>
                <w:b/>
              </w:rPr>
            </w:pPr>
            <w:r>
              <w:rPr>
                <w:b/>
              </w:rPr>
              <w:t>ITEM 4.</w:t>
            </w:r>
          </w:p>
        </w:tc>
        <w:tc>
          <w:tcPr>
            <w:tcW w:w="3755" w:type="dxa"/>
            <w:tcBorders/>
            <w:vAlign w:val="center"/>
          </w:tcPr>
          <w:p>
            <w:pPr>
              <w:pStyle w:val="TableContents"/>
              <w:bidi w:val="0"/>
              <w:spacing w:before="0" w:after="0"/>
              <w:jc w:val="left"/>
              <w:rPr>
                <w:b/>
                <w:u w:val="single"/>
              </w:rPr>
            </w:pPr>
            <w:r>
              <w:rPr>
                <w:b/>
                <w:u w:val="single"/>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September 30, 2025.</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Controls Over Financial Reporting.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made no changes in our internal control over financial reporting (as defined in Rule 13a-15(f) under the Exchange Act) during the fiscal quarter ended September 30, 2025 that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ITEM1."/>
      <w:bookmarkStart w:id="23" w:name="ITEM1."/>
      <w:bookmarkEnd w:id="23"/>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283"/>
              <w:jc w:val="left"/>
              <w:rPr>
                <w:b/>
              </w:rPr>
            </w:pPr>
            <w:r>
              <w:rPr>
                <w:b/>
              </w:rPr>
              <w:t>ITEM 1.</w:t>
            </w:r>
          </w:p>
        </w:tc>
        <w:tc>
          <w:tcPr>
            <w:tcW w:w="2735" w:type="dxa"/>
            <w:tcBorders/>
            <w:vAlign w:val="center"/>
          </w:tcPr>
          <w:p>
            <w:pPr>
              <w:pStyle w:val="TableContents"/>
              <w:bidi w:val="0"/>
              <w:spacing w:before="0" w:after="0"/>
              <w:jc w:val="left"/>
              <w:rPr>
                <w:b/>
                <w:u w:val="single"/>
              </w:rPr>
            </w:pPr>
            <w:r>
              <w:rPr>
                <w:b/>
                <w:u w:val="single"/>
              </w:rPr>
              <w:t>LEGAL PROCEEDINGS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From time to time, we are involved in legal proceedings arising in the ordinary course of business. </w:t>
      </w:r>
      <w:bookmarkStart w:id="24" w:name="z_Hlk213216750"/>
      <w:bookmarkEnd w:id="24"/>
      <w:r>
        <w:rPr>
          <w:rFonts w:ascii="Times New Roman;Times;serif" w:hAnsi="Times New Roman;Times;serif"/>
          <w:color w:val="000000"/>
          <w:sz w:val="20"/>
          <w:shd w:fill="FFFFFF" w:val="clear"/>
        </w:rPr>
        <w:t>For additional information, see Note 12 (Commitments and Contingencies) to the consolidated financial statements contained in this Quarterly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ITEM1A."/>
      <w:bookmarkStart w:id="26" w:name="ITEM1A."/>
      <w:bookmarkEnd w:id="26"/>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rPr>
            </w:pPr>
            <w:r>
              <w:rPr>
                <w:b/>
              </w:rPr>
              <w:t>ITEM 1A.</w:t>
            </w:r>
          </w:p>
        </w:tc>
        <w:tc>
          <w:tcPr>
            <w:tcW w:w="1850" w:type="dxa"/>
            <w:tcBorders/>
            <w:vAlign w:val="center"/>
          </w:tcPr>
          <w:p>
            <w:pPr>
              <w:pStyle w:val="TableContents"/>
              <w:bidi w:val="0"/>
              <w:spacing w:before="0" w:after="0"/>
              <w:jc w:val="left"/>
              <w:rPr>
                <w:b/>
                <w:u w:val="single"/>
              </w:rPr>
            </w:pPr>
            <w:r>
              <w:rPr>
                <w:b/>
                <w:u w:val="single"/>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bookmarkStart w:id="27" w:name="z_Hlk90025376"/>
      <w:bookmarkEnd w:id="27"/>
      <w:r>
        <w:rPr>
          <w:rFonts w:ascii="Times New Roman" w:hAnsi="Times New Roman"/>
          <w:color w:val="000000"/>
          <w:sz w:val="20"/>
          <w:shd w:fill="FFFFFF" w:val="clear"/>
        </w:rPr>
        <w:t>The information presented below supplements and should be read in conjunction with the detailed discussion of risks associated with our business in our recent SEC filings, including our Annual Report on Form 10-K for the 2024 fiscal year and subsequent reports.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to tariff and import/export regulations, and trade disputes between the United States and other jurisdictions have had a negative effect on global economic conditions and could negatively affect our business, financial results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United States and other foreign jurisdictions have changed customs regulations or tariff rates that are applied to our imports or exports, and they could make further changes at any time. Tariff changes are difficult to predict and may cause us material short-term or long-term cost fluctuations. The political administration in the United States has implemented new tariffs, some of which have been paused but may continue in the future, and has expressed an intention to continue using tariffs more robustly in pursuing government policy. When increases are made to U.S. duty rates or tariffs, retaliatory action by other countries has occurred and could continue occurring. Any increases could impact the price of our products and cause a decline in the demand for our products, as well as cause disruptions in our supply chain. We rely on the use of Free Trade Agreements, where available, that may experience alterations, suspensions or cancellations, which could increase our customs expenses or otherwise harm our business. Although we may take actions in response to tariffs, such as shifting our sourcing and production to alternate locations, there is no assurance that such actions would be successful in mitigating the additional tariffs.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duties and tariffs, any actions taken by the United States or by foreign countries to further implement trade policy changes, including limiting foreign investment or trade, banning imports from particular countries, increasing regulatory requirements, other actions that impact our ability to obtain necessary licenses or approvals, or any other restrictions on international trade, could negatively impact our business. These actions are unpredictable, and any of them could also have a material adverse effect on global economic conditions and the stability of global financial markets, significantly reduce global trade, or restrict our access to suppliers or customers, any of which would have a material adverse effect on our business, financial condition and results of operations.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ITEM2."/>
      <w:bookmarkStart w:id="29" w:name="ITEM2."/>
      <w:bookmarkEnd w:id="29"/>
    </w:p>
    <w:tbl>
      <w:tblPr>
        <w:tblW w:w="9640" w:type="dxa"/>
        <w:jc w:val="left"/>
        <w:tblInd w:w="0" w:type="dxa"/>
        <w:tblLayout w:type="fixed"/>
        <w:tblCellMar>
          <w:top w:w="0" w:type="dxa"/>
          <w:left w:w="0" w:type="dxa"/>
          <w:bottom w:w="0" w:type="dxa"/>
          <w:right w:w="0" w:type="dxa"/>
        </w:tblCellMar>
      </w:tblPr>
      <w:tblGrid>
        <w:gridCol w:w="920"/>
        <w:gridCol w:w="8720"/>
      </w:tblGrid>
      <w:tr>
        <w:trPr/>
        <w:tc>
          <w:tcPr>
            <w:tcW w:w="920" w:type="dxa"/>
            <w:tcBorders/>
            <w:vAlign w:val="center"/>
          </w:tcPr>
          <w:p>
            <w:pPr>
              <w:pStyle w:val="TableContents"/>
              <w:bidi w:val="0"/>
              <w:spacing w:before="0" w:after="283"/>
              <w:jc w:val="left"/>
              <w:rPr>
                <w:b/>
              </w:rPr>
            </w:pPr>
            <w:r>
              <w:rPr>
                <w:b/>
              </w:rPr>
              <w:t>ITEM 2.</w:t>
            </w:r>
          </w:p>
        </w:tc>
        <w:tc>
          <w:tcPr>
            <w:tcW w:w="8720" w:type="dxa"/>
            <w:tcBorders/>
            <w:vAlign w:val="center"/>
          </w:tcPr>
          <w:p>
            <w:pPr>
              <w:pStyle w:val="TableContents"/>
              <w:bidi w:val="0"/>
              <w:spacing w:before="0" w:after="0"/>
              <w:jc w:val="left"/>
              <w:rPr>
                <w:b/>
                <w:u w:val="single"/>
              </w:rPr>
            </w:pPr>
            <w:r>
              <w:rPr>
                <w:b/>
                <w:u w:val="single"/>
              </w:rPr>
              <w:t>UNREGISTERED SALES OF EQUITY SECURITIES AND USE OF PROCEEDS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Purchases of Equity Securities by the Issuer</w:t>
      </w:r>
    </w:p>
    <w:p>
      <w:pPr>
        <w:pStyle w:val="TextBody"/>
        <w:bidi w:val="0"/>
        <w:spacing w:before="0" w:after="0"/>
        <w:jc w:val="left"/>
        <w:rPr/>
      </w:pPr>
      <w:r>
        <w:rPr/>
      </w:r>
    </w:p>
    <w:tbl>
      <w:tblPr>
        <w:tblW w:w="9414" w:type="dxa"/>
        <w:jc w:val="left"/>
        <w:tblInd w:w="0" w:type="dxa"/>
        <w:tblLayout w:type="fixed"/>
        <w:tblCellMar>
          <w:top w:w="0" w:type="dxa"/>
          <w:left w:w="0" w:type="dxa"/>
          <w:bottom w:w="0" w:type="dxa"/>
          <w:right w:w="0" w:type="dxa"/>
        </w:tblCellMar>
      </w:tblPr>
      <w:tblGrid>
        <w:gridCol w:w="2255"/>
        <w:gridCol w:w="60"/>
        <w:gridCol w:w="76"/>
        <w:gridCol w:w="1024"/>
        <w:gridCol w:w="60"/>
        <w:gridCol w:w="60"/>
        <w:gridCol w:w="214"/>
        <w:gridCol w:w="856"/>
        <w:gridCol w:w="60"/>
        <w:gridCol w:w="60"/>
        <w:gridCol w:w="131"/>
        <w:gridCol w:w="1748"/>
        <w:gridCol w:w="60"/>
        <w:gridCol w:w="60"/>
        <w:gridCol w:w="523"/>
        <w:gridCol w:w="2092"/>
        <w:gridCol w:w="75"/>
      </w:tblGrid>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w:t>
            </w:r>
          </w:p>
        </w:tc>
        <w:tc>
          <w:tcPr>
            <w:tcW w:w="75" w:type="dxa"/>
            <w:tcBorders/>
            <w:vAlign w:val="bottom"/>
          </w:tcPr>
          <w:p>
            <w:pPr>
              <w:pStyle w:val="TableContents"/>
              <w:bidi w:val="0"/>
              <w:spacing w:before="0" w:after="283"/>
              <w:jc w:val="left"/>
              <w:rPr/>
            </w:pPr>
            <w:r>
              <w:rPr/>
              <w:t> </w:t>
            </w:r>
          </w:p>
        </w:tc>
      </w:tr>
      <w:tr>
        <w:trPr/>
        <w:tc>
          <w:tcPr>
            <w:tcW w:w="2255" w:type="dxa"/>
            <w:tcBorders>
              <w:bottom w:val="single" w:sz="12" w:space="0" w:color="000000"/>
            </w:tcBorders>
            <w:tcMar>
              <w:bottom w:w="28" w:type="dxa"/>
            </w:tcMar>
            <w:vAlign w:val="bottom"/>
          </w:tcPr>
          <w:p>
            <w:pPr>
              <w:pStyle w:val="TableContents"/>
              <w:bidi w:val="0"/>
              <w:spacing w:before="0" w:after="0"/>
              <w:jc w:val="center"/>
              <w:rPr>
                <w:b/>
              </w:rPr>
            </w:pPr>
            <w:r>
              <w:rPr>
                <w:b/>
              </w:rPr>
              <w:t>Period</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p>
            <w:pPr>
              <w:pStyle w:val="TableContents"/>
              <w:bidi w:val="0"/>
              <w:spacing w:before="0" w:after="0"/>
              <w:jc w:val="center"/>
              <w:rPr>
                <w:b/>
              </w:rPr>
            </w:pPr>
            <w:r>
              <w:rPr>
                <w:b/>
              </w:rPr>
              <w:t>Number</w:t>
            </w:r>
          </w:p>
          <w:p>
            <w:pPr>
              <w:pStyle w:val="TableContents"/>
              <w:bidi w:val="0"/>
              <w:spacing w:before="0" w:after="0"/>
              <w:jc w:val="center"/>
              <w:rPr>
                <w:b/>
              </w:rPr>
            </w:pPr>
            <w:r>
              <w:rPr>
                <w:b/>
              </w:rPr>
              <w:t>of Shares</w:t>
            </w:r>
          </w:p>
          <w:p>
            <w:pPr>
              <w:pStyle w:val="TableContents"/>
              <w:bidi w:val="0"/>
              <w:spacing w:before="0" w:after="0"/>
              <w:jc w:val="center"/>
              <w:rPr>
                <w:b/>
              </w:rPr>
            </w:pPr>
            <w:r>
              <w:rPr>
                <w:b/>
              </w:rPr>
              <w:t>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Price Paid</w:t>
            </w:r>
          </w:p>
          <w:p>
            <w:pPr>
              <w:pStyle w:val="TableContents"/>
              <w:bidi w:val="0"/>
              <w:spacing w:before="0" w:after="0"/>
              <w:jc w:val="center"/>
              <w:rPr>
                <w:b/>
              </w:rPr>
            </w:pPr>
            <w:r>
              <w:rPr>
                <w:b/>
              </w:rPr>
              <w:t>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Number of</w:t>
            </w:r>
          </w:p>
          <w:p>
            <w:pPr>
              <w:pStyle w:val="TableContents"/>
              <w:bidi w:val="0"/>
              <w:spacing w:before="0" w:after="0"/>
              <w:jc w:val="center"/>
              <w:rPr>
                <w:b/>
              </w:rPr>
            </w:pPr>
            <w:r>
              <w:rPr>
                <w:b/>
              </w:rPr>
              <w:t>Shares Purchased</w:t>
            </w:r>
          </w:p>
          <w:p>
            <w:pPr>
              <w:pStyle w:val="TableContents"/>
              <w:bidi w:val="0"/>
              <w:spacing w:before="0" w:after="0"/>
              <w:jc w:val="center"/>
              <w:rPr>
                <w:b/>
              </w:rPr>
            </w:pPr>
            <w:r>
              <w:rPr>
                <w:b/>
              </w:rPr>
              <w:t>as Part of Publicly</w:t>
            </w:r>
          </w:p>
          <w:p>
            <w:pPr>
              <w:pStyle w:val="TableContents"/>
              <w:bidi w:val="0"/>
              <w:spacing w:before="0" w:after="0"/>
              <w:jc w:val="center"/>
              <w:rPr>
                <w:b/>
              </w:rPr>
            </w:pPr>
            <w:r>
              <w:rPr>
                <w:b/>
              </w:rPr>
              <w:t>Announced Plans</w:t>
            </w:r>
          </w:p>
          <w:p>
            <w:pPr>
              <w:pStyle w:val="TableContents"/>
              <w:bidi w:val="0"/>
              <w:spacing w:before="0" w:after="0"/>
              <w:jc w:val="center"/>
              <w:rPr>
                <w:b/>
              </w:rPr>
            </w:pPr>
            <w:r>
              <w:rPr>
                <w:b/>
              </w:rPr>
              <w:t>or Programs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Approximate Dollar</w:t>
            </w:r>
          </w:p>
          <w:p>
            <w:pPr>
              <w:pStyle w:val="TableContents"/>
              <w:bidi w:val="0"/>
              <w:spacing w:before="0" w:after="0"/>
              <w:jc w:val="center"/>
              <w:rPr>
                <w:b/>
              </w:rPr>
            </w:pPr>
            <w:r>
              <w:rPr>
                <w:b/>
              </w:rPr>
              <w:t>Value of Shares that May</w:t>
            </w:r>
          </w:p>
          <w:p>
            <w:pPr>
              <w:pStyle w:val="TableContents"/>
              <w:bidi w:val="0"/>
              <w:spacing w:before="0" w:after="0"/>
              <w:jc w:val="center"/>
              <w:rPr>
                <w:b/>
              </w:rPr>
            </w:pPr>
            <w:r>
              <w:rPr>
                <w:b/>
              </w:rPr>
              <w:t>Yet Be Purchased Under</w:t>
            </w:r>
          </w:p>
          <w:p>
            <w:pPr>
              <w:pStyle w:val="TableContents"/>
              <w:bidi w:val="0"/>
              <w:spacing w:before="0" w:after="0"/>
              <w:jc w:val="center"/>
              <w:rPr>
                <w:b/>
              </w:rPr>
            </w:pPr>
            <w:r>
              <w:rPr>
                <w:b/>
              </w:rPr>
              <w:t>the Plans or Programs</w:t>
            </w:r>
          </w:p>
          <w:p>
            <w:pPr>
              <w:pStyle w:val="TableContents"/>
              <w:bidi w:val="0"/>
              <w:spacing w:lineRule="auto" w:line="240" w:before="0" w:after="0"/>
              <w:jc w:val="center"/>
              <w:rPr/>
            </w:pPr>
            <w:r>
              <w:rPr/>
              <w:t>(in millions)(1)</w:t>
            </w:r>
          </w:p>
        </w:tc>
        <w:tc>
          <w:tcPr>
            <w:tcW w:w="7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44"/>
              <w:jc w:val="left"/>
              <w:rPr/>
            </w:pPr>
            <w:r>
              <w:rPr/>
              <w:t>July 1 - 31, 2025</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8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157.4</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44" w:right="0" w:hanging="144"/>
              <w:jc w:val="left"/>
              <w:rPr/>
            </w:pPr>
            <w:r>
              <w:rPr/>
              <w:t>August  1 - 31, 2025</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pPr>
            <w:r>
              <w:rPr/>
              <w:t>135,752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pPr>
            <w:r>
              <w:rPr/>
              <w:t>11.92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0"/>
              <w:jc w:val="right"/>
              <w:rPr/>
            </w:pPr>
            <w:r>
              <w:rPr/>
              <w:t>135,752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left"/>
              <w:rPr/>
            </w:pPr>
            <w:r>
              <w:rPr/>
              <w:t>$</w:t>
            </w:r>
          </w:p>
        </w:tc>
        <w:tc>
          <w:tcPr>
            <w:tcW w:w="2092" w:type="dxa"/>
            <w:tcBorders/>
            <w:vAlign w:val="bottom"/>
          </w:tcPr>
          <w:p>
            <w:pPr>
              <w:pStyle w:val="TableContents"/>
              <w:bidi w:val="0"/>
              <w:spacing w:before="0" w:after="0"/>
              <w:jc w:val="right"/>
              <w:rPr/>
            </w:pPr>
            <w:r>
              <w:rPr/>
              <w:t>155.7</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44"/>
              <w:jc w:val="left"/>
              <w:rPr/>
            </w:pPr>
            <w:r>
              <w:rPr/>
              <w:t>September 1 - 30, 2025</w:t>
            </w:r>
          </w:p>
        </w:tc>
        <w:tc>
          <w:tcPr>
            <w:tcW w:w="60" w:type="dxa"/>
            <w:tcBorders/>
            <w:shd w:fill="CCEEFF" w:val="cle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pPr>
            <w:r>
              <w:rPr/>
              <w:t>282,640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pPr>
            <w:r>
              <w:rPr/>
              <w:t>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8" w:type="dxa"/>
            <w:tcBorders>
              <w:bottom w:val="single" w:sz="12" w:space="0" w:color="000000"/>
            </w:tcBorders>
            <w:shd w:fill="CCEEFF" w:val="clear"/>
            <w:tcMar>
              <w:bottom w:w="28" w:type="dxa"/>
            </w:tcMar>
            <w:vAlign w:val="bottom"/>
          </w:tcPr>
          <w:p>
            <w:pPr>
              <w:pStyle w:val="TableContents"/>
              <w:bidi w:val="0"/>
              <w:spacing w:before="0" w:after="0"/>
              <w:jc w:val="right"/>
              <w:rPr/>
            </w:pPr>
            <w:r>
              <w:rPr/>
              <w:t>282,640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152.4</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80" w:right="0" w:hanging="0"/>
              <w:jc w:val="left"/>
              <w:rPr/>
            </w:pPr>
            <w:r>
              <w:rPr/>
              <w:t>Total</w:t>
            </w:r>
          </w:p>
        </w:tc>
        <w:tc>
          <w:tcPr>
            <w:tcW w:w="60" w:type="dxa"/>
            <w:tcBorders/>
            <w:vAlign w:val="bottom"/>
          </w:tcPr>
          <w:p>
            <w:pPr>
              <w:pStyle w:val="TableContents"/>
              <w:bidi w:val="0"/>
              <w:spacing w:before="0" w:after="283"/>
              <w:jc w:val="lef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1024" w:type="dxa"/>
            <w:tcBorders>
              <w:bottom w:val="double" w:sz="8" w:space="0" w:color="000000"/>
            </w:tcBorders>
            <w:tcMar>
              <w:bottom w:w="28" w:type="dxa"/>
            </w:tcMar>
            <w:vAlign w:val="bottom"/>
          </w:tcPr>
          <w:p>
            <w:pPr>
              <w:pStyle w:val="TableContents"/>
              <w:bidi w:val="0"/>
              <w:spacing w:before="0" w:after="0"/>
              <w:jc w:val="right"/>
              <w:rPr/>
            </w:pPr>
            <w:r>
              <w:rPr/>
              <w:t>418,392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0"/>
              <w:jc w:val="left"/>
              <w:rPr/>
            </w:pPr>
            <w:r>
              <w:rPr/>
              <w:t>$</w:t>
            </w:r>
          </w:p>
        </w:tc>
        <w:tc>
          <w:tcPr>
            <w:tcW w:w="856" w:type="dxa"/>
            <w:tcBorders/>
            <w:vAlign w:val="bottom"/>
          </w:tcPr>
          <w:p>
            <w:pPr>
              <w:pStyle w:val="TableContents"/>
              <w:bidi w:val="0"/>
              <w:spacing w:before="0" w:after="0"/>
              <w:jc w:val="right"/>
              <w:rPr/>
            </w:pPr>
            <w:r>
              <w:rPr/>
              <w:t>11.97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283"/>
              <w:jc w:val="left"/>
              <w:rPr/>
            </w:pPr>
            <w:r>
              <w:rPr/>
              <w:t> </w:t>
            </w:r>
          </w:p>
        </w:tc>
        <w:tc>
          <w:tcPr>
            <w:tcW w:w="1748" w:type="dxa"/>
            <w:tcBorders>
              <w:bottom w:val="double" w:sz="8" w:space="0" w:color="000000"/>
            </w:tcBorders>
            <w:tcMar>
              <w:bottom w:w="28" w:type="dxa"/>
            </w:tcMar>
            <w:vAlign w:val="bottom"/>
          </w:tcPr>
          <w:p>
            <w:pPr>
              <w:pStyle w:val="TableContents"/>
              <w:bidi w:val="0"/>
              <w:spacing w:before="0" w:after="0"/>
              <w:jc w:val="right"/>
              <w:rPr/>
            </w:pPr>
            <w:r>
              <w:rPr/>
              <w:t>418,392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092"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pPr>
            <w:r>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Normal"/>
        <w:bidi w:val="0"/>
        <w:spacing w:before="0" w:after="0"/>
        <w:jc w:val="left"/>
        <w:rPr>
          <w:sz w:val="4"/>
          <w:szCs w:val="4"/>
        </w:rPr>
      </w:pPr>
      <w:r>
        <w:rPr>
          <w:sz w:val="4"/>
          <w:szCs w:val="4"/>
        </w:rPr>
      </w:r>
      <w:bookmarkStart w:id="30" w:name="ITEM3."/>
      <w:bookmarkStart w:id="31" w:name="ITEM3."/>
      <w:bookmarkEnd w:id="31"/>
    </w:p>
    <w:tbl>
      <w:tblPr>
        <w:tblW w:w="5560" w:type="dxa"/>
        <w:jc w:val="left"/>
        <w:tblInd w:w="0" w:type="dxa"/>
        <w:tblLayout w:type="fixed"/>
        <w:tblCellMar>
          <w:top w:w="0" w:type="dxa"/>
          <w:left w:w="0" w:type="dxa"/>
          <w:bottom w:w="0" w:type="dxa"/>
          <w:right w:w="0" w:type="dxa"/>
        </w:tblCellMar>
      </w:tblPr>
      <w:tblGrid>
        <w:gridCol w:w="920"/>
        <w:gridCol w:w="4640"/>
      </w:tblGrid>
      <w:tr>
        <w:trPr/>
        <w:tc>
          <w:tcPr>
            <w:tcW w:w="920" w:type="dxa"/>
            <w:tcBorders/>
            <w:vAlign w:val="center"/>
          </w:tcPr>
          <w:p>
            <w:pPr>
              <w:pStyle w:val="TableContents"/>
              <w:bidi w:val="0"/>
              <w:spacing w:before="0" w:after="283"/>
              <w:jc w:val="left"/>
              <w:rPr>
                <w:b/>
              </w:rPr>
            </w:pPr>
            <w:r>
              <w:rPr>
                <w:b/>
              </w:rPr>
              <w:t>ITEM 3.</w:t>
            </w:r>
          </w:p>
        </w:tc>
        <w:tc>
          <w:tcPr>
            <w:tcW w:w="4640" w:type="dxa"/>
            <w:tcBorders/>
            <w:vAlign w:val="center"/>
          </w:tcPr>
          <w:p>
            <w:pPr>
              <w:pStyle w:val="TableContents"/>
              <w:bidi w:val="0"/>
              <w:spacing w:before="0" w:after="0"/>
              <w:jc w:val="left"/>
              <w:rPr>
                <w:b/>
                <w:u w:val="single"/>
              </w:rPr>
            </w:pPr>
            <w:r>
              <w:rPr>
                <w:b/>
                <w:u w:val="single"/>
              </w:rPr>
              <w:t>DEFAULTS UPON SENIOR SECURITIES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ITEM4."/>
      <w:bookmarkStart w:id="33" w:name="ITEM4."/>
      <w:bookmarkEnd w:id="33"/>
    </w:p>
    <w:tbl>
      <w:tblPr>
        <w:tblW w:w="4435" w:type="dxa"/>
        <w:jc w:val="left"/>
        <w:tblInd w:w="0" w:type="dxa"/>
        <w:tblLayout w:type="fixed"/>
        <w:tblCellMar>
          <w:top w:w="0" w:type="dxa"/>
          <w:left w:w="0" w:type="dxa"/>
          <w:bottom w:w="0" w:type="dxa"/>
          <w:right w:w="0" w:type="dxa"/>
        </w:tblCellMar>
      </w:tblPr>
      <w:tblGrid>
        <w:gridCol w:w="920"/>
        <w:gridCol w:w="3515"/>
      </w:tblGrid>
      <w:tr>
        <w:trPr/>
        <w:tc>
          <w:tcPr>
            <w:tcW w:w="920" w:type="dxa"/>
            <w:tcBorders/>
            <w:vAlign w:val="center"/>
          </w:tcPr>
          <w:p>
            <w:pPr>
              <w:pStyle w:val="TableContents"/>
              <w:bidi w:val="0"/>
              <w:spacing w:before="0" w:after="283"/>
              <w:jc w:val="left"/>
              <w:rPr>
                <w:b/>
              </w:rPr>
            </w:pPr>
            <w:r>
              <w:rPr>
                <w:b/>
              </w:rPr>
              <w:t>ITEM 4.</w:t>
            </w:r>
          </w:p>
        </w:tc>
        <w:tc>
          <w:tcPr>
            <w:tcW w:w="3515" w:type="dxa"/>
            <w:tcBorders/>
            <w:vAlign w:val="center"/>
          </w:tcPr>
          <w:p>
            <w:pPr>
              <w:pStyle w:val="TableContents"/>
              <w:bidi w:val="0"/>
              <w:spacing w:before="0" w:after="0"/>
              <w:jc w:val="left"/>
              <w:rPr>
                <w:b/>
                <w:u w:val="single"/>
              </w:rPr>
            </w:pPr>
            <w:r>
              <w:rPr>
                <w:b/>
                <w:u w:val="single"/>
              </w:rPr>
              <w:t>MINE SAFETY DISCLOSURES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ITEM5."/>
      <w:bookmarkStart w:id="35" w:name="ITEM5."/>
      <w:bookmarkEnd w:id="35"/>
    </w:p>
    <w:tbl>
      <w:tblPr>
        <w:tblW w:w="3685" w:type="dxa"/>
        <w:jc w:val="left"/>
        <w:tblInd w:w="0" w:type="dxa"/>
        <w:tblLayout w:type="fixed"/>
        <w:tblCellMar>
          <w:top w:w="0" w:type="dxa"/>
          <w:left w:w="0" w:type="dxa"/>
          <w:bottom w:w="0" w:type="dxa"/>
          <w:right w:w="0" w:type="dxa"/>
        </w:tblCellMar>
      </w:tblPr>
      <w:tblGrid>
        <w:gridCol w:w="920"/>
        <w:gridCol w:w="2765"/>
      </w:tblGrid>
      <w:tr>
        <w:trPr/>
        <w:tc>
          <w:tcPr>
            <w:tcW w:w="920" w:type="dxa"/>
            <w:tcBorders/>
            <w:vAlign w:val="center"/>
          </w:tcPr>
          <w:p>
            <w:pPr>
              <w:pStyle w:val="TableContents"/>
              <w:bidi w:val="0"/>
              <w:spacing w:before="0" w:after="283"/>
              <w:jc w:val="left"/>
              <w:rPr>
                <w:b/>
              </w:rPr>
            </w:pPr>
            <w:r>
              <w:rPr>
                <w:b/>
              </w:rPr>
              <w:t>ITEM 5.</w:t>
            </w:r>
          </w:p>
        </w:tc>
        <w:tc>
          <w:tcPr>
            <w:tcW w:w="2765" w:type="dxa"/>
            <w:tcBorders/>
            <w:vAlign w:val="center"/>
          </w:tcPr>
          <w:p>
            <w:pPr>
              <w:pStyle w:val="TableContents"/>
              <w:bidi w:val="0"/>
              <w:spacing w:before="0" w:after="0"/>
              <w:jc w:val="left"/>
              <w:rPr>
                <w:b/>
                <w:u w:val="single"/>
              </w:rPr>
            </w:pPr>
            <w:r>
              <w:rPr>
                <w:b/>
                <w:u w:val="single"/>
              </w:rPr>
              <w:t>OTHER INFORMATION</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ITEM6."/>
      <w:bookmarkStart w:id="37" w:name="ITEM6."/>
      <w:bookmarkEnd w:id="37"/>
    </w:p>
    <w:tbl>
      <w:tblPr>
        <w:tblW w:w="2125" w:type="dxa"/>
        <w:jc w:val="left"/>
        <w:tblInd w:w="0" w:type="dxa"/>
        <w:tblLayout w:type="fixed"/>
        <w:tblCellMar>
          <w:top w:w="0" w:type="dxa"/>
          <w:left w:w="0" w:type="dxa"/>
          <w:bottom w:w="0" w:type="dxa"/>
          <w:right w:w="0" w:type="dxa"/>
        </w:tblCellMar>
      </w:tblPr>
      <w:tblGrid>
        <w:gridCol w:w="920"/>
        <w:gridCol w:w="1205"/>
      </w:tblGrid>
      <w:tr>
        <w:trPr/>
        <w:tc>
          <w:tcPr>
            <w:tcW w:w="920" w:type="dxa"/>
            <w:tcBorders/>
            <w:vAlign w:val="center"/>
          </w:tcPr>
          <w:p>
            <w:pPr>
              <w:pStyle w:val="TableContents"/>
              <w:bidi w:val="0"/>
              <w:spacing w:before="0" w:after="283"/>
              <w:jc w:val="left"/>
              <w:rPr>
                <w:b/>
              </w:rPr>
            </w:pPr>
            <w:r>
              <w:rPr>
                <w:b/>
              </w:rPr>
              <w:t>ITEM 6.</w:t>
            </w:r>
          </w:p>
        </w:tc>
        <w:tc>
          <w:tcPr>
            <w:tcW w:w="1205" w:type="dxa"/>
            <w:tcBorders/>
            <w:vAlign w:val="center"/>
          </w:tcPr>
          <w:p>
            <w:pPr>
              <w:pStyle w:val="TableContents"/>
              <w:bidi w:val="0"/>
              <w:spacing w:before="0" w:after="0"/>
              <w:jc w:val="left"/>
              <w:rPr>
                <w:b/>
                <w:u w:val="single"/>
              </w:rPr>
            </w:pPr>
            <w:r>
              <w:rPr>
                <w:b/>
                <w:u w:val="single"/>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316"/>
        <w:gridCol w:w="60"/>
        <w:gridCol w:w="8829"/>
      </w:tblGrid>
      <w:tr>
        <w:trPr/>
        <w:tc>
          <w:tcPr>
            <w:tcW w:w="1316" w:type="dxa"/>
            <w:tcBorders>
              <w:bottom w:val="single" w:sz="12" w:space="0" w:color="000000"/>
            </w:tcBorders>
            <w:vAlign w:val="center"/>
          </w:tcPr>
          <w:p>
            <w:pPr>
              <w:pStyle w:val="TableContents"/>
              <w:bidi w:val="0"/>
              <w:spacing w:before="0" w:after="0"/>
              <w:jc w:val="center"/>
              <w:rPr>
                <w:b/>
              </w:rPr>
            </w:pPr>
            <w:r>
              <w:rPr>
                <w:b/>
              </w:rPr>
              <w:t>Exhibits</w:t>
            </w:r>
          </w:p>
          <w:p>
            <w:pPr>
              <w:pStyle w:val="TableContents"/>
              <w:bidi w:val="0"/>
              <w:spacing w:before="0" w:after="0"/>
              <w:jc w:val="center"/>
              <w:rPr>
                <w:b/>
              </w:rPr>
            </w:pPr>
            <w:r>
              <w:rPr>
                <w:b/>
              </w:rPr>
              <w:t>Regulation S-K</w:t>
            </w:r>
          </w:p>
          <w:p>
            <w:pPr>
              <w:pStyle w:val="TableContents"/>
              <w:bidi w:val="0"/>
              <w:spacing w:before="0" w:after="0"/>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8829" w:type="dxa"/>
            <w:tcBorders>
              <w:bottom w:val="single" w:sz="12" w:space="0" w:color="000000"/>
            </w:tcBorders>
            <w:vAlign w:val="center"/>
          </w:tcPr>
          <w:p>
            <w:pPr>
              <w:pStyle w:val="TableContents"/>
              <w:bidi w:val="0"/>
              <w:spacing w:before="0" w:after="0"/>
              <w:jc w:val="left"/>
              <w:rPr>
                <w:b/>
              </w:rPr>
            </w:pPr>
            <w:r>
              <w:rPr>
                <w:b/>
              </w:rPr>
              <w:t>Description</w:t>
            </w:r>
          </w:p>
        </w:tc>
      </w:tr>
      <w:tr>
        <w:trPr/>
        <w:tc>
          <w:tcPr>
            <w:tcW w:w="13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29" w:type="dxa"/>
            <w:tcBorders/>
            <w:tcMar>
              <w:bottom w:w="0" w:type="dxa"/>
            </w:tcMar>
            <w:vAlign w:val="center"/>
          </w:tcPr>
          <w:p>
            <w:pPr>
              <w:pStyle w:val="TableContents"/>
              <w:bidi w:val="0"/>
              <w:spacing w:before="0" w:after="283"/>
              <w:jc w:val="left"/>
              <w:rPr/>
            </w:pPr>
            <w:r>
              <w:rPr/>
              <w:t> </w:t>
            </w:r>
          </w:p>
        </w:tc>
      </w:tr>
      <w:tr>
        <w:trPr/>
        <w:tc>
          <w:tcPr>
            <w:tcW w:w="1316" w:type="dxa"/>
            <w:tcBorders/>
            <w:shd w:fill="CCEEFF" w:val="clear"/>
            <w:tcMar>
              <w:bottom w:w="0" w:type="dxa"/>
            </w:tcMar>
            <w:vAlign w:val="center"/>
          </w:tcPr>
          <w:p>
            <w:pPr>
              <w:pStyle w:val="TableContents"/>
              <w:bidi w:val="0"/>
              <w:spacing w:before="0" w:after="0"/>
              <w:jc w:val="left"/>
              <w:rPr/>
            </w:pPr>
            <w:hyperlink w:anchor="ef20054961_ex31-1.htm">
              <w:r>
                <w:rPr>
                  <w:rStyle w:val="InternetLink"/>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829" w:type="dxa"/>
            <w:tcBorders/>
            <w:shd w:fill="CCEEFF" w:val="clear"/>
            <w:tcMar>
              <w:bottom w:w="0" w:type="dxa"/>
            </w:tcMar>
            <w:vAlign w:val="center"/>
          </w:tcPr>
          <w:p>
            <w:pPr>
              <w:pStyle w:val="TableContents"/>
              <w:bidi w:val="0"/>
              <w:spacing w:before="0" w:after="0"/>
              <w:jc w:val="both"/>
              <w:rPr/>
            </w:pPr>
            <w:r>
              <w:rPr/>
              <w:t>Certification by Ryan S. Napierski, Chief Executive Officer, pursuant to Rule 13a-14(a) of the Securities Exchange Act of 1934, as adopted pursuant to Section 302 of the Sarbanes-Oxley Act of 2002.</w:t>
            </w:r>
          </w:p>
        </w:tc>
      </w:tr>
      <w:tr>
        <w:trPr/>
        <w:tc>
          <w:tcPr>
            <w:tcW w:w="1316" w:type="dxa"/>
            <w:tcBorders/>
            <w:tcMar>
              <w:bottom w:w="0" w:type="dxa"/>
            </w:tcMar>
            <w:vAlign w:val="center"/>
          </w:tcPr>
          <w:p>
            <w:pPr>
              <w:pStyle w:val="TableContents"/>
              <w:bidi w:val="0"/>
              <w:spacing w:before="0" w:after="0"/>
              <w:jc w:val="left"/>
              <w:rPr/>
            </w:pPr>
            <w:hyperlink w:anchor="ef20054961_ex31-2.htm">
              <w:r>
                <w:rPr>
                  <w:rStyle w:val="InternetLink"/>
                </w:rPr>
                <w:t>31.2</w:t>
              </w:r>
            </w:hyperlink>
          </w:p>
        </w:tc>
        <w:tc>
          <w:tcPr>
            <w:tcW w:w="60" w:type="dxa"/>
            <w:tcBorders/>
            <w:tcMar>
              <w:bottom w:w="0" w:type="dxa"/>
            </w:tcMar>
            <w:vAlign w:val="center"/>
          </w:tcPr>
          <w:p>
            <w:pPr>
              <w:pStyle w:val="TableContents"/>
              <w:bidi w:val="0"/>
              <w:spacing w:before="0" w:after="283"/>
              <w:jc w:val="left"/>
              <w:rPr/>
            </w:pPr>
            <w:r>
              <w:rPr/>
              <w:t> </w:t>
            </w:r>
          </w:p>
        </w:tc>
        <w:tc>
          <w:tcPr>
            <w:tcW w:w="8829" w:type="dxa"/>
            <w:tcBorders/>
            <w:tcMar>
              <w:bottom w:w="0" w:type="dxa"/>
            </w:tcMar>
            <w:vAlign w:val="center"/>
          </w:tcPr>
          <w:p>
            <w:pPr>
              <w:pStyle w:val="TableContents"/>
              <w:bidi w:val="0"/>
              <w:spacing w:before="0" w:after="0"/>
              <w:jc w:val="both"/>
              <w:rPr/>
            </w:pPr>
            <w:r>
              <w:rPr/>
              <w:t>Certification by James D. Thomas, Chief Financial Officer, pursuant to Rule 13a-14(a) of the Securities Exchange Act of 1934, as adopted pursuant to Section 302 of the Sarbanes-Oxley Act of 2002.</w:t>
            </w:r>
          </w:p>
        </w:tc>
      </w:tr>
      <w:tr>
        <w:trPr/>
        <w:tc>
          <w:tcPr>
            <w:tcW w:w="1316" w:type="dxa"/>
            <w:tcBorders/>
            <w:shd w:fill="CCEEFF" w:val="clear"/>
            <w:tcMar>
              <w:bottom w:w="0" w:type="dxa"/>
            </w:tcMar>
            <w:vAlign w:val="center"/>
          </w:tcPr>
          <w:p>
            <w:pPr>
              <w:pStyle w:val="TableContents"/>
              <w:bidi w:val="0"/>
              <w:spacing w:before="0" w:after="0"/>
              <w:jc w:val="left"/>
              <w:rPr/>
            </w:pPr>
            <w:hyperlink w:anchor="ef20054961_ex32-1.htm">
              <w:r>
                <w:rPr>
                  <w:rStyle w:val="InternetLink"/>
                </w:rPr>
                <w:t>32.1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829" w:type="dxa"/>
            <w:tcBorders/>
            <w:shd w:fill="CCEEFF" w:val="clear"/>
            <w:tcMar>
              <w:bottom w:w="0" w:type="dxa"/>
            </w:tcMar>
            <w:vAlign w:val="center"/>
          </w:tcPr>
          <w:p>
            <w:pPr>
              <w:pStyle w:val="TableContents"/>
              <w:bidi w:val="0"/>
              <w:spacing w:before="0" w:after="0"/>
              <w:jc w:val="both"/>
              <w:rPr/>
            </w:pPr>
            <w:r>
              <w:rPr/>
              <w:t>Certification by Ryan S. Napierski, Chief Executive Officer, pursuant to Section 1350, Chapter 63 of Title 18, United States Code, as adopted pursuant to Section 906 of the Sarbanes-Oxley Act of 2002.</w:t>
            </w:r>
          </w:p>
        </w:tc>
      </w:tr>
      <w:tr>
        <w:trPr/>
        <w:tc>
          <w:tcPr>
            <w:tcW w:w="1316" w:type="dxa"/>
            <w:tcBorders/>
            <w:tcMar>
              <w:bottom w:w="0" w:type="dxa"/>
            </w:tcMar>
            <w:vAlign w:val="center"/>
          </w:tcPr>
          <w:p>
            <w:pPr>
              <w:pStyle w:val="TableContents"/>
              <w:bidi w:val="0"/>
              <w:spacing w:before="0" w:after="0"/>
              <w:jc w:val="left"/>
              <w:rPr/>
            </w:pPr>
            <w:hyperlink w:anchor="ef20054961_ex32-2.htm">
              <w:r>
                <w:rPr>
                  <w:rStyle w:val="InternetLink"/>
                </w:rPr>
                <w:t>32.2</w:t>
              </w:r>
            </w:hyperlink>
          </w:p>
        </w:tc>
        <w:tc>
          <w:tcPr>
            <w:tcW w:w="60" w:type="dxa"/>
            <w:tcBorders/>
            <w:tcMar>
              <w:bottom w:w="0" w:type="dxa"/>
            </w:tcMar>
            <w:vAlign w:val="center"/>
          </w:tcPr>
          <w:p>
            <w:pPr>
              <w:pStyle w:val="TableContents"/>
              <w:bidi w:val="0"/>
              <w:spacing w:before="0" w:after="283"/>
              <w:jc w:val="left"/>
              <w:rPr/>
            </w:pPr>
            <w:r>
              <w:rPr/>
              <w:t> </w:t>
            </w:r>
          </w:p>
        </w:tc>
        <w:tc>
          <w:tcPr>
            <w:tcW w:w="8829" w:type="dxa"/>
            <w:tcBorders/>
            <w:tcMar>
              <w:bottom w:w="0" w:type="dxa"/>
            </w:tcMar>
            <w:vAlign w:val="center"/>
          </w:tcPr>
          <w:p>
            <w:pPr>
              <w:pStyle w:val="TableContents"/>
              <w:bidi w:val="0"/>
              <w:spacing w:before="0" w:after="0"/>
              <w:jc w:val="both"/>
              <w:rPr/>
            </w:pPr>
            <w:r>
              <w:rPr/>
              <w:t>Certification by James D. Thomas, Chief Financial Officer, pursuant to Section 1350, Chapter 63 of Title 18, United States Code, as adopted pursuant to Section 906 of the Sarbanes-Oxley Act of 2002.</w:t>
            </w:r>
          </w:p>
        </w:tc>
      </w:tr>
      <w:tr>
        <w:trPr/>
        <w:tc>
          <w:tcPr>
            <w:tcW w:w="1316" w:type="dxa"/>
            <w:tcBorders/>
            <w:shd w:fill="CCEEFF" w:val="clear"/>
            <w:tcMar>
              <w:bottom w:w="0" w:type="dxa"/>
            </w:tcMar>
            <w:vAlign w:val="center"/>
          </w:tcPr>
          <w:p>
            <w:pPr>
              <w:pStyle w:val="TableContents"/>
              <w:bidi w:val="0"/>
              <w:spacing w:before="0" w:after="0"/>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29" w:type="dxa"/>
            <w:tcBorders/>
            <w:shd w:fill="CCEEFF" w:val="clear"/>
            <w:tcMar>
              <w:bottom w:w="0" w:type="dxa"/>
            </w:tcM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r>
      <w:tr>
        <w:trPr/>
        <w:tc>
          <w:tcPr>
            <w:tcW w:w="1316" w:type="dxa"/>
            <w:tcBorders/>
            <w:tcMar>
              <w:bottom w:w="0" w:type="dxa"/>
            </w:tcMar>
            <w:vAlign w:val="center"/>
          </w:tcPr>
          <w:p>
            <w:pPr>
              <w:pStyle w:val="TableContents"/>
              <w:bidi w:val="0"/>
              <w:spacing w:before="0" w:after="0"/>
              <w:jc w:val="left"/>
              <w:rPr/>
            </w:pPr>
            <w:r>
              <w:rPr/>
              <w:t>101.SCH</w:t>
            </w:r>
          </w:p>
        </w:tc>
        <w:tc>
          <w:tcPr>
            <w:tcW w:w="60" w:type="dxa"/>
            <w:tcBorders/>
            <w:tcMar>
              <w:bottom w:w="0" w:type="dxa"/>
            </w:tcMar>
            <w:vAlign w:val="center"/>
          </w:tcPr>
          <w:p>
            <w:pPr>
              <w:pStyle w:val="TableContents"/>
              <w:bidi w:val="0"/>
              <w:spacing w:before="0" w:after="283"/>
              <w:jc w:val="left"/>
              <w:rPr/>
            </w:pPr>
            <w:r>
              <w:rPr/>
              <w:t> </w:t>
            </w:r>
          </w:p>
        </w:tc>
        <w:tc>
          <w:tcPr>
            <w:tcW w:w="8829" w:type="dxa"/>
            <w:tcBorders/>
            <w:tcMar>
              <w:bottom w:w="0" w:type="dxa"/>
            </w:tcMar>
            <w:vAlign w:val="center"/>
          </w:tcPr>
          <w:p>
            <w:pPr>
              <w:pStyle w:val="TableContents"/>
              <w:bidi w:val="0"/>
              <w:spacing w:before="0" w:after="0"/>
              <w:jc w:val="left"/>
              <w:rPr/>
            </w:pPr>
            <w:r>
              <w:rPr/>
              <w:t>Inline XBRL Taxonomy Extension Schema Document</w:t>
            </w:r>
          </w:p>
        </w:tc>
      </w:tr>
      <w:tr>
        <w:trPr/>
        <w:tc>
          <w:tcPr>
            <w:tcW w:w="1316" w:type="dxa"/>
            <w:tcBorders/>
            <w:shd w:fill="CCEEFF" w:val="clear"/>
            <w:tcMar>
              <w:bottom w:w="0" w:type="dxa"/>
            </w:tcMar>
            <w:vAlign w:val="center"/>
          </w:tcPr>
          <w:p>
            <w:pPr>
              <w:pStyle w:val="TableContents"/>
              <w:bidi w:val="0"/>
              <w:spacing w:before="0" w:after="0"/>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29" w:type="dxa"/>
            <w:tcBorders/>
            <w:shd w:fill="CCEEFF" w:val="clear"/>
            <w:tcMar>
              <w:bottom w:w="0" w:type="dxa"/>
            </w:tcMar>
            <w:vAlign w:val="center"/>
          </w:tcPr>
          <w:p>
            <w:pPr>
              <w:pStyle w:val="TableContents"/>
              <w:bidi w:val="0"/>
              <w:spacing w:before="0" w:after="0"/>
              <w:jc w:val="left"/>
              <w:rPr/>
            </w:pPr>
            <w:r>
              <w:rPr/>
              <w:t>Inline XBRL Taxonomy Extension Calculation Linkbase Document</w:t>
            </w:r>
          </w:p>
        </w:tc>
      </w:tr>
      <w:tr>
        <w:trPr/>
        <w:tc>
          <w:tcPr>
            <w:tcW w:w="1316" w:type="dxa"/>
            <w:tcBorders/>
            <w:tcMar>
              <w:bottom w:w="0" w:type="dxa"/>
            </w:tcMar>
            <w:vAlign w:val="center"/>
          </w:tcPr>
          <w:p>
            <w:pPr>
              <w:pStyle w:val="TableContents"/>
              <w:bidi w:val="0"/>
              <w:spacing w:before="0" w:after="0"/>
              <w:jc w:val="left"/>
              <w:rPr/>
            </w:pPr>
            <w:r>
              <w:rPr/>
              <w:t>101.DEF</w:t>
            </w:r>
          </w:p>
        </w:tc>
        <w:tc>
          <w:tcPr>
            <w:tcW w:w="60" w:type="dxa"/>
            <w:tcBorders/>
            <w:tcMar>
              <w:bottom w:w="0" w:type="dxa"/>
            </w:tcMar>
            <w:vAlign w:val="center"/>
          </w:tcPr>
          <w:p>
            <w:pPr>
              <w:pStyle w:val="TableContents"/>
              <w:bidi w:val="0"/>
              <w:spacing w:before="0" w:after="283"/>
              <w:jc w:val="left"/>
              <w:rPr/>
            </w:pPr>
            <w:r>
              <w:rPr/>
              <w:t> </w:t>
            </w:r>
          </w:p>
        </w:tc>
        <w:tc>
          <w:tcPr>
            <w:tcW w:w="8829" w:type="dxa"/>
            <w:tcBorders/>
            <w:tcMar>
              <w:bottom w:w="0" w:type="dxa"/>
            </w:tcMar>
            <w:vAlign w:val="center"/>
          </w:tcPr>
          <w:p>
            <w:pPr>
              <w:pStyle w:val="TableContents"/>
              <w:bidi w:val="0"/>
              <w:spacing w:before="0" w:after="0"/>
              <w:jc w:val="left"/>
              <w:rPr/>
            </w:pPr>
            <w:r>
              <w:rPr/>
              <w:t>Inline XBRL Taxonomy Extension Definition Linkbase Document</w:t>
            </w:r>
          </w:p>
        </w:tc>
      </w:tr>
      <w:tr>
        <w:trPr/>
        <w:tc>
          <w:tcPr>
            <w:tcW w:w="1316" w:type="dxa"/>
            <w:tcBorders/>
            <w:shd w:fill="CCEEFF" w:val="clear"/>
            <w:tcMar>
              <w:bottom w:w="0" w:type="dxa"/>
            </w:tcMar>
            <w:vAlign w:val="center"/>
          </w:tcPr>
          <w:p>
            <w:pPr>
              <w:pStyle w:val="TableContents"/>
              <w:bidi w:val="0"/>
              <w:spacing w:before="0" w:after="0"/>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29" w:type="dxa"/>
            <w:tcBorders/>
            <w:shd w:fill="CCEEFF" w:val="clear"/>
            <w:tcMar>
              <w:bottom w:w="0" w:type="dxa"/>
            </w:tcMar>
            <w:vAlign w:val="center"/>
          </w:tcPr>
          <w:p>
            <w:pPr>
              <w:pStyle w:val="TableContents"/>
              <w:bidi w:val="0"/>
              <w:spacing w:before="0" w:after="0"/>
              <w:jc w:val="left"/>
              <w:rPr/>
            </w:pPr>
            <w:r>
              <w:rPr/>
              <w:t>Inline XBRL Taxonomy Extension Label Linkbase Document</w:t>
            </w:r>
          </w:p>
        </w:tc>
      </w:tr>
      <w:tr>
        <w:trPr/>
        <w:tc>
          <w:tcPr>
            <w:tcW w:w="1316" w:type="dxa"/>
            <w:tcBorders/>
            <w:tcMar>
              <w:bottom w:w="0" w:type="dxa"/>
            </w:tcMar>
            <w:vAlign w:val="center"/>
          </w:tcPr>
          <w:p>
            <w:pPr>
              <w:pStyle w:val="TableContents"/>
              <w:bidi w:val="0"/>
              <w:spacing w:before="0" w:after="0"/>
              <w:jc w:val="left"/>
              <w:rPr/>
            </w:pPr>
            <w:r>
              <w:rPr/>
              <w:t>101.PRE</w:t>
            </w:r>
          </w:p>
        </w:tc>
        <w:tc>
          <w:tcPr>
            <w:tcW w:w="60" w:type="dxa"/>
            <w:tcBorders/>
            <w:tcMar>
              <w:bottom w:w="0" w:type="dxa"/>
            </w:tcMar>
            <w:vAlign w:val="center"/>
          </w:tcPr>
          <w:p>
            <w:pPr>
              <w:pStyle w:val="TableContents"/>
              <w:bidi w:val="0"/>
              <w:spacing w:before="0" w:after="283"/>
              <w:jc w:val="left"/>
              <w:rPr/>
            </w:pPr>
            <w:r>
              <w:rPr/>
              <w:t> </w:t>
            </w:r>
          </w:p>
        </w:tc>
        <w:tc>
          <w:tcPr>
            <w:tcW w:w="8829" w:type="dxa"/>
            <w:tcBorders/>
            <w:tcMar>
              <w:bottom w:w="0" w:type="dxa"/>
            </w:tcMar>
            <w:vAlign w:val="center"/>
          </w:tcPr>
          <w:p>
            <w:pPr>
              <w:pStyle w:val="TableContents"/>
              <w:bidi w:val="0"/>
              <w:spacing w:before="0" w:after="0"/>
              <w:jc w:val="left"/>
              <w:rPr/>
            </w:pPr>
            <w:r>
              <w:rPr/>
              <w:t>Inline XBRL Taxonomy Extension Presentation Linkbase Document</w:t>
            </w:r>
          </w:p>
        </w:tc>
      </w:tr>
      <w:tr>
        <w:trPr/>
        <w:tc>
          <w:tcPr>
            <w:tcW w:w="1316" w:type="dxa"/>
            <w:tcBorders/>
            <w:shd w:fill="CCEEFF" w:val="clear"/>
            <w:tcMar>
              <w:bottom w:w="0" w:type="dxa"/>
            </w:tcMar>
            <w:vAlign w:val="center"/>
          </w:tcPr>
          <w:p>
            <w:pPr>
              <w:pStyle w:val="TableContents"/>
              <w:bidi w:val="0"/>
              <w:spacing w:before="0" w:after="0"/>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29" w:type="dxa"/>
            <w:tcBorders/>
            <w:shd w:fill="CCEEFF" w:val="clear"/>
            <w:tcMar>
              <w:bottom w:w="0" w:type="dxa"/>
            </w:tcMar>
            <w:vAlign w:val="center"/>
          </w:tcPr>
          <w:p>
            <w:pPr>
              <w:pStyle w:val="TableContents"/>
              <w:bidi w:val="0"/>
              <w:spacing w:before="0" w:after="0"/>
              <w:jc w:val="left"/>
              <w:rPr/>
            </w:pPr>
            <w:r>
              <w:rPr/>
              <w:t>Cover Page Interactive Data File (formatted as inline XBRL and contained in Exhibit 101)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70C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bookmarkStart w:id="38" w:name="SIGNATURE"/>
      <w:bookmarkEnd w:id="38"/>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905" w:type="dxa"/>
        <w:jc w:val="left"/>
        <w:tblInd w:w="0" w:type="dxa"/>
        <w:tblLayout w:type="fixed"/>
        <w:tblCellMar>
          <w:top w:w="0" w:type="dxa"/>
          <w:left w:w="0" w:type="dxa"/>
          <w:bottom w:w="0" w:type="dxa"/>
          <w:right w:w="0" w:type="dxa"/>
        </w:tblCellMar>
      </w:tblPr>
      <w:tblGrid>
        <w:gridCol w:w="365"/>
        <w:gridCol w:w="5480"/>
        <w:gridCol w:w="60"/>
      </w:tblGrid>
      <w:tr>
        <w:trPr/>
        <w:tc>
          <w:tcPr>
            <w:tcW w:w="5905" w:type="dxa"/>
            <w:gridSpan w:val="3"/>
            <w:tcBorders/>
            <w:vAlign w:val="center"/>
          </w:tcPr>
          <w:p>
            <w:pPr>
              <w:pStyle w:val="TableContents"/>
              <w:bidi w:val="0"/>
              <w:spacing w:before="0" w:after="283"/>
              <w:jc w:val="left"/>
              <w:rPr/>
            </w:pPr>
            <w:r>
              <w:rPr/>
              <w:t>November 6, 2025</w:t>
            </w:r>
          </w:p>
        </w:tc>
      </w:tr>
      <w:tr>
        <w:trPr/>
        <w:tc>
          <w:tcPr>
            <w:tcW w:w="5905" w:type="dxa"/>
            <w:gridSpan w:val="3"/>
            <w:tcBorders/>
            <w:vAlign w:val="center"/>
          </w:tcPr>
          <w:p>
            <w:pPr>
              <w:pStyle w:val="TableContents"/>
              <w:bidi w:val="0"/>
              <w:spacing w:before="0" w:after="283"/>
              <w:jc w:val="left"/>
              <w:rPr/>
            </w:pPr>
            <w:r>
              <w:rPr/>
              <w:t> </w:t>
            </w:r>
          </w:p>
        </w:tc>
      </w:tr>
      <w:tr>
        <w:trPr/>
        <w:tc>
          <w:tcPr>
            <w:tcW w:w="5905" w:type="dxa"/>
            <w:gridSpan w:val="3"/>
            <w:tcBorders/>
            <w:vAlign w:val="center"/>
          </w:tcPr>
          <w:p>
            <w:pPr>
              <w:pStyle w:val="TableContents"/>
              <w:bidi w:val="0"/>
              <w:spacing w:before="0" w:after="0"/>
              <w:jc w:val="left"/>
              <w:rPr>
                <w:b/>
              </w:rPr>
            </w:pPr>
            <w:r>
              <w:rPr>
                <w:b/>
              </w:rPr>
              <w:t>NU SKIN ENTERPRISES, INC.</w:t>
            </w:r>
          </w:p>
        </w:tc>
      </w:tr>
      <w:tr>
        <w:trPr/>
        <w:tc>
          <w:tcPr>
            <w:tcW w:w="365" w:type="dxa"/>
            <w:tcBorders/>
            <w:vAlign w:val="center"/>
          </w:tcPr>
          <w:p>
            <w:pPr>
              <w:pStyle w:val="TableContents"/>
              <w:bidi w:val="0"/>
              <w:spacing w:before="0" w:after="283"/>
              <w:jc w:val="left"/>
              <w:rPr/>
            </w:pPr>
            <w:r>
              <w:rPr/>
              <w:t> </w:t>
            </w:r>
          </w:p>
        </w:tc>
        <w:tc>
          <w:tcPr>
            <w:tcW w:w="5540" w:type="dxa"/>
            <w:gridSpan w:val="2"/>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0"/>
              <w:jc w:val="left"/>
              <w:rPr/>
            </w:pPr>
            <w:r>
              <w:rPr/>
              <w:t>By:</w:t>
            </w:r>
          </w:p>
        </w:tc>
        <w:tc>
          <w:tcPr>
            <w:tcW w:w="548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(Duly Authorized Officer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jc w:val="left"/>
        <w:rPr/>
      </w:pPr>
      <w:r>
        <w:rPr/>
      </w:r>
    </w:p>
    <w:p>
      <w:pPr>
        <w:pStyle w:val="HorizontalLine"/>
        <w:pBdr>
          <w:bottom w:val="single" w:sz="12" w:space="0" w:color="808080"/>
        </w:pBdr>
        <w:bidi w:val="0"/>
        <w:jc w:val="right"/>
        <w:rPr/>
      </w:pPr>
      <w:r>
        <w:rPr/>
      </w:r>
      <w:bookmarkStart w:id="39" w:name="ef20054961_ex31-1.htm"/>
      <w:bookmarkStart w:id="40" w:name="ksef20054961_ex311"/>
      <w:bookmarkStart w:id="41" w:name="ef20054961_ex31-1.htm"/>
      <w:bookmarkStart w:id="42" w:name="ksef20054961_ex311"/>
      <w:bookmarkEnd w:id="41"/>
      <w:bookmarkEnd w:id="4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EXECUTIVE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Ryan S. Napierski, certify that:</w:t>
      </w:r>
    </w:p>
    <w:p>
      <w:pPr>
        <w:pStyle w:val="TextBody"/>
        <w:bidi w:val="0"/>
        <w:spacing w:before="0" w:after="0"/>
        <w:jc w:val="left"/>
        <w:rPr/>
      </w:pPr>
      <w:r>
        <w:rPr/>
      </w:r>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1.</w:t>
            </w:r>
          </w:p>
        </w:tc>
        <w:tc>
          <w:tcPr>
            <w:tcW w:w="764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720" w:type="dxa"/>
        <w:jc w:val="left"/>
        <w:tblInd w:w="0" w:type="dxa"/>
        <w:tblLayout w:type="fixed"/>
        <w:tblCellMar>
          <w:top w:w="0" w:type="dxa"/>
          <w:left w:w="0" w:type="dxa"/>
          <w:bottom w:w="0" w:type="dxa"/>
          <w:right w:w="0" w:type="dxa"/>
        </w:tblCellMar>
      </w:tblPr>
      <w:tblGrid>
        <w:gridCol w:w="2375"/>
        <w:gridCol w:w="2285"/>
        <w:gridCol w:w="60"/>
      </w:tblGrid>
      <w:tr>
        <w:trPr/>
        <w:tc>
          <w:tcPr>
            <w:tcW w:w="2375" w:type="dxa"/>
            <w:tcBorders/>
            <w:vAlign w:val="center"/>
          </w:tcPr>
          <w:p>
            <w:pPr>
              <w:pStyle w:val="TableContents"/>
              <w:bidi w:val="0"/>
              <w:spacing w:before="0" w:after="0"/>
              <w:jc w:val="left"/>
              <w:rPr/>
            </w:pPr>
            <w:r>
              <w:rPr/>
              <w:t>Date: November 6, 2025</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Ryan S. Napierski</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3" w:name="ef20054961_ex31-2.htm"/>
      <w:bookmarkStart w:id="44" w:name="ksef20054961_ex312"/>
      <w:bookmarkStart w:id="45" w:name="ef20054961_ex31-2.htm"/>
      <w:bookmarkStart w:id="46" w:name="ksef20054961_ex312"/>
      <w:bookmarkEnd w:id="45"/>
      <w:bookmarkEnd w:id="4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FINANCIAL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James D. Thomas, certify that:</w:t>
      </w:r>
    </w:p>
    <w:p>
      <w:pPr>
        <w:pStyle w:val="TextBody"/>
        <w:bidi w:val="0"/>
        <w:spacing w:before="0" w:after="0"/>
        <w:jc w:val="left"/>
        <w:rPr/>
      </w:pPr>
      <w:r>
        <w:rPr/>
      </w:r>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1.</w:t>
            </w:r>
          </w:p>
        </w:tc>
        <w:tc>
          <w:tcPr>
            <w:tcW w:w="764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675" w:type="dxa"/>
        <w:jc w:val="left"/>
        <w:tblInd w:w="0" w:type="dxa"/>
        <w:tblLayout w:type="fixed"/>
        <w:tblCellMar>
          <w:top w:w="0" w:type="dxa"/>
          <w:left w:w="0" w:type="dxa"/>
          <w:bottom w:w="0" w:type="dxa"/>
          <w:right w:w="0" w:type="dxa"/>
        </w:tblCellMar>
      </w:tblPr>
      <w:tblGrid>
        <w:gridCol w:w="2390"/>
        <w:gridCol w:w="2210"/>
        <w:gridCol w:w="75"/>
      </w:tblGrid>
      <w:tr>
        <w:trPr/>
        <w:tc>
          <w:tcPr>
            <w:tcW w:w="2390" w:type="dxa"/>
            <w:tcBorders/>
            <w:vAlign w:val="center"/>
          </w:tcPr>
          <w:p>
            <w:pPr>
              <w:pStyle w:val="TableContents"/>
              <w:bidi w:val="0"/>
              <w:spacing w:before="0" w:after="0"/>
              <w:jc w:val="left"/>
              <w:rPr/>
            </w:pPr>
            <w:r>
              <w:rPr/>
              <w:t>Date: November 6, 2025</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7" w:name="ef20054961_ex32-1.htm"/>
      <w:bookmarkStart w:id="48" w:name="ksef20054961_ex321"/>
      <w:bookmarkStart w:id="49" w:name="ef20054961_ex32-1.htm"/>
      <w:bookmarkStart w:id="50" w:name="ksef20054961_ex321"/>
      <w:bookmarkEnd w:id="49"/>
      <w:bookmarkEnd w:id="5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EXECUTIVE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September 30, 2025 (the “Report”), I, Ryan S. Napierski, Chief Executive Officer of the Company, certify, pursuant to 18 U.S.C. §1350, as adopted pursuant to Section 906 of the Sarbanes-Oxley Act of 2002, that to the best of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750" w:type="dxa"/>
        <w:jc w:val="left"/>
        <w:tblInd w:w="0" w:type="dxa"/>
        <w:tblLayout w:type="fixed"/>
        <w:tblCellMar>
          <w:top w:w="0" w:type="dxa"/>
          <w:left w:w="0" w:type="dxa"/>
          <w:bottom w:w="0" w:type="dxa"/>
          <w:right w:w="0" w:type="dxa"/>
        </w:tblCellMar>
      </w:tblPr>
      <w:tblGrid>
        <w:gridCol w:w="2390"/>
        <w:gridCol w:w="2285"/>
        <w:gridCol w:w="75"/>
      </w:tblGrid>
      <w:tr>
        <w:trPr/>
        <w:tc>
          <w:tcPr>
            <w:tcW w:w="2390" w:type="dxa"/>
            <w:tcBorders/>
            <w:vAlign w:val="center"/>
          </w:tcPr>
          <w:p>
            <w:pPr>
              <w:pStyle w:val="TableContents"/>
              <w:bidi w:val="0"/>
              <w:spacing w:before="0" w:after="0"/>
              <w:jc w:val="left"/>
              <w:rPr/>
            </w:pPr>
            <w:r>
              <w:rPr/>
              <w:t>Date: November 6, 2025</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Ryan S. Napierski</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1" w:name="ef20054961_ex32-2.htm"/>
      <w:bookmarkStart w:id="52" w:name="ksef20054961_ex322"/>
      <w:bookmarkStart w:id="53" w:name="ef20054961_ex32-2.htm"/>
      <w:bookmarkStart w:id="54" w:name="ksef20054961_ex322"/>
      <w:bookmarkEnd w:id="53"/>
      <w:bookmarkEnd w:id="5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FINANCIAL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September 30, 2025 (the “Report”), I, James D. Thomas, Chief Financial Officer of the Company, certify, pursuant to 18 U.S.C. § 1350, as adopted pursuant to Section 906 of the Sarbanes-Oxley Act of 2002, that to the best of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675" w:type="dxa"/>
        <w:jc w:val="left"/>
        <w:tblInd w:w="0" w:type="dxa"/>
        <w:tblLayout w:type="fixed"/>
        <w:tblCellMar>
          <w:top w:w="0" w:type="dxa"/>
          <w:left w:w="0" w:type="dxa"/>
          <w:bottom w:w="0" w:type="dxa"/>
          <w:right w:w="0" w:type="dxa"/>
        </w:tblCellMar>
      </w:tblPr>
      <w:tblGrid>
        <w:gridCol w:w="2390"/>
        <w:gridCol w:w="2210"/>
        <w:gridCol w:w="75"/>
      </w:tblGrid>
      <w:tr>
        <w:trPr/>
        <w:tc>
          <w:tcPr>
            <w:tcW w:w="2390" w:type="dxa"/>
            <w:tcBorders/>
            <w:vAlign w:val="center"/>
          </w:tcPr>
          <w:p>
            <w:pPr>
              <w:pStyle w:val="TableContents"/>
              <w:bidi w:val="0"/>
              <w:spacing w:before="0" w:after="0"/>
              <w:jc w:val="left"/>
              <w:rPr/>
            </w:pPr>
            <w:r>
              <w:rPr/>
              <w:t>Date: November 6, 2025</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19676</Words>
  <Characters>107106</Characters>
  <CharactersWithSpaces>128582</CharactersWithSpaces>
  <Paragraphs>8228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