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ind w:left="660" w:right="2220" w:hanging="652"/>
        <w:spacing w:after="0" w:line="386"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4"/>
          <w:szCs w:val="24"/>
          <w:color w:val="auto"/>
        </w:rPr>
      </w:pPr>
    </w:p>
    <w:p>
      <w:pPr>
        <w:ind w:left="660" w:right="1900" w:hanging="652"/>
        <w:spacing w:after="0" w:line="500"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 to ________</w:t>
      </w:r>
    </w:p>
    <w:p>
      <w:pPr>
        <w:spacing w:after="0" w:line="1"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001-12421</w:t>
      </w:r>
    </w:p>
    <w:p>
      <w:pPr>
        <w:spacing w:after="0" w:line="192"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35560</wp:posOffset>
            </wp:positionV>
            <wp:extent cx="49974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60"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400" w:type="dxa"/>
            <w:vAlign w:val="bottom"/>
            <w:gridSpan w:val="2"/>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87-0565309</w:t>
            </w:r>
          </w:p>
        </w:tc>
      </w:tr>
      <w:tr>
        <w:trPr>
          <w:trHeight w:val="234"/>
        </w:trPr>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580" w:type="dxa"/>
            <w:vAlign w:val="bottom"/>
          </w:tcPr>
          <w:p>
            <w:pPr>
              <w:spacing w:after="0"/>
              <w:rPr>
                <w:sz w:val="20"/>
                <w:szCs w:val="20"/>
                <w:color w:val="auto"/>
              </w:rPr>
            </w:pPr>
          </w:p>
        </w:tc>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75 West Center Street</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Provo, Utah 84601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5715</wp:posOffset>
            </wp:positionV>
            <wp:extent cx="3437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37255" cy="17145"/>
                    </a:xfrm>
                    <a:prstGeom prst="rect">
                      <a:avLst/>
                    </a:prstGeom>
                    <a:noFill/>
                  </pic:spPr>
                </pic:pic>
              </a:graphicData>
            </a:graphic>
          </wp:anchor>
        </w:drawing>
      </w:r>
    </w:p>
    <w:p>
      <w:pPr>
        <w:ind w:left="35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 (801) 345-1000</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39"/>
        </w:trPr>
        <w:tc>
          <w:tcPr>
            <w:tcW w:w="478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6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NUS</w:t>
            </w:r>
          </w:p>
        </w:tc>
        <w:tc>
          <w:tcPr>
            <w:tcW w:w="160" w:type="dxa"/>
            <w:vAlign w:val="bottom"/>
          </w:tcPr>
          <w:p>
            <w:pPr>
              <w:spacing w:after="0"/>
              <w:rPr>
                <w:sz w:val="20"/>
                <w:szCs w:val="20"/>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pacing w:after="0" w:line="157" w:lineRule="exact"/>
        <w:rPr>
          <w:sz w:val="24"/>
          <w:szCs w:val="24"/>
          <w:color w:val="auto"/>
        </w:rPr>
      </w:pPr>
    </w:p>
    <w:p>
      <w:pPr>
        <w:ind w:right="1500"/>
        <w:spacing w:after="0" w:line="368"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70" w:right="339" w:bottom="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3">
            <w:col w:w="5280" w:space="720"/>
            <w:col w:w="1980" w:space="80"/>
            <w:col w:w="3180"/>
          </w:cols>
          <w:pgMar w:left="320" w:top="570" w:right="339" w:bottom="0" w:gutter="0" w:footer="0" w:header="0"/>
          <w:type w:val="continuous"/>
        </w:sectPr>
      </w:pPr>
    </w:p>
    <w:p>
      <w:pPr>
        <w:spacing w:after="0" w:line="2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570" w:right="339" w:bottom="0" w:gutter="0" w:footer="0" w:header="0"/>
          <w:type w:val="continuous"/>
        </w:sectPr>
      </w:pPr>
    </w:p>
    <w:bookmarkStart w:id="1" w:name="page2"/>
    <w:bookmarkEnd w:id="1"/>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closing sales price of the Class A common stock on the New York Stock Exchange on June 30, 2023, the last business day of the Registrant’s second fiscal quarter, the aggregate market value of the voting stock held by non-affiliates of the Registrant was approximately $1.64 billion. All executive officers and directors of the Registrant, and all stockholders holding more than 10% of the Registrant’s outstanding voting stock (other than institutional investors, such as registered investment companies, eligible to file beneficial ownership reports on Schedule 13G), have been deemed, solely for the purpose of the foregoing calculation, to be “affiliates” of the Registrant.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2024, 49,420,882 shares of the Registrant’s Class A common stock, $.001 par value per share, and no shares of the Registrant’s Class B common stock, $.001 par value per share, were outstanding.</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Documents incorporated by reference</w:t>
      </w:r>
      <w:r>
        <w:rPr>
          <w:rFonts w:ascii="Times New Roman" w:cs="Times New Roman" w:eastAsia="Times New Roman" w:hAnsi="Times New Roman"/>
          <w:sz w:val="18"/>
          <w:szCs w:val="18"/>
          <w:color w:val="auto"/>
        </w:rPr>
        <w:t>. Portions of the Registrant’s Definitive Proxy Statement for the Registrant’s 2024 Annual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incorporated by reference in Part III of this report. The Definitive Proxy Statement or an amendment to this Form 10-K will be filed with the Securities and Exchange Commission within 120 days after the Registrant’s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25"/>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Page</w:t>
            </w:r>
          </w:p>
        </w:tc>
      </w:tr>
      <w:tr>
        <w:trPr>
          <w:trHeight w:val="196"/>
        </w:trPr>
        <w:tc>
          <w:tcPr>
            <w:tcW w:w="600" w:type="dxa"/>
            <w:vAlign w:val="bottom"/>
            <w:tcBorders>
              <w:bottom w:val="single" w:sz="8" w:color="0000EE"/>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EE"/>
              </w:rPr>
              <w:t>PART I</w:t>
            </w:r>
          </w:p>
        </w:tc>
        <w:tc>
          <w:tcPr>
            <w:tcW w:w="1100" w:type="dxa"/>
            <w:vAlign w:val="bottom"/>
            <w:tcBorders>
              <w:bottom w:val="single" w:sz="8" w:color="CCEEFF"/>
            </w:tcBorders>
            <w:gridSpan w:val="5"/>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6"/>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PRODUCTS</w:t>
            </w:r>
          </w:p>
        </w:tc>
        <w:tc>
          <w:tcPr>
            <w:tcW w:w="7480" w:type="dxa"/>
            <w:vAlign w:val="bottom"/>
            <w:tcBorders>
              <w:bottom w:val="single" w:sz="8" w:color="CCEEFF"/>
            </w:tcBorders>
            <w:gridSpan w:val="2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DISTRIBUTION CHANNEL</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GEOGRAPHIC REGIONS</w:t>
            </w:r>
          </w:p>
        </w:tc>
        <w:tc>
          <w:tcPr>
            <w:tcW w:w="6440" w:type="dxa"/>
            <w:vAlign w:val="bottom"/>
            <w:tcBorders>
              <w:bottom w:val="single" w:sz="8" w:color="CCEEFF"/>
            </w:tcBorders>
            <w:gridSpan w:val="1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REGULATION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COMPETITION</w:t>
            </w:r>
          </w:p>
        </w:tc>
        <w:tc>
          <w:tcPr>
            <w:tcW w:w="7200" w:type="dxa"/>
            <w:vAlign w:val="bottom"/>
            <w:tcBorders>
              <w:bottom w:val="single" w:sz="8" w:color="CCEEFF"/>
            </w:tcBorders>
            <w:gridSpan w:val="2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6"/>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HUMAN CAPITAL RESOURCES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OUR EXECUTIVE OFFICERS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700" w:type="dxa"/>
            <w:vAlign w:val="bottom"/>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4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14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CYBERSECURITY</w:t>
            </w:r>
          </w:p>
        </w:tc>
        <w:tc>
          <w:tcPr>
            <w:tcW w:w="694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6"/>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700" w:type="dxa"/>
            <w:vAlign w:val="bottom"/>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4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7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260" w:type="dxa"/>
            <w:vAlign w:val="bottom"/>
            <w:tcBorders>
              <w:bottom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w w:val="98"/>
              </w:rPr>
              <w:t>MARKET FOR REGISTRANT’S COMMON EQUITY, RELATED STOCKHOLDER MATTERS AND ISSUER</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RESERVED</w:t>
            </w:r>
          </w:p>
        </w:tc>
        <w:tc>
          <w:tcPr>
            <w:tcW w:w="7500" w:type="dxa"/>
            <w:vAlign w:val="bottom"/>
            <w:tcBorders>
              <w:bottom w:val="single" w:sz="8" w:color="CCEEFF"/>
            </w:tcBorders>
            <w:gridSpan w:val="2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5"/>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w:t>
            </w:r>
          </w:p>
        </w:tc>
        <w:tc>
          <w:tcPr>
            <w:tcW w:w="1120" w:type="dxa"/>
            <w:vAlign w:val="bottom"/>
          </w:tcPr>
          <w:p>
            <w:pPr>
              <w:spacing w:after="0"/>
              <w:rPr>
                <w:sz w:val="15"/>
                <w:szCs w:val="15"/>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7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660" w:type="dxa"/>
            <w:vAlign w:val="bottom"/>
            <w:gridSpan w:val="3"/>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614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28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6"/>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700" w:type="dxa"/>
            <w:vAlign w:val="bottom"/>
            <w:tcBorders>
              <w:bottom w:val="single" w:sz="8" w:color="CCEEFF"/>
            </w:tcBorders>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794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w:t>
            </w:r>
          </w:p>
        </w:tc>
        <w:tc>
          <w:tcPr>
            <w:tcW w:w="48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2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DISCLOSURE</w:t>
            </w:r>
          </w:p>
        </w:tc>
        <w:tc>
          <w:tcPr>
            <w:tcW w:w="11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8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6540" w:type="dxa"/>
            <w:vAlign w:val="bottom"/>
            <w:tcBorders>
              <w:bottom w:val="single" w:sz="8" w:color="CCEEFF"/>
            </w:tcBorders>
            <w:gridSpan w:val="1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176"/>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96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99</w:t>
            </w:r>
          </w:p>
        </w:tc>
      </w:tr>
      <w:tr>
        <w:trPr>
          <w:trHeight w:val="216"/>
        </w:trPr>
        <w:tc>
          <w:tcPr>
            <w:tcW w:w="170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ITEM 10.</w:t>
            </w:r>
          </w:p>
        </w:tc>
        <w:tc>
          <w:tcPr>
            <w:tcW w:w="84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r>
        <w:trPr>
          <w:trHeight w:val="216"/>
        </w:trPr>
        <w:tc>
          <w:tcPr>
            <w:tcW w:w="1700" w:type="dxa"/>
            <w:vAlign w:val="bottom"/>
            <w:gridSpan w:val="6"/>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ITEM 11.</w:t>
            </w:r>
          </w:p>
        </w:tc>
        <w:tc>
          <w:tcPr>
            <w:tcW w:w="8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r>
        <w:trPr>
          <w:trHeight w:val="198"/>
        </w:trPr>
        <w:tc>
          <w:tcPr>
            <w:tcW w:w="1700" w:type="dxa"/>
            <w:vAlign w:val="bottom"/>
            <w:gridSpan w:val="6"/>
          </w:tcPr>
          <w:p>
            <w:pPr>
              <w:ind w:left="580"/>
              <w:spacing w:after="0" w:line="198" w:lineRule="exact"/>
              <w:rPr>
                <w:sz w:val="20"/>
                <w:szCs w:val="20"/>
                <w:color w:val="auto"/>
              </w:rPr>
            </w:pPr>
            <w:r>
              <w:rPr>
                <w:rFonts w:ascii="Times New Roman" w:cs="Times New Roman" w:eastAsia="Times New Roman" w:hAnsi="Times New Roman"/>
                <w:sz w:val="18"/>
                <w:szCs w:val="18"/>
                <w:color w:val="auto"/>
              </w:rPr>
              <w:t>ITEM 12.</w:t>
            </w:r>
          </w:p>
        </w:tc>
        <w:tc>
          <w:tcPr>
            <w:tcW w:w="8420" w:type="dxa"/>
            <w:vAlign w:val="bottom"/>
            <w:gridSpan w:val="28"/>
          </w:tcPr>
          <w:p>
            <w:pPr>
              <w:spacing w:after="0" w:line="198"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w:t>
            </w:r>
          </w:p>
        </w:tc>
        <w:tc>
          <w:tcPr>
            <w:tcW w:w="11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STOCKHOLDER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r>
        <w:trPr>
          <w:trHeight w:val="216"/>
        </w:trPr>
        <w:tc>
          <w:tcPr>
            <w:tcW w:w="1700" w:type="dxa"/>
            <w:vAlign w:val="bottom"/>
            <w:gridSpan w:val="6"/>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ITEM 13.</w:t>
            </w:r>
          </w:p>
        </w:tc>
        <w:tc>
          <w:tcPr>
            <w:tcW w:w="8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r>
        <w:trPr>
          <w:trHeight w:val="216"/>
        </w:trPr>
        <w:tc>
          <w:tcPr>
            <w:tcW w:w="170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ITEM 14.</w:t>
            </w:r>
          </w:p>
        </w:tc>
        <w:tc>
          <w:tcPr>
            <w:tcW w:w="84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r>
        <w:trPr>
          <w:trHeight w:val="175"/>
        </w:trPr>
        <w:tc>
          <w:tcPr>
            <w:tcW w:w="17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99</w:t>
            </w:r>
          </w:p>
        </w:tc>
      </w:tr>
      <w:tr>
        <w:trPr>
          <w:trHeight w:val="21"/>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4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99</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700" w:type="dxa"/>
            <w:vAlign w:val="bottom"/>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84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175"/>
        </w:trPr>
        <w:tc>
          <w:tcPr>
            <w:tcW w:w="170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8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419"/>
        </w:trPr>
        <w:tc>
          <w:tcPr>
            <w:tcW w:w="6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THIS ANNUAL REPORT ON FORM 10-K, IN PARTICULAR “ITEM 1. BUSINESS” AND “ITEM 7. MANAGEMENT’S DISCUSSION AND ANALYSIS OF FINANCIAL CONDITION AND RESULTS OF OPERATIONS,”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PRODUCTS, INGREDIENTS, PRODUCT INTRODUCTIONS AND OFFERINGS, PRODUCT SOURCING, GROWTH, ACQUISITIONS AND ACQUIRED COMPANIES’ PERFORMANCE, GROWTH OF OUR RHYZ BUSINESSES, GLOBAL ECONOMIC CONDITIONS,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PLANS AND BELIEFS REGARDING OUR MARKETS, SALES FORCE, SALES COMPENSATION PLAN AND CUSTOMER BASE; STATEMENTS REGARDING THE PAYMENT OF FUTURE DIVIDENDS AND STOCK REPURCHASES; STATEMENTS REGARDING THE OUTCOME OF LITIGATION, AUDITS, INVESTIGATIONS AND OTHER LEGAL MATTERS, INCLUDING GOVERNMENT POLICIES AND REGULATIONS IN MAINLAND CHINA; ACCOUNTING ESTIMATES AND ASSUMPTIONS; STATEMENTS OF BELIEF; AND STATEMENTS OF ASSUMPTIONS UNDERLYING ANY OF THE FOREGOING. IN SOME CASES, YOU CAN IDENTIFY THESE STATEMENTS BY FORWARD-LOOKING WORDS SUCH AS “BELIEVE,” “EXPECT,” “PROJECT,” “ANTICIPATE,” “ESTIMATE,” “COMMIT,” “INTEND,” “PLAN,” “TARGETS,” “LIKELY,” “WILL,” “WOULD,” “COULD,” “MAY,” “MIGHT,”</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ITEM 1A. 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this Annual Report on Form 10-K, references to “dollars” and “$” are to U.S. dollars.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Nu Skin, Pharmanex and ageLOC are our trademarks. The italicized product names used in this Annual Report on Form 10-K are product names and also, in certain cases,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 Skin Enterprises, Inc. develops and distributes a comprehensive line of premium-quality beauty and wellness solutions in nearly 50 markets worldwide. In 2023, our revenue of $2.0 billion was primarily generated by our three primary brands: our beauty brand, Nu Skin; our wellness brand, Pharmanex; and our anti-aging brand, ageLOC. We operate in the direct selling channel, primarily utilizing person-to-person marketing to promote and sell our products, including through the use of social and digital platforms.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core Nu Skin business, we also explore new areas of synergistic and adjacent growth through our business arm known as Rhyz Inc. Our Rhyz businesses primarily consist of consumer, technology and manufacturing companies. In 2023, the Rhyz companies generated $216.6 million, or 11%, of our 2023 reported revenue (excluding sales to our core Nu Skin business). Rhyz is a key component of our business, and we anticipate its continued growth in the coming years both on an absolute basis and as a percentage of our consolidated revenue. These companies enable us to diversify our revenue mix, serve more customers where they shop, and create synergies for our owned and partner brands.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we generated approximately 26% of our revenue from the United States (consisting of our Nu Skin United States and Rhyz businesses) and the remainder from our international markets. Given the size of our international operations, our results, as reported in U.S. dollars, are often impacted by foreign-currency fluctuations; in 2023, our revenue was negatively impacted 3% from foreign-currency fluctuations compared to 2022. Our results also can be impacted by global economic, political, demographic and business trends and conditions.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subject to various laws and regulations globally, particularly with respect to our product categories and our distribution channel. See Item 1A. Risk Factors for a more detailed description of the risks associated with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offer a branded, differentiated product portfolio. We believe our innovative approach to product development and distribution provides us with a competitive advantage in beauty and wellness products and direct selling. We believe that our acquired and licensed technologies, manufacturing and innovation facilities, research collaborations and in-house research expertise enable us to introduce innovative, proprietary products. We seek to offer products that are demonstrable and well suited for social sharing. Sustainability is also an important part of our product strategy; we take sustainability into account as we formulate our products, and we have an ongoing initiative to transition to packaging that is recycled, recyclable, reusable, reduced or renewable.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During the past several years, we have generated success in our business with innovative beauty devices. Devices are an important part of our strategy. In the second half of 2022, we began launching our first connected beauty device, </w:t>
      </w:r>
      <w:r>
        <w:rPr>
          <w:rFonts w:ascii="Times New Roman" w:cs="Times New Roman" w:eastAsia="Times New Roman" w:hAnsi="Times New Roman"/>
          <w:sz w:val="18"/>
          <w:szCs w:val="18"/>
          <w:i w:val="1"/>
          <w:iCs w:val="1"/>
          <w:color w:val="auto"/>
        </w:rPr>
        <w:t>ageLOC LumiSpa iO</w:t>
      </w:r>
      <w:r>
        <w:rPr>
          <w:rFonts w:ascii="Times New Roman" w:cs="Times New Roman" w:eastAsia="Times New Roman" w:hAnsi="Times New Roman"/>
          <w:sz w:val="18"/>
          <w:szCs w:val="18"/>
          <w:color w:val="auto"/>
        </w:rPr>
        <w:t xml:space="preserve">; market launches continued into 2023. In the second half of 2023, we began launching </w:t>
      </w:r>
      <w:r>
        <w:rPr>
          <w:rFonts w:ascii="Times New Roman" w:cs="Times New Roman" w:eastAsia="Times New Roman" w:hAnsi="Times New Roman"/>
          <w:sz w:val="18"/>
          <w:szCs w:val="18"/>
          <w:i w:val="1"/>
          <w:iCs w:val="1"/>
          <w:color w:val="auto"/>
        </w:rPr>
        <w:t>ageLOC WellSpa iO</w:t>
      </w:r>
      <w:r>
        <w:rPr>
          <w:rFonts w:ascii="Times New Roman" w:cs="Times New Roman" w:eastAsia="Times New Roman" w:hAnsi="Times New Roman"/>
          <w:sz w:val="18"/>
          <w:szCs w:val="18"/>
          <w:color w:val="auto"/>
        </w:rPr>
        <w:t xml:space="preserve"> (not sold in the United States), a connected device focused on holistic wellness and beauty, in most of our markets. We also began launching a similar, FDA-cleared device, </w:t>
      </w:r>
      <w:r>
        <w:rPr>
          <w:rFonts w:ascii="Times New Roman" w:cs="Times New Roman" w:eastAsia="Times New Roman" w:hAnsi="Times New Roman"/>
          <w:sz w:val="18"/>
          <w:szCs w:val="18"/>
          <w:i w:val="1"/>
          <w:iCs w:val="1"/>
          <w:color w:val="auto"/>
        </w:rPr>
        <w:t>Nu Skin RenuSpa iO</w:t>
      </w:r>
      <w:r>
        <w:rPr>
          <w:rFonts w:ascii="Times New Roman" w:cs="Times New Roman" w:eastAsia="Times New Roman" w:hAnsi="Times New Roman"/>
          <w:sz w:val="18"/>
          <w:szCs w:val="18"/>
          <w:color w:val="auto"/>
        </w:rPr>
        <w:t>, in the United States. When connected to our mobile application, these connected devices gather data to provide insights into consumer behavior, with the goal of enabling us to provide more personalized experiences for our consumers. Please refer to “Distribution Channel” below for additional information about our connected devices and our business strategy that they fit into.</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Also during 2023, we launched our </w:t>
      </w:r>
      <w:r>
        <w:rPr>
          <w:rFonts w:ascii="Times New Roman" w:cs="Times New Roman" w:eastAsia="Times New Roman" w:hAnsi="Times New Roman"/>
          <w:sz w:val="18"/>
          <w:szCs w:val="18"/>
          <w:i w:val="1"/>
          <w:iCs w:val="1"/>
          <w:color w:val="auto"/>
        </w:rPr>
        <w:t>ageLOC TRMe</w:t>
      </w:r>
      <w:r>
        <w:rPr>
          <w:rFonts w:ascii="Times New Roman" w:cs="Times New Roman" w:eastAsia="Times New Roman" w:hAnsi="Times New Roman"/>
          <w:sz w:val="18"/>
          <w:szCs w:val="18"/>
          <w:color w:val="auto"/>
        </w:rPr>
        <w:t xml:space="preserve"> personalized weight wellness line of products in several markets. We plan to preview and/or launch </w:t>
      </w:r>
      <w:r>
        <w:rPr>
          <w:rFonts w:ascii="Times New Roman" w:cs="Times New Roman" w:eastAsia="Times New Roman" w:hAnsi="Times New Roman"/>
          <w:sz w:val="18"/>
          <w:szCs w:val="18"/>
          <w:i w:val="1"/>
          <w:iCs w:val="1"/>
          <w:color w:val="auto"/>
        </w:rPr>
        <w:t xml:space="preserve">ageLOC TRMe </w:t>
      </w:r>
      <w:r>
        <w:rPr>
          <w:rFonts w:ascii="Times New Roman" w:cs="Times New Roman" w:eastAsia="Times New Roman" w:hAnsi="Times New Roman"/>
          <w:sz w:val="18"/>
          <w:szCs w:val="18"/>
          <w:color w:val="auto"/>
        </w:rPr>
        <w:t>in additional markets in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Categories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two primary product categories: beauty products and wellness products. We develop and distribute innovative, premium-quality products in these two categories under our Nu Skin and Pharmanex brands, respectively. We also develop and distribute products under our ageLOC brand, which features innovative, premium-quality anti-aging products in both the beauty and wellness categories and in many cases is co-branded with our Nu Skin and Pharmanex products. Most of our innovative devices are ageLOC beauty products; however, </w:t>
      </w:r>
      <w:r>
        <w:rPr>
          <w:rFonts w:ascii="Times New Roman" w:cs="Times New Roman" w:eastAsia="Times New Roman" w:hAnsi="Times New Roman"/>
          <w:sz w:val="18"/>
          <w:szCs w:val="18"/>
          <w:i w:val="1"/>
          <w:iCs w:val="1"/>
          <w:color w:val="auto"/>
        </w:rPr>
        <w:t>ageLOC WellSpa iO</w:t>
      </w:r>
      <w:r>
        <w:rPr>
          <w:rFonts w:ascii="Times New Roman" w:cs="Times New Roman" w:eastAsia="Times New Roman" w:hAnsi="Times New Roman"/>
          <w:sz w:val="18"/>
          <w:szCs w:val="18"/>
          <w:color w:val="auto"/>
        </w:rPr>
        <w:t xml:space="preserve"> spans both the beauty and wellness categories.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Presented below are the U.S. dollar amounts and associated revenue percentages from the sale of beauty and wellness products, as well as our Rhyz companies, for the last three years. This table should be read in conjunction with the information presented in Item 7. Management’s Discussion and Analysis of Financial Condition and Results of Operations, which discusses the factors impacting revenue trends and the costs associated with generating the aggregate revenue presented.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00" w:type="dxa"/>
            <w:vAlign w:val="bottom"/>
            <w:gridSpan w:val="8"/>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Revenue by Product Category</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6"/>
          </w:tcPr>
          <w:p>
            <w:pPr>
              <w:jc w:val="center"/>
              <w:ind w:right="1100"/>
              <w:spacing w:after="0"/>
              <w:rPr>
                <w:sz w:val="20"/>
                <w:szCs w:val="20"/>
                <w:color w:val="auto"/>
              </w:rPr>
            </w:pPr>
            <w:r>
              <w:rPr>
                <w:rFonts w:ascii="Times New Roman" w:cs="Times New Roman" w:eastAsia="Times New Roman" w:hAnsi="Times New Roman"/>
                <w:sz w:val="18"/>
                <w:szCs w:val="18"/>
                <w:color w:val="auto"/>
              </w:rPr>
              <w:t>(U.S. dollars in millions)</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314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Product Category</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Beauty</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1,069.7</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1,442.7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324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Wellness</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992.3</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1,062.5</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32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5"/>
                <w:szCs w:val="25"/>
                <w:color w:val="auto"/>
                <w:vertAlign w:val="superscript"/>
              </w:rPr>
              <w:t>(2)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190.5</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10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2,225.7</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2,695.7</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
        </w:trPr>
        <w:tc>
          <w:tcPr>
            <w:tcW w:w="1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60" w:hanging="492"/>
        <w:spacing w:after="0" w:line="261"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sales of beauty and wellness products in our core Nu Skin business. The beauty category includes $342 million, $440 million and $658 million in sales of devices and related consumables for the years ended December 31, 2023, 2022 and 2021, respectively. For purposes of this table, sales of </w:t>
      </w:r>
      <w:r>
        <w:rPr>
          <w:rFonts w:ascii="Times New Roman" w:cs="Times New Roman" w:eastAsia="Times New Roman" w:hAnsi="Times New Roman"/>
          <w:sz w:val="18"/>
          <w:szCs w:val="18"/>
          <w:i w:val="1"/>
          <w:iCs w:val="1"/>
          <w:color w:val="auto"/>
        </w:rPr>
        <w:t>ageLOC WellSpa iO</w:t>
      </w:r>
      <w:r>
        <w:rPr>
          <w:rFonts w:ascii="Times New Roman" w:cs="Times New Roman" w:eastAsia="Times New Roman" w:hAnsi="Times New Roman"/>
          <w:sz w:val="18"/>
          <w:szCs w:val="18"/>
          <w:color w:val="auto"/>
        </w:rPr>
        <w:t xml:space="preserve"> are included in the beauty category, together with our other devices, though this product spans both the beauty and wellness categories.</w:t>
      </w:r>
    </w:p>
    <w:p>
      <w:pPr>
        <w:spacing w:after="0" w:line="179"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the external revenue from our Rhyz companies along with a limited number of other products and services, including household products and technology services.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Beauty Products. </w:t>
      </w:r>
      <w:r>
        <w:rPr>
          <w:rFonts w:ascii="Times New Roman" w:cs="Times New Roman" w:eastAsia="Times New Roman" w:hAnsi="Times New Roman"/>
          <w:sz w:val="18"/>
          <w:szCs w:val="18"/>
          <w:color w:val="auto"/>
        </w:rPr>
        <w:t>Our strategy for our beauty products category is to leverage our distribution channel to strengthen Nu Skin’s position as an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leader in the masstige and premium beauty markets. Our products in this category include our innovative skin care devices, cosmetics and other personal care products. We are committed to continuously improving and evolving our product formulations to develop and incorporate innovative and proven ingredients. We formulate many of the products in our beauty category with ingredients that are scientifically proven to provide visible results. In 2023, our top-selling product lines by revenue in this category were our </w:t>
      </w:r>
      <w:r>
        <w:rPr>
          <w:rFonts w:ascii="Times New Roman" w:cs="Times New Roman" w:eastAsia="Times New Roman" w:hAnsi="Times New Roman"/>
          <w:sz w:val="18"/>
          <w:szCs w:val="18"/>
          <w:i w:val="1"/>
          <w:iCs w:val="1"/>
          <w:color w:val="auto"/>
        </w:rPr>
        <w:t>ageLOC LumiSpa</w:t>
      </w:r>
      <w:r>
        <w:rPr>
          <w:rFonts w:ascii="Times New Roman" w:cs="Times New Roman" w:eastAsia="Times New Roman" w:hAnsi="Times New Roman"/>
          <w:sz w:val="18"/>
          <w:szCs w:val="18"/>
          <w:color w:val="auto"/>
        </w:rPr>
        <w:t xml:space="preserve"> devices (consisting of both </w:t>
      </w:r>
      <w:r>
        <w:rPr>
          <w:rFonts w:ascii="Times New Roman" w:cs="Times New Roman" w:eastAsia="Times New Roman" w:hAnsi="Times New Roman"/>
          <w:sz w:val="18"/>
          <w:szCs w:val="18"/>
          <w:i w:val="1"/>
          <w:iCs w:val="1"/>
          <w:color w:val="auto"/>
        </w:rPr>
        <w:t>ageLOC LumiSpa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ageLOC LumiSpa iO</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i w:val="1"/>
          <w:iCs w:val="1"/>
          <w:color w:val="auto"/>
        </w:rPr>
        <w:t>Nutricentials</w:t>
      </w:r>
      <w:r>
        <w:rPr>
          <w:rFonts w:ascii="Times New Roman" w:cs="Times New Roman" w:eastAsia="Times New Roman" w:hAnsi="Times New Roman"/>
          <w:sz w:val="18"/>
          <w:szCs w:val="18"/>
          <w:color w:val="auto"/>
        </w:rPr>
        <w:t xml:space="preserve"> skin care products. Our ageLOC beauty products accounted for 46% of our beauty product category revenue and 20% of our total revenue in 2023.</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Wellness Products. </w:t>
      </w:r>
      <w:r>
        <w:rPr>
          <w:rFonts w:ascii="Times New Roman" w:cs="Times New Roman" w:eastAsia="Times New Roman" w:hAnsi="Times New Roman"/>
          <w:sz w:val="18"/>
          <w:szCs w:val="18"/>
          <w:color w:val="auto"/>
        </w:rPr>
        <w:t>Our strategy for our wellness category is to continue to introduce innovative, substantiated nutritional supplements based on research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development and quality manufacturing. Direct selling has proven to be an effective method of marketing our high-quality wellness products because our sales force can personally educate consumers on the quality and benefits of our products, differentiating them from our competitors’ offerings. In 2023, our top-selling product lines by revenue in this category were our </w:t>
      </w:r>
      <w:r>
        <w:rPr>
          <w:rFonts w:ascii="Times New Roman" w:cs="Times New Roman" w:eastAsia="Times New Roman" w:hAnsi="Times New Roman"/>
          <w:sz w:val="18"/>
          <w:szCs w:val="18"/>
          <w:i w:val="1"/>
          <w:iCs w:val="1"/>
          <w:color w:val="auto"/>
        </w:rPr>
        <w:t>ageLOC TR90</w:t>
      </w:r>
      <w:r>
        <w:rPr>
          <w:rFonts w:ascii="Times New Roman" w:cs="Times New Roman" w:eastAsia="Times New Roman" w:hAnsi="Times New Roman"/>
          <w:sz w:val="18"/>
          <w:szCs w:val="18"/>
          <w:color w:val="auto"/>
        </w:rPr>
        <w:t xml:space="preserve"> weight management system, our </w:t>
      </w:r>
      <w:r>
        <w:rPr>
          <w:rFonts w:ascii="Times New Roman" w:cs="Times New Roman" w:eastAsia="Times New Roman" w:hAnsi="Times New Roman"/>
          <w:sz w:val="18"/>
          <w:szCs w:val="18"/>
          <w:i w:val="1"/>
          <w:iCs w:val="1"/>
          <w:color w:val="auto"/>
        </w:rPr>
        <w:t>Beauty Focus</w:t>
      </w:r>
      <w:r>
        <w:rPr>
          <w:rFonts w:ascii="Times New Roman" w:cs="Times New Roman" w:eastAsia="Times New Roman" w:hAnsi="Times New Roman"/>
          <w:sz w:val="18"/>
          <w:szCs w:val="18"/>
          <w:color w:val="auto"/>
        </w:rPr>
        <w:t xml:space="preserve"> products (including </w:t>
      </w:r>
      <w:r>
        <w:rPr>
          <w:rFonts w:ascii="Times New Roman" w:cs="Times New Roman" w:eastAsia="Times New Roman" w:hAnsi="Times New Roman"/>
          <w:sz w:val="18"/>
          <w:szCs w:val="18"/>
          <w:i w:val="1"/>
          <w:iCs w:val="1"/>
          <w:color w:val="auto"/>
        </w:rPr>
        <w:t>Beauty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Focus Collagen+</w:t>
      </w:r>
      <w:r>
        <w:rPr>
          <w:rFonts w:ascii="Times New Roman" w:cs="Times New Roman" w:eastAsia="Times New Roman" w:hAnsi="Times New Roman"/>
          <w:sz w:val="18"/>
          <w:szCs w:val="18"/>
          <w:color w:val="auto"/>
        </w:rPr>
        <w:t>) and our</w:t>
      </w:r>
      <w:r>
        <w:rPr>
          <w:rFonts w:ascii="Times New Roman" w:cs="Times New Roman" w:eastAsia="Times New Roman" w:hAnsi="Times New Roman"/>
          <w:sz w:val="18"/>
          <w:szCs w:val="18"/>
          <w:i w:val="1"/>
          <w:iCs w:val="1"/>
          <w:color w:val="auto"/>
        </w:rPr>
        <w:t xml:space="preserve"> LifePak </w:t>
      </w:r>
      <w:r>
        <w:rPr>
          <w:rFonts w:ascii="Times New Roman" w:cs="Times New Roman" w:eastAsia="Times New Roman" w:hAnsi="Times New Roman"/>
          <w:sz w:val="18"/>
          <w:szCs w:val="18"/>
          <w:color w:val="auto"/>
        </w:rPr>
        <w:t>nutritional supplements. Our ageLOC wellness products accounted for 46% of our wellness product category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21% of our total revenue in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developing and marketing innovative products. We have several products in development, including next-generation skin care products and nutritional supplements. In our research and product development, we leverage the three disciplines of science, technology and sourcing to create innovative products that address consumer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product development activities include:</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consumer research to identify needs and insights and refine product concepts;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research, product development and quality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research projects, collaborations and clinical studies;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assessment of technologies for potential licensing arrangements;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technologies.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research and product development facilities in the United States and Mainland China. We also contract with third parties for clinical studies and collaborate on basic research projects with researchers from universities and other research institutions in the United States and Asia, whose staffs include scientists with basic research expertise in, among others, natural product chemistry, biochemistry, dermatology, nutrition, pharmacology and clinical studies.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work to identify and assess innovative technologies developed by third parties for potential licensing, supply or acquisition arrangements. Because of the nature of our distribution channel, which allows us to provide a high level of product information on a person-to-person basis, we often have third parties who are interested in licensing innovative technologies to us to incorporate into our products and commercialize through our distribution channel. Licensing arrangements allow us to leverage the research activities of third parties that have provided demonstrated technologies, clinical support and/or proprietary innovation, without all of the upfront costs and uncertainty associated with internal development. We have also invested in acquisitions to supplement our research capabilities and to acquire technologies.</w:t>
      </w:r>
    </w:p>
    <w:p>
      <w:pPr>
        <w:sectPr>
          <w:pgSz w:w="11900" w:h="16838" w:orient="portrait"/>
          <w:cols w:equalWidth="0" w:num="1">
            <w:col w:w="11240"/>
          </w:cols>
          <w:pgMar w:left="320" w:top="114" w:right="3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trademarks are registered in the United States and in markets where we operate, and we consider trademark protection to be very important to our business. Our major trademarks include Nu Skin®, our fountain logos, Pharmanex®, ageLOC®, our ageLOC logos, LifePak®, Galvanic Spa®, TR90®, Epoch®, ageLOC Me®, LumiSpa®, Nutricentials®, WellSpa iO (registered outside of the United States) and ageLOC Boost (registered outside of the United States). In addition, a number of our products, including our facial spas, ageLOC WellSpa iO, Nu Skin RenuSpa iO, ageLOC Body Spa, LumiSpa, ageLOC Boost, TR90 and Pharmanex BioPhotonic Scanner, are based on proprietary technologies and designs, some of which utilize patented technologies and/or technologies licensed from third parties. We also rely on patent and trade secret protection to protect our proprietary technology and other proprietary information for some of our ageLOC products and other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and Production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markets other than Mainland China, in 2023, we sourced most of our beauty and wellness products from trusted third-party suppliers and manufacturers, and approximately 23% from our manufacturing subsidiaries. Our manufacturing entities also provide a cost of goods sold benefit and help us to maintain a more consistent supply source. In Mainland China, we operate manufacturing facilities where we produce the majority of our beauty and wellness products sold in Mainland China. We also produce some products at these facilities that are exported to other markets.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2023, two of our manufacturing subsidiaries and one third-party supplier accounted for more than 10% of our product purchases. We procure our </w:t>
      </w:r>
      <w:r>
        <w:rPr>
          <w:rFonts w:ascii="Times New Roman" w:cs="Times New Roman" w:eastAsia="Times New Roman" w:hAnsi="Times New Roman"/>
          <w:sz w:val="18"/>
          <w:szCs w:val="18"/>
          <w:i w:val="1"/>
          <w:iCs w:val="1"/>
          <w:color w:val="auto"/>
        </w:rPr>
        <w:t>ageLOC Galvanic Facial Spa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ageLOC Body Spa</w:t>
      </w:r>
      <w:r>
        <w:rPr>
          <w:rFonts w:ascii="Times New Roman" w:cs="Times New Roman" w:eastAsia="Times New Roman" w:hAnsi="Times New Roman"/>
          <w:sz w:val="18"/>
          <w:szCs w:val="18"/>
          <w:color w:val="auto"/>
        </w:rPr>
        <w:t>, and Nu Skin Facial Spa devices and some other products and ingredients from single vendors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or control the product formulations, ingredients, or other intellectual property rights associated with the products or ingredients. While we generally maintain good relationships with our suppliers, in the event we become unable to source any products or ingredients from our current suppliers, we believe that we would be able to locate alternative vendors, use substitute ingredients, or develop and manufacture alternative products and source them from other suppliers, as applicable. Please refer to Item 1A. Risk Factors for a discussion of risks and uncertainties associated with our supplier relationships and with the sourcing of raw materials and ingredients.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manufacturing subsidiaries are owned by our Rhyz business arm. We plan to continue making strategic acquisitions going forward, as we believe these acquired companies allow us to diversify and vertically integrate our business. We also leverage their expertise to enhance our innovation, sustainability, speed to market and supply chain capabilities. In addition to the products and services provided to our core Nu Skin business, our Rhyz companies continue to operate outside of our core Nu Skin business, generating $216.6 million in revenue from sales to external customers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Nu Skin business operates in the direct selling channel, primarily utilizing person-to-person marketing to promote and sell our products. We believe that direct selling, which has traditionally relied on face-to-face, word-of-mouth marketing, is currently being impacted by the convergence of social commerce, influencer and affiliate marketing, and the growing gig economy. These macroeconomic shifts have also disrupted traditional advertising and retail business practices, as well as e-commerce generally, in favor of socially enabled and direct-to-consumer models. The COVID-19 pandemic further accelerated disruption across many industries by causing migration to remote work, gig engagement and online shopping.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endeavor to transform and adapt our business to these trends by helping our sales force to become more socially enabled and to grow their businesses online. In addition, we are developing more robust approaches to help our salesforce attract and develop affiliate marketers. We are currently working through a significant digital transformation in our business to achieve widespread adoption of social commerce in all of our markets. This transformation involves the development of new and enhanced digital tools for our Sales Leaders and consumers, including new digital apps and an improved website design and functionality. Our products also have served an important role in our social commerce strategy as we have developed products that are shareable and demonstrable on social media platforms. Products continue to play an important role as we transform to a more digital and socially enabled business; in particular, we believe that connected devices will provide data on consumer behaviors and needs that will engender a more personalized experience for our consumers and improved brand loyalty.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digital transformation will require significant expenditures over the next several years. Our digital transformation, affiliate marketing and social sharing also present certain risks and challenges to our business, and some social media platforms impose restrictions or prohibitions on content related to multi-level marketing. For further information, see Item 1A. Risk Factors.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direct selling distribution channel is an effective vehicle to distribute our products because:</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force has rapid reach to potential customers through their social networks and the social networks of those to whom they are connected;</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force can personally educate and share company content with consumers about our products, which we believe is more effective for differentiating our products than using traditional mass-media advertising;</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 channel allows for personalized product demonstrations and trial by potential consumers;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 channel allows our sales force to provide personal testimonials of product efficacy;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compared to other distribution methods, our sales force has the opportunity to provide consumers higher levels of personalized service based on consumers’ needs, including through providing personalized purchasing offers, discounts and regimens;</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compared to other distribution methods, our sales force knows their customers and can foster loyalty through data-driven customer-relationship management and our subscription program;</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prospecting for customers via social networks (both offline and online) allows affiliates and the company to attract a potentially wider audience of customers who would not typically seek out similar products in a standard retail or e-commerce marketplace; and</w:t>
      </w:r>
    </w:p>
    <w:p>
      <w:pPr>
        <w:ind w:left="66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and targeted compensation structures allow affiliates and the company to quickly enhance focus on specific products based on geographic, demographic, and seasonal needs and opportunities, as well as specific segments of customers, affiliate marketers and business builders.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our person-to-person marketing philosophy remains consistent globally, various aspects of our business may differ from market to market, including product mix and pricing, customer type mix, the manner and tools used to engage potential customers, social media and third-party platforms, compensation structure, the manner and tools used to engage potential affiliates (including programs and incentives), access to distribution outlets or product stores, the manner of getting products to consumers, product claims, branding and product formulations. In addition, in Mainland China we have implemented a business model that, unlike the business model we use in our other markets, utilizes retail stores, sales employees, independent direct sellers and independent marketers to market and sell our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that members of our sales force are independent contractors in most markets, we do not control or direct their business decisions or promotional efforts. We do, however, require that our sales force abide by policies and procedures that require them to act in an ethical and consumer-protective manner and in compliance with applicable laws and regulations. As a member of direct selling associations globally, we promote and abide by the industry’s codes of ethics and consumer-protective standards to support and protect those who sell and purchase our products through the direct selling channel.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all of our markets besides Mainland China, we refer to members of our independent sales force as “Brand Affiliates” because their primary role is to promote our brand and sell products through their personal and social networks.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Group and Sales Network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Nu Skin business’s distribution channel is composed of two primary groups: our consumer group—individuals who buy our products primarily for personal or family consumption and share products with friends and family; and our sales network—individuals who personally buy, use and resell products, and who also attract new consumers, and recruit, train and develop new sellers. We strive to develop both our consumer group and our sales network. Our strategy for growing our consumer group is to offer high-quality, personalized, innovative products that provide demonstrable benefits. Our strategy for growing our sales network is to provide a business opportunity for those persons who demonstrate the desire and ability to develop both a consumer group and a team of sellers, including through sales compensation, incentives and recognition.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monitor the growth trends in our consumer group, we track the number of persons who purchased directly from the company during the previous three months (“Customers”). Our Customer numbers include members of our sales force who made such a purchase, including Paid Affiliates and those who qualify as Sales Leaders, but they do not include consumers who purchase directly from members of our sales force. We believe a significant majority of Customers purchase our products primarily for personal or family consumption but are not actively pursuing the opportunity we offer to generate supplemental income by actively and consistently marketing and reselling products.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monitor the growth in our sales network, we track the number of Paid Affiliates and Sales Leaders, which are defined as follows: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Affiliates” are any Brand Affiliates, as well as members of our sales force in Mainland China, who earned sales compensation during the previous three months. As we continue to focus on customer acquisition, our Paid Affiliates, who primarily share products, are a bridge to attracting new customers and nurturing relationships and community. Paid Affiliates power our social commerce model and are an important indicator of consumer purchasing activity in our business.</w:t>
      </w:r>
    </w:p>
    <w:p>
      <w:pPr>
        <w:spacing w:after="0" w:line="2"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Leaders” are the three-month average of our monthly Brand Affiliates, as well as sales employees and independent marketers in Mainland China, who achieved certain qualification requirements as of the end of each month of the quarter.</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chart sets forth information concerning our Customers, Paid Affiliates and Sales Leaders for the last three years. During the first quarter of 2022, in connection with the introduction of the new metric Paid Affiliates, we reviewed how we define Sales Leaders and adjusted this metric’s definition to what we believe provides a better insight into the trends of our business. We have recast the 2021 Sales Leaders to the new definition. The definition of our Customer metric remained unchanged.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638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Total Number of Customers, Paid Affiliates and Sales Leaders by Region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3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900" w:type="dxa"/>
            <w:vAlign w:val="bottom"/>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23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3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5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6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299,287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336,564</w:t>
            </w: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6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207,276</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202,933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315,418</w:t>
            </w: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6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141,183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169,601</w:t>
            </w: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6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103,151</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123,749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146,354</w:t>
            </w: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6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122,813</w:t>
            </w: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6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163,178</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197,917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210,414</w:t>
            </w: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5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66,395</w:t>
            </w:r>
          </w:p>
        </w:tc>
      </w:tr>
      <w:tr>
        <w:trPr>
          <w:trHeight w:val="27"/>
        </w:trPr>
        <w:tc>
          <w:tcPr>
            <w:tcW w:w="232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Customers</w:t>
            </w:r>
          </w:p>
        </w:tc>
        <w:tc>
          <w:tcPr>
            <w:tcW w:w="5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977,039</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1,147,124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1,367,559</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Paid Affiliates</w:t>
            </w:r>
          </w:p>
        </w:tc>
        <w:tc>
          <w:tcPr>
            <w:tcW w:w="50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6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49,328</w:t>
            </w: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6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23,436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30,546</w:t>
            </w: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6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44,050</w:t>
            </w:r>
          </w:p>
        </w:tc>
      </w:tr>
      <w:tr>
        <w:trPr>
          <w:trHeight w:val="216"/>
        </w:trPr>
        <w:tc>
          <w:tcPr>
            <w:tcW w:w="23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South Korea</w:t>
            </w:r>
            <w:r>
              <w:rPr>
                <w:rFonts w:ascii="Times New Roman" w:cs="Times New Roman" w:eastAsia="Times New Roman" w:hAnsi="Times New Roman"/>
                <w:sz w:val="25"/>
                <w:szCs w:val="25"/>
                <w:b w:val="1"/>
                <w:bCs w:val="1"/>
                <w:color w:val="auto"/>
                <w:vertAlign w:val="superscript"/>
              </w:rPr>
              <w:t>(1)</w:t>
            </w:r>
          </w:p>
        </w:tc>
        <w:tc>
          <w:tcPr>
            <w:tcW w:w="6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22,166</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45,058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52,036</w:t>
            </w:r>
          </w:p>
        </w:tc>
      </w:tr>
      <w:tr>
        <w:trPr>
          <w:trHeight w:val="216"/>
        </w:trPr>
        <w:tc>
          <w:tcPr>
            <w:tcW w:w="23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Japan</w:t>
            </w:r>
            <w:r>
              <w:rPr>
                <w:rFonts w:ascii="Times New Roman" w:cs="Times New Roman" w:eastAsia="Times New Roman" w:hAnsi="Times New Roman"/>
                <w:sz w:val="25"/>
                <w:szCs w:val="25"/>
                <w:b w:val="1"/>
                <w:bCs w:val="1"/>
                <w:color w:val="auto"/>
                <w:vertAlign w:val="superscript"/>
              </w:rPr>
              <w:t>(1)</w:t>
            </w:r>
          </w:p>
        </w:tc>
        <w:tc>
          <w:tcPr>
            <w:tcW w:w="6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38,428</w:t>
            </w:r>
          </w:p>
        </w:tc>
      </w:tr>
      <w:tr>
        <w:trPr>
          <w:trHeight w:val="216"/>
        </w:trPr>
        <w:tc>
          <w:tcPr>
            <w:tcW w:w="23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Europe &amp; Africa</w:t>
            </w:r>
            <w:r>
              <w:rPr>
                <w:rFonts w:ascii="Times New Roman" w:cs="Times New Roman" w:eastAsia="Times New Roman" w:hAnsi="Times New Roman"/>
                <w:sz w:val="25"/>
                <w:szCs w:val="25"/>
                <w:b w:val="1"/>
                <w:bCs w:val="1"/>
                <w:color w:val="auto"/>
                <w:vertAlign w:val="superscript"/>
              </w:rPr>
              <w:t>(1)</w:t>
            </w:r>
          </w:p>
        </w:tc>
        <w:tc>
          <w:tcPr>
            <w:tcW w:w="6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18,888</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31,869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36,482</w:t>
            </w:r>
          </w:p>
        </w:tc>
      </w:tr>
      <w:tr>
        <w:trPr>
          <w:trHeight w:val="216"/>
        </w:trPr>
        <w:tc>
          <w:tcPr>
            <w:tcW w:w="23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Hong Kong/Taiwan</w:t>
            </w:r>
            <w:r>
              <w:rPr>
                <w:rFonts w:ascii="Times New Roman" w:cs="Times New Roman" w:eastAsia="Times New Roman" w:hAnsi="Times New Roman"/>
                <w:sz w:val="25"/>
                <w:szCs w:val="25"/>
                <w:b w:val="1"/>
                <w:bCs w:val="1"/>
                <w:color w:val="auto"/>
                <w:vertAlign w:val="superscript"/>
              </w:rPr>
              <w:t>(1)</w:t>
            </w:r>
          </w:p>
        </w:tc>
        <w:tc>
          <w:tcPr>
            <w:tcW w:w="5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20,155</w:t>
            </w:r>
          </w:p>
        </w:tc>
      </w:tr>
      <w:tr>
        <w:trPr>
          <w:trHeight w:val="27"/>
        </w:trPr>
        <w:tc>
          <w:tcPr>
            <w:tcW w:w="232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Paid Affiliates</w:t>
            </w:r>
          </w:p>
        </w:tc>
        <w:tc>
          <w:tcPr>
            <w:tcW w:w="5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166,886</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236,956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271,025</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Leaders</w:t>
            </w:r>
          </w:p>
        </w:tc>
        <w:tc>
          <w:tcPr>
            <w:tcW w:w="50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6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10,879</w:t>
            </w:r>
          </w:p>
        </w:tc>
      </w:tr>
      <w:tr>
        <w:trPr>
          <w:trHeight w:val="216"/>
        </w:trPr>
        <w:tc>
          <w:tcPr>
            <w:tcW w:w="23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Mainland China</w:t>
            </w:r>
            <w:r>
              <w:rPr>
                <w:rFonts w:ascii="Times New Roman" w:cs="Times New Roman" w:eastAsia="Times New Roman" w:hAnsi="Times New Roman"/>
                <w:sz w:val="25"/>
                <w:szCs w:val="25"/>
                <w:b w:val="1"/>
                <w:bCs w:val="1"/>
                <w:color w:val="auto"/>
                <w:vertAlign w:val="superscript"/>
              </w:rPr>
              <w:t>(2)</w:t>
            </w:r>
          </w:p>
        </w:tc>
        <w:tc>
          <w:tcPr>
            <w:tcW w:w="6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12,359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18,207</w:t>
            </w: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6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8,800</w:t>
            </w: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6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8,224</w:t>
            </w: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6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5,864</w:t>
            </w: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6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5,743</w:t>
            </w: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5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3,666</w:t>
            </w:r>
          </w:p>
        </w:tc>
      </w:tr>
      <w:tr>
        <w:trPr>
          <w:trHeight w:val="27"/>
        </w:trPr>
        <w:tc>
          <w:tcPr>
            <w:tcW w:w="232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Sales Leaders</w:t>
            </w:r>
          </w:p>
        </w:tc>
        <w:tc>
          <w:tcPr>
            <w:tcW w:w="5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48,737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61,383</w:t>
            </w:r>
          </w:p>
        </w:tc>
      </w:tr>
      <w:tr>
        <w:trPr>
          <w:trHeight w:val="27"/>
        </w:trPr>
        <w:tc>
          <w:tcPr>
            <w:tcW w:w="23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jc w:val="both"/>
        <w:ind w:left="820" w:hanging="350"/>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31, 2023 number is affected by a change in eligibility requirements for receiving certain awards within our compensation structure, to more narrowly focus on those affiliates who are actively building a consumer base. See Item 7. Management’s Discussion and Analysis of Financial Condition and Results of Operations—“South Korea,” “Japan,” “Europe &amp; Africa,” and “Hong Kong/Taiwan,” for more information.</w:t>
      </w:r>
    </w:p>
    <w:p>
      <w:pPr>
        <w:spacing w:after="0" w:line="179" w:lineRule="exact"/>
        <w:rPr>
          <w:rFonts w:ascii="Times New Roman" w:cs="Times New Roman" w:eastAsia="Times New Roman" w:hAnsi="Times New Roman"/>
          <w:sz w:val="18"/>
          <w:szCs w:val="18"/>
          <w:color w:val="auto"/>
        </w:rPr>
      </w:pPr>
    </w:p>
    <w:p>
      <w:pPr>
        <w:ind w:left="820" w:hanging="350"/>
        <w:spacing w:after="0" w:line="282"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31, 2023 and 2022 numbers reflect a modified Sales Leader definition. During 2022, we made some modifications to the compensation plan, which provides leaders more flexible requirements to maintain their business.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Direct Selling Channel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of Mainland China, individuals can elect to participate in our business as follows:</w:t>
      </w:r>
    </w:p>
    <w:p>
      <w:pPr>
        <w:spacing w:after="0" w:line="225"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Affiliate-Direct Consumers”—Individuals who purchase products directly from a Brand Affiliate at a price established by the Brand Affiliate.</w:t>
      </w: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“Company-Direct Consumers”—Individuals who purchase products directly from the company. These consumers are typically referred by a Brand Affiliate and may purchase at retail price or at a discount. These individuals do not have the right to build a Nu Skin business by reselling products or by recruiting others.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Brand Affiliates”—Brand Affiliates who purchase products for personal or family use or for resale to other consumers. These individuals are not eligible to receive compensation on a multi-level basis unless they elect to qualify as a Sales Leader under our global sales compensation plan. We consider these individuals to be part of our consumer group, as we believe a significant majority of these Brand Affiliates are purchasing products for personal use and not actively building a sales network or consumer base.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Leaders and Qualifiers”—Brand Affiliates who have qualified or are trying to qualify as a Sales Leader. These Brand Affiliates have elected to pursue the business opportunity as a Sales Leader and are actively attracting consumers and building a sales network under our global sales compensation plan. These Sales Leaders and Qualifiers constitute our sales network.</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become a Brand Affiliate, an individual signs a Brand Affiliate agreement and receives access to a business portfolio, which is free in most markets. In some markets, we charge a small fee for the business portfolio. The business portfolio, generally consists of documentation concerning the business, including copies of the sales compensation plan, Brand Affiliate policies and procedures, product catalog and other documentation, but does not include products. There are no requirements to purchase products or other materials to become a Brand Affiliate, and no commissions are paid on any purchase of a business portfolio.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 generous product return policy, which also includes returns of business support materials. In most markets, we offer a return policy that allows our Brand Affiliates to return unopened and unused items for up to 30 days for a full refund, or 12 months subject to a 10% restocking fee. Brand Affiliates are not required to terminate their accounts to return product. Actual returns have historically been less than 5% of annual revenue. We believe our generous return policy minimizes the financial risks associated with being a Brand Affiliate.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product return policy, we strive to be as protective of our customers as possible. We seek to ensure that those who use our products or participate in our business opportunity are treated fairly and are not misled by inappropriate product or earnings claims.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two fundamental ways in which our Brand Affiliates can earn money:</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retail markups on resales of products purchased from the company;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sales compensation earned on the sale of products under our global sales compensation plan.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global sales compensation plan is among the most generous in the direct selling industry and is one of our competitive advantages. Our Brand Affiliates can receive sales compensation for product sales from the company to their own consumer groups. Likewise, our Sales Leaders can receive sales compensation under our global sales compensation plan for product sales from the company to their own consumer groups, as well as for product sales from the company to other Sales Leaders and their consumer groups. This type of sales compensation is often referred to as “multi-level” compensation. Our sales force is not required to recruit or sponsor others, and we do not pay any sales compensation for recruiting or sponsoring. While all of our Brand Affiliates can sponsor others at any time, our Sales Leaders and those in qualification to become Sales Leaders are those who generally are the most active in sponsoring others. Pursuant to our global sales compensation plan, we pay consolidated sales compensation in a Sales Leader’s home market, in local currency, for product sales in the Sales Leader’s own consumer group and for product sales in the Sales Leader’s team of Sales Leaders across all geographic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Mainland China Business Model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restrictions on direct selling and multi-level commissions in Mainland China, we have implemented a business model for that market that is different from the business model we use in our other markets. We have structured our business model in Mainland China based on several factors: the guidance we have received from government officials, our interpretation of applicable regulations, our understanding of the practices of other international direct selling companies operating in Mainland China, and our understanding as to how regulators are interpreting and enforcing the regulations. The regulatory environment in Mainland China continues to be challenging and restrictive. We are currently evaluating potential changes to the structure of our sales compensation in Mainland China due to the evolving commercial and regulatory environment. These changes could have a negative impact on our sales in that market.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Mainland China, we utilize sales employees to sell products through our retail stores, website and digital platforms; independent direct sellers, who can sell away from our stores where we have a direct selling license and a service center and can also sell through our website and digital platforms; and independent marketers, who are licensed business owners authorized to sell our products at their own approved premises or through our stores, website and digital platforms. (As used in the foregoing sentence, our digital platforms include not only those owned or run by our company but also a platform operated by a third party on which we have registered a flagship store.) We rely on our sales employees, independent direct sellers and independent marketers to attract new consumers, promote repeat purchases, and educate our sales force about our products, culture and policies through training meetings.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sales employees, independent direct sellers and independent marketers in Mainland China do not participate in our global sales compensation plan but are instead compensated according to a separate compensation model established for Mainland China, which is separate and different from our global compensation plan. Independent direct sellers and sales employees who have not achieved certain qualification requirements receive monthly bonuses based on their monthly product sales. Sales employees who achieve qualification requirements and independent marketers earn (1) monthly bonuses based on their monthly product sales and other bonuses based on various performance metrics; and (2) a salary (for sales employees, consisting of position pay and performance pay) or service fee (for independent marketers). The salary or service fee and position/title are reviewed and adjusted quarterly based on their performance relative to other sales leaders, taking into account such factors as the sales productivity of the Sales Leader him/herself and of the sales force that such Sales Leader trains, collaborates with, supports and services. We utilize our global system to track and assess the sales productivity of each Sales Leader him/herself and the sales force that such Sales Leader trains, collaborates with, supports and services in setting his/her salary or service fee and in connection with the evaluation of their position/title. We generally compensate our Mainland China Sales Leaders at a level that is competitive with other direct selling companies in the market and comparable to the compensation of our Sales Leaders globally.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 Mainland China entails certain risks and uncertainties to our business, as discussed further in Item 1. Business—“Regulation” and Item 1A. Risk Factors. We endeavor to mitigate these risks and uncertainties through various measures, including by seeking to understand and obey laws and regulations, training our employees and sales force, engaging in dialogue with government officials to better understand their goals and explain our plans, and cooperating in inquiries and other matters of interest to regulators. However, these efforts do not eliminate the significant risks associated with operating in Mainland China.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sales compensation plan and our Mainland China business model, including our related know-how, processes and systems, play a significant role in helping us to attract and incentivize our sales force. We have strategically developed and refined our global sales compensation plan and our Mainland China business model to distinguish the business opportunity that we offer from those of other companies and to seek to provide us with a competitive advantage.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Incentives, Meetings, Recognition and Training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important part of our distribution channel is motivating our Sales Leaders and recognizing their achievements. We hold regular meetings and events globally to recognize Sales Leaders who have achieved various levels of success in our business. These meetings, which may be held either virtually or in-person, also allow the company and key Sales Leaders to provide training to other Sales Leaders. We utilize a variety of sales incentives such as incentive trips to motivate Sales Leaders. In addition to rewarding performance, incentive trips provide Sales Leaders and the company opportunities to share best practices, set goals, generate alignment of Sales Leaders around key initiatives, and provide a high level of motivation and team building.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Launch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making a product generally available for purchase in a market, we often do one or more introductory offerings of the product, such as a preview of the product to our Sales Leaders or other product introduction or promotion. We refer to the entire process, beginning with the introductory offering through general availability of the product, as a product launch or our product launch process. The timing of the launch of a particular product often varies from market to market depending on such factors as customer demand, product registration or other local legal requirements, and product availability in our supply chain.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Leader previews and other product introductions and promotions sometimes generate significant activity and a high level of purchasing, which can result in a higher-than-normal increase in revenue during the quarter and can skew year-over-year and sequential comparisons. We believe our product launch process attracts new Customers, Paid Affiliates and Sales Leaders to our business, increases consumer trial, and provides us with important marketing and forecasting information about our products. Please refer to Item 1A. Risk Factors for more information on risks related to our product launch process.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REGIONS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sell and distribute our Nu Skin business’s products in nearly 50 markets. We have divided our markets into seven segments: Mainland China; South Korea; Southeast Asia/Pacific, which includes Indonesia, Malaysia, the Philippines, Singapore, Thailand, Vietnam, Australia, New Zealand and other markets; Americas, which includes Canada, Latin America and the United States; Japan; Hong Kong/Taiwan, which also includes Macau; and Europe &amp; Africa, which includes markets in Europe as well as South Africa. Our Rhyz business arm also includes two additional segments: Manufacturing and Rhyz other. The following table sets forth the revenue for each of the segments and the Other category for the last three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324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508.5</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547.8</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360.4</w:t>
            </w:r>
          </w:p>
        </w:tc>
        <w:tc>
          <w:tcPr>
            <w:tcW w:w="4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568.8</w:t>
            </w:r>
          </w:p>
        </w:tc>
        <w:tc>
          <w:tcPr>
            <w:tcW w:w="4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344.4</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336.7</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268.7</w:t>
            </w:r>
          </w:p>
        </w:tc>
        <w:tc>
          <w:tcPr>
            <w:tcW w:w="4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4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224.9</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266.2</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204.3</w:t>
            </w:r>
          </w:p>
        </w:tc>
        <w:tc>
          <w:tcPr>
            <w:tcW w:w="4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283.2</w:t>
            </w:r>
          </w:p>
        </w:tc>
        <w:tc>
          <w:tcPr>
            <w:tcW w:w="4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162.6</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149.5</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172.1</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4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2,225.7</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2,695.7</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comparative revenue and related financial information is presented in Note 15 to the consolidated financial statements contained in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various laws and regulations globally, particularly with respect to our direct selling business models and our product categories. In addition, as a United States entity operating through subsidiaries in foreign jurisdictions, we are subject to foreign exchange control, transfer pricing and customs laws that regulate the flow of funds between us and our subsidiaries and for product purchases, management services and contractual obligations, such as the payment of sales commissions. As is the case with most companies in our industry, we receive inquiries from time to time from government regulatory authorities regarding the nature of our business and other issues, such as compliance with local direct selling, transfer pricing, customs, taxation, foreign exchange control, securities and other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Selling Regulations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selling is regulated by various national, state and local government agencies in the United States and foreign markets. These laws and regulations are generally intended to prevent fraudulent or deceptive schemes, including “pyramid” schemes, which compensate participants primarily for recruiting additional participants without significant emphasis on product sales to consumers. The laws and regulations in our current markets generally:</w:t>
      </w:r>
    </w:p>
    <w:p>
      <w:pPr>
        <w:spacing w:after="0" w:line="176" w:lineRule="exact"/>
        <w:rPr>
          <w:sz w:val="20"/>
          <w:szCs w:val="20"/>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requirements related to order cancellations, product returns, inventory buy-backs and cooling-off periods for our sales force and consumers;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or our sales force, to register with government agencies;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limits on the amount and type of sales compensation we can pay;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reporting requirements;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our sales force is compensated for sales of products and not for recruiting others.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laws and regulations governing direct selling may be modified or reinterpreted from time to time, which may cause us to modify our sales compensation and business models. In almost all of our markets, regulations are subject to discretionary interpretation by regulators and judicial authorities. There is often ambiguity and uncertainty with respect to the state of direct selling and anti-pyramiding laws and regulations. In the United States, for example, federal law provides law enforcement agencies, such as the Federal Trade Commission (“FTC”), broad latitude in policing unfair or deceptive trade practices, but does not provide a bright-line test for identifying a pyramid scheme. A number of states have passed legislation that more clearly distinguishes between illegal pyramid schemes and legitimate multi-level marketing business models. During the past several years, settlements and other judicial orders between the FTC and other direct selling companies and guidance from the FTC have addressed inappropriate earnings and lifestyle claims, problematic compensation structures and the importance of focusing on consumers. In addition, during 2021 the FTC announced that it is initiating a review of its Business Opportunity Rule, which imposes certain obligations on business opportunity sellers in their dealings with prospective buyers; the FTC issued a request for public comment on this rule in November 2022. Currently, multi-level marketing companies have been deemed not covered by this rule. If this changes or if new regulations are adopted for multi-level marketing companies, it could negatively impact the growth of our sales force and our revenue. Also during 2021, the FTC sent a notice to more than 1,100 companies, including us, that outlined several practices that the FTC determined to be unfair or deceptive in prior administrative cases. These practices relate to earnings claims, other money-making opportunity claims, and endorsements and testimonials. Pursuant to the FTC’s “penalty offense authority,” companies that received the notice are expected to comply with the standards set in the prior administrative cases and could incur significant civil penalties if they or their representatives fail to do so. In addition, during 2022, the FTC issued an Advanced Notice of Proposed Rulemaking (“ANPR”) indicating that it is considering proposing a rule regarding earnings claims. The ANPR also suggested, among other things, that the FTC would likely not consider a disclaimer (such as “results not typical”) to be sufficient to correct a misleading impression from an atypical earnings claim. For more information about these matters, other regulatory actions, and their potential impact on our business, see Item 1A. Risk Factors—“Challenges to the form of our network marketing system or to our business practices could harm our business” and “Laws and regulations may prohibit or severely restrict direct selling and cause our revenue and profitability to decline, and regulators could adopt new regulations that harm our business.”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regulatory environment in Mainland China is particularly complex and continues to evolve. Mainland China’s direct selling and anti-pyramiding regulations contain various restrictions, including a prohibition on the payment of multi-level compensation. The regulations are subject to discretionary interpretation by state, provincial and local regulators as well as local customs and practices. Regulators continue to act cautiously as they monitor the development of direct selling in Mainland China. To expand our direct selling model into additional provinces in Mainland China, we currently must obtain a series of approvals from the local Department of Commerce in such provinces, the Shanghai Municipal Commission of Commerce (our supervisory authority), as well as the Ministry of Commerce, PRC (“MOFCOM”), which is the national governmental authority overseeing direct selling. In the course of obtaining these approvals, the respective authorities under MOFCOM must also consult and seek opinions on our business operations from the Ministry of Public Security and the Administration for Market Regulation at both provincial and state levels. Government authorities have not been issuing new licenses for direct selling since the beginning of the 100-day action in early 2019.</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in Mainland China are subject to significant government and media scrutiny and investigations. At times, investigations and other regulatory actions have limited our ability to conduct business in Mainland China. For example, the government’s scrutiny of activities within the health products and direct selling industries has been at higher levels since 2019, following negative media coverage about healthcare-related product claims made by another direct selling company in Mainland China. During this time, we have been receiving and addressing an increased number of government reviews, inspections, and inquiries and consumer complaints in Mainland China; our ability to hold certain business meetings has been limited; and negative media coverage has spread to include additional companies, including ours. Another example occurred in 2014. In response to media and government scrutiny of our Mainland China business in 2014, we voluntarily took a number of actions in Mainland China, including temporarily suspending our business meetings, temporarily suspending acceptance of applications for any new sales representatives, and extending our product refund and return policies. These voluntary measures and the adverse publicity had a significant negative impact on our business. We face a risk that future investigations and other regulatory actions may result in fines, revocation of licenses or other significant sanctions.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markets, including Mainland China, South Korea, Indonesia and Vietnam, impose limits on the amount of sales compensation we can pay to our sales force. For example, under regulations in Mainland China, direct selling companies may pay independent direct sellers in Mainland China up to a maximum 30% of the revenue they generate through their own sales of products to consumers. Additionally, in South Korea, local regulations limit sales compensation to 35% of the total price of goods or services supplied in South Korea. We have implemented various measures to comply with these limits.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markets, regulations applicable to the activities of our Sales Leaders may affect our business because we are, or regulators may assert that we are, responsible for our Sales Leaders’ conduct. In these markets, regulators may request or require that we take steps to ensure that our Sales Leaders comply with local regulations. For example, in Japan, we have taken steps to comply with strict requirements regarding how Brand Affiliates approach prospective customers. From time to time, we receive information from consumer centers in certain prefectures about the number of general inquiries and complaints about us and our Brand Affiliates, and we also sometimes receive warnings to reduce such complaints. Based on this information, we continually evaluate and enhance our Brand Affiliate compliance, education and training efforts in Japan.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force is required to comply with work authorization and other local legal requirements prior to working in a market. Some markets, including Mainland China and Vietnam, also prohibit or restrict participation of overseas personnel or foreigners in direct selling activities. We have implemented policies that are designed to comply with these regulations and inform our sales force regarding the types of activities that are not permitted. However, we cannot assure that actions of our sales force will not violate local laws or regulations or our policies.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1A. Risk Factors for more information on regulatory and other risks associated with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Regulations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beauty and wellness products and related promotional and marketing activities are subject to extensive government regulation by numerous federal, state, and local government agencies and authorities, including the United States Food and Drug Administration (the “FDA”), the Federal Trade Commission (the “FTC”), the Consumer Product Safety Commission, the Department of Agriculture, United States and State Attorneys General, and state regulatory agencies in the United States, as well as the State Administration for Market Regulation in Mainland China, the Food and Drug Administration in Taiwan, the Ministry of Food and Drug Safety in South Korea, the Ministry of Health, Labour and Welfare in Japan, and similar government agencies in all other markets in which we operate. In the United States, the FDA, in particular, regulates the formulation, manufacture and labeling of over-the-counter (“OTC”) drugs, cosmetics, dietary supplements, foods and medical devices such as those that we distribute.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Beauty Products in the United States. </w:t>
      </w:r>
      <w:r>
        <w:rPr>
          <w:rFonts w:ascii="Times New Roman" w:cs="Times New Roman" w:eastAsia="Times New Roman" w:hAnsi="Times New Roman"/>
          <w:sz w:val="18"/>
          <w:szCs w:val="18"/>
          <w:color w:val="auto"/>
        </w:rPr>
        <w:t>Our beauty products are subject to various laws and regulations that regulate cosmetic and personal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 products and set forth regulations that, among other things, determine whether a product can be marketed as a “cosmetic” or requires further submissions as an OTC drug. In the United States, the regulation of cosmetic content and labeling is under the primary jurisdiction of the FDA. Cosmetics are not subject to pre-market approval by the FDA, but their ingredients and their label and labeling content are regulated by the FDA, and those who sell cosmetics have the burden to ensure that they are safe for use as directed and not adulterated or misbranded. The labeling of cosmetic products is subject to the requirements of the Federal Food, Drug, and Cosmetic Act (“FDCA”), the Fair Packaging and Labeling Act and other FDA regulations. In 2024, the FDA will begin implementation of portions of the Modernization of Cosmetics Regulation Act of 2022 (“MoCRA”). This implementation will create a greater burden for cosmetic manufacturer facility registration and audits, mandate product notification for cosmetics, and mandate the reporting of serious adverse events to the FDA. Rollout of MoCRA is expected to continue for the coming years. Failure to correctly interpret and comply with the new requirements could lead to government actions against us and the associated impairment to our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FDCA defines cosmetics by their intended use, as “articles intended to be rubbed, poured, sprinkled, or sprayed on, introduced into, or otherwise applied to the human body . . . for cleansing, beautifying, promoting attractiveness, or altering the appearance . . . .” Among the products included in this definition are skin moisturizers, perfumes, lipsticks, fingernail polishes, eye and facial makeup preparations, shampoos, permanent waves, hair colors, toothpastes and deodorants, as well as material intended for use as a component of a cosmetic product. A product may be considered a drug if it is intended for use in the diagnosis, cure, mitigation, treatment, or prevention of disease, or is intended to affect the structure or any function of the body (“structure/function claims”). A product’s intended use can be inferred from marketing or product claims, and regulators may consider the marketing claims of our sales force. Structure/function claims are generally prohibited for cosmetic products as are disease prevention and treatment claims. The FDA prohibits certain ingredients from being included in cosmetic products. It is possible that cosmetic product ingredients now commonly in use may be restricted or prohibited in the future as more is learned about such ingredients.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FDA has issued warning letters to many cosmetic companies alleging improper structure/function claims regarding their cosmetic products, including, for example, product claims regarding gene activity, cellular rejuvenation, and rebuilding collagen. Cosmetic companies confront difficulty in determining whether a claim would be considered by the FDA to be an improper structure/function claim. Given this difficulty, and our research and product development focus on the sources of aging and the influence of certain ingredients on gene expression, there is a risk that we could receive a warning letter, be required to modify our product claims, or take other actions to satisfy the FDA if the FDA determines any of our marketing materials contain improper structure/function claims for our cosmetic products. In addition, plaintiffs’ lawyers have filed class action lawsuits against some of our competitors after our competitors received these FDA warning letters. There can be no assurance that we will not be subject to government actions or lawsuits, which could harm our business.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products, such as sunscreens and acne treatments, are classified as over-the-counter (“OTC”) drugs (and cosmetics, depending on claims) and have specific ingredient, labeling and manufacturing requirements. OTC drug products may be marketed if they conform to the requirements of an FDA-established OTC drug monograph that is applicable to that drug. Drug products not conforming to monograph requirements require an approved New Drug Application (“NDA”) before marketing may begin. Under these provisions, if the agency were to find that a product or ingredient of one of our OTC drug products is not generally recognized as safe and effective or is not included in a final monograph that is applicable to one of our OTC drug products, we may be required to reformulate or cease marketing that product until it is the subject of an approved NDA or until the time, if ever, that the monograph is amended to include such product. The labeling of these products is subject to the requirements of the FDCA and the Fair Packaging and Labeling Act and other FDA regulations.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Beauty Products in Other Markets. </w:t>
      </w:r>
      <w:r>
        <w:rPr>
          <w:rFonts w:ascii="Times New Roman" w:cs="Times New Roman" w:eastAsia="Times New Roman" w:hAnsi="Times New Roman"/>
          <w:sz w:val="18"/>
          <w:szCs w:val="18"/>
          <w:color w:val="auto"/>
        </w:rPr>
        <w:t>The other markets in which we operate have similar regulations. In Mainland China, beauty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devices, are placed into one of two categories, “special-purpose cosmetics” and “general cosmetics.” Products in both categories require adequate substantiation of efficacy, which must be made available to authorities prior to marketing a product and which can be reviewed and enforced upon at any time thereafter. The product registration process for some categories of beauty products in Mainland China takes from three to six months to complete under the latest regulations governing cosmetics. Certain cosmetics are categorized as “special cosmetics” and carry a more unpredictable process and approval timing frequently in excess of two years. In Japan, the Ministry of Health, Labour and Welfare regulates the sale and distribution of cosmetics and requires us to have an import business license and to register each beauty product imported into Japan. In Taiwan, all “medicated” cosmetic products require registration. In South Korea, all “functional” cosmetics are required to either undergo examination by or be reported to the Ministry of Food and Drug Safety. The sale of cosmetic products is regulated in the European Union (the “EU”) under the EU Cosmetics Regulation, which requires a uniform application for foreign companies placing finished beauty products on the EU market. Similar regulations in any of our markets may limit our ability to import products or utilize key ingredients or technologies globally and may delay product launches while the registration and approval process is pending. Changing regulations may require us to stop selling, discontinue, or reformulate and re-register products in order to sell those products.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Wellness Products in the United States. </w:t>
      </w:r>
      <w:r>
        <w:rPr>
          <w:rFonts w:ascii="Times New Roman" w:cs="Times New Roman" w:eastAsia="Times New Roman" w:hAnsi="Times New Roman"/>
          <w:sz w:val="18"/>
          <w:szCs w:val="18"/>
          <w:color w:val="auto"/>
        </w:rPr>
        <w:t>Our wellness products are also subject to applicable regulations of government agencies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in which we operate. In the United States, we generally market our wellness products as conventional foods or dietary supplements. The FDA has jurisdiction over this regulatory area. The FDA imposes specific requirements for the labels and labeling of food and dietary supplements, including the requirements of the Food Allergen Labeling and Consumer Protection Act of 2004, which mandates declaration of the presence of major food allergens. In addition, the Public Health Security and Bioterrorism Preparedness and Response Act of 2002 contains requirements with regard to the sale and importation of food products in the United States.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Food Safety Modernization Act (“FSMA”), which was signed into law in 2011, also increased the FDA’s authority with respect to food safety and made significant changes to the FDCA with respect to strengthening the U.S. food safety system. It enables the FDA to focus more on preventing food safety problems rather than primarily reacting to problems after they occur. The law also provides the FDA with enforcement authorities designed to achieve higher rates of compliance with prevention- and risk-based food safety standards and to better respond to and contain problems when they do occur. The law also gives the FDA important tools to hold imported foods to the same standards as domestic foods and directs the FDA to build an integrated national food safety system in partnership with state and local authorities. The FDA is actively enforcing FSMA requirements, subjecting food and nutritional supplements to increased regulatory scrutiny. Pursuant to FSMA, the FDA is authorized, among other things, to order mandatory recalls, issue “administrative detention” orders, and revoke manufacturing facility registrations (effectively preventing the operation of a food or dietary supplement manufacturing facility), and importers of foods and nutritional supplements are subject to Foreign Supplier Verification Program requirements.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regulates dietary supplements principally under the Dietary Supplement Health and Education Act of 1994 (“DSHEA”). DSHEA formally defines what may be sold as a dietary supplement, defines statements of nutritional support and the conditions under which they may lawfully be used, and includes provisions that permit the FDA to regulate manufacturing practices and labeling claims applicable to dietary supplements. Because the majority of our wellness products are regulated under DSHEA, we are generally not required to obtain regulatory approval prior to introducing a dietary supplement into the United States market. Prior to marketing a product, we are obligated to notify the FDA of any structure/function claims that we intend to make about the product in any product-related materials.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Generally, under DSHEA, dietary ingredients that were on the market before October 15, 1994 may be used in dietary supplements without notifying the FDA. However, a “new” dietary ingredient (i.e., a dietary ingredient that was not marketed in the United States before October 15, 1994) must be the subject of a new dietary ingredient notification submitted to the FDA unless the ingredient has been “present in the food supply as an article used for food” without having been “chemically altered.” The enforcement of the term “chemically altered” has and continues to evolve within the FDA. As such, an ingredient that is deemed today not to be “chemically altered” may be viewed otherwise in the future, which could lead to our being required to reformulate or cease marketing the product until such time that we can find a suitable replacement. A new dietary ingredient notification must provide the FDA with evidence of a “history of use or other evidence of safety” which establishes that use of the dietary ingredient “will reasonably be expected to be safe.” A new dietary ingredient notification must be submitted to the FDA at least 75 days before the new dietary ingredient can be marketed. Under DSHEA, the FDA may seek to remove from the market any new dietary ingredient that the FDA determines to be unsafe. In addition, the FDA may also deem a dietary supplement an unapproved drug where the marketing claims made in connection with the sale or promotion of the product effectively place it in the drug category.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efforts are made by some individuals or groups to repeal DSHEA. If this were to happen, significant burdens would be imposed on our product development, and the costs of running our business would increase significantly.</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Wellness Products Globally. </w:t>
      </w:r>
      <w:r>
        <w:rPr>
          <w:rFonts w:ascii="Times New Roman" w:cs="Times New Roman" w:eastAsia="Times New Roman" w:hAnsi="Times New Roman"/>
          <w:sz w:val="18"/>
          <w:szCs w:val="18"/>
          <w:color w:val="auto"/>
        </w:rPr>
        <w:t>In our foreign markets, nutritional supplements are generally regulated by similar government agencies,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Mainland China State Administration for Market Regulation, the South Korea Ministry of Food and Drug Safety; the Japan Ministry of Health, Labour and Welfare and the Taiwan Department of Health. We typically market our wellness products in international markets as foods, health foods, dietary supplements, food supplements or other similar categorizations under applicable regulatory regimes. With few exceptions, in the event a product or ingredient is classified as a drug or pharmaceutical product in any market, we will generally not be able to distribute that product in that market through our distribution channel because of pre-market approvals and strict regulations applicable to drug and pharmaceutical products. Mainland China also has highly restrictive nutritional supplement product regulations. A vast majority of products marketed as “health foods” are subject to extensive laboratory and clinical analysis by government authorities, and the product registration process in Mainland China takes a minimum of two years and may be substantially longer. In some cases it has taken us four years or longer to obtain product registrations. A pre-market process has been established for a minority of “health foods,” which allows products with only basic nutritional ingredients (some vitamins and minerals) to undergo a simplified approval process rather than the full registration process. We market both “health foods” and “general foods” in Mainland China. There is some risk associated with the common practice in Mainland China of marketing a product as a “general food” without any health food claims while applying to the authorities for “health food” classification. If government officials feel the categorization of our products is inconsistent with product claims, form of delivery, ingredients or function, this could end or limit our ability to market such products in Mainland China in their current form. In addition, we are not permitted to market or sell “general foods” through our direct sales channel in Mainland China and any efforts by our independent direct sellers to do so could result in negative publicity, fines and other government sanctions being imposed against us.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markets in which we operate all have varied regulations that distinguish foods and nutritional supplements from “pharmaceutical products.” Because of the varied regulations, some products or ingredients that are recognized as a “food” in certain markets may be treated as a “pharmaceutical” in other markets. In Japan, for example, if a specified ingredient is not listed as a “food” by the Ministry of Health and Welfare, we must either modify the product to eliminate or substitute that ingredient, or petition the government to treat such ingredient as a food. We experience similar issues in our other markets. This is particularly a challenge in Europe, where regulations often still differ from member state to member state, despite EU regulations designed to harmonize the laws of EU member states. With markets in the Association of Southeast Asian Nations (“ASEAN”), certain member states have amended some of their requirements in anticipation of the harmonization of ASEAN supplement regulations, even though these changes may not be identical to the eventual ASEAN requirements nor consistent with other member states. As a result, we often must modify the ingredients and/or the levels of ingredients in our products for certain markets or create unique formulations for multiple markets. In some circumstances, the regulations in foreign markets may require us to obtain regulatory approval prior to introduction of a new product or limit our use of certain ingredients altogether.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lead to additional restrictions or requirements in the future. In general, the regulatory environment is becoming more complex with increasingly stricter regulations each year.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Manufacturing Process. </w:t>
      </w:r>
      <w:r>
        <w:rPr>
          <w:rFonts w:ascii="Times New Roman" w:cs="Times New Roman" w:eastAsia="Times New Roman" w:hAnsi="Times New Roman"/>
          <w:sz w:val="18"/>
          <w:szCs w:val="18"/>
          <w:color w:val="auto"/>
        </w:rPr>
        <w:t>In 2008, and as subsequently updated under the regulations implementing the FSMA, the FDA established regulations to require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“good manufacturing practices” for dietary supplements and food products in the United States. The regulations ensure that dietary supplements and food products are produced in a quality manner, do not contain contaminants or impurities above pre-established levels, and are accurately labeled. The regulations include requirements for establishing quality control procedures for us and our vendors and suppliers, designing and constructing manufacturing plants, and testing ingredients and finished products throughout our supply chain. The regulations also include requirements for record keeping and handling consumer product complaints. If dietary supplements or food products contain contaminants or allergens or do not contain the type or quantity of dietary ingredient they are represented to contain, the FDA would consider those products to be adulterated or misbranded. Our business is subject to additional FDA regulations, such as new dietary ingredient regulations and adverse event reporting regulations that require us to document and track adverse events and report serious adverse events that involve hospitalization, permanent impairment or death associated with consumers’ use of certain of our products. Compliance with these regulations has increased, and may further increase, the cost of manufacturing and selling certain of our products as we incur internal costs, oversee and inspect more aspects of third-party manufacturing and work with our vendors to assure they are in compliance and maintain accurate recordkeeping to establish controls. Failure to comply with good manufacturing practices could also result in product recalls.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and Product Claims. </w:t>
      </w:r>
      <w:r>
        <w:rPr>
          <w:rFonts w:ascii="Times New Roman" w:cs="Times New Roman" w:eastAsia="Times New Roman" w:hAnsi="Times New Roman"/>
          <w:sz w:val="18"/>
          <w:szCs w:val="18"/>
          <w:color w:val="auto"/>
        </w:rPr>
        <w:t>Most of our major markets also regulate advertising and product claims regarding the efficacy and quality of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require adequate and reliable scientific substantiation of all claims. In most of our foreign markets, we are typically not able to make any “medicinal” claims with respect to our wellness products. In some cases, such regulations may limit our ability to inform consumers of some of the benefits our products offer.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the FDA generally prohibits disease diagnosis, prevention and treatment claims when made for a dietary supplement. DSHEA, however, permits substantiated, truthful and non-misleading “statements of nutritional support” to be included in labeling for dietary supplements without FDA pre-approval. Such statements may describe how a particular dietary ingredient affects the structure, function or general well-being of the body, or the mechanism of action by which a dietary ingredient may affect the structure, function or well-being of the body, but such statements may not state that a dietary supplement will reduce the risk or incidence of a disease unless such claim has been reviewed and approved by the FDA. In addition, the FDA permits companies to use FDA-approved full and qualified health claims for products containing specific ingredients that meet stated requirements.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 that uses a statement of nutritional support in labeling must possess evidence substantiating that the statement is truthful and not misleading. The FDA has issued guidance defining a manufacturer’s obligations to substantiate structure/function claims. Such statements, when used in labeling, must also be submitted to the FDA no later than 30 days after first marketing the product with the statement that they possess the necessary evidence and must be accompanied by an FDA mandated label disclaimer that “This statement has not been evaluated by the FDA. This product is not intended to diagnose, treat, cure or prevent any disease.” There can be no assurance, however, that the FDA or FTC will not determine that a particular statement of nutritional support that we want to use is an unacceptable disease claim or an unauthorized nutrient-disease relationship claim otherwise permitted with FDA approval as a “health claim” or that such claims have competent and reliable scientific evidence. Such a determination might prevent the use of such a claim or result in additional FDA enforcement.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aware of media reports regarding dietary supplements, which call for the repeal or amendment of DSHEA. Individuals or groups that are opposed to supplements or question their safety or efficacy attempt, from time to time, to use these media reports to propose legislation intended to amend or repeal DSHEA. Some of the legislative proposals may include variations on premarket approval, enhanced premarket safety or substantiation required and changing the definition of a “dietary ingredient” to remove either botanicals or selected classes of ingredients now treated as dietary ingredients.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the other markets in which we operate have not adopted legislation like DSHEA, and we may be subject to more restrictive limitations on the claims we can make about our products in these markets. For example, in Japan, our nutritional supplements are marketed as food products, which significantly limits our ability to make claims regarding these products. If marketing materials produced or used by us or our sales force globally make claims that exceed the scope of allowed claims for nutritional supplements, the FDA or other regulatory authorities could deem our products to be unapproved drugs. In Mainland China, we also face significant restrictions on our ability to make product claims regarding the efficacy of our products. Violations, alleged violations, or negative media attention related to our compliance with these restrictions could harm consumers’ perception of our business and products and could negatively impact the registration, licensing status and sales of our products.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FTC, which exercises primary jurisdiction over the advertising of all of our products in the United States, has instituted enforcement actions against dietary supplement, food, and cosmetic companies for, among other things, deceptive advertising and lack of adequate scientific substantiation for claims. We also face limitations on our use of the scientific experts who have helped us develop and test some of our products. In the United States, for example, the FTC’s Guides Concerning the Use of Endorsements and Testimonials in Advertising may restrict marketing to those results obtained by a “typical” consumer and require disclosure of any material connections between an endorser and the company or products they are endorsing. In Mainland China, some media outlets have questioned the nature and extent of our connections with our Scientific Advisory Board and others who have helped in developing our scientific approach or testing our products. This negative publicity could harm consumers’ perception of our business and our products, which could negatively impact our revenue. We cannot be sure that the FTC, or comparable foreign agencies, will not question our advertising or other operations in the future.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recent years, the FTC has initiated numerous investigations of and actions against companies that sell dietary supplements and cosmetic products. The FTC may enforce compliance with the law in a variety of ways, both administratively and judicially, using compulsory process, cease and desist orders, and injunctions. FTC enforcement can result in consent decrees or orders requiring, among other things, injunctive provisions, corrective advertising, consumer redress, and such other relief as the agency deems necessary to protect the public. Violation of these consent decrees or orders could result in substantial financial or other penalties. The FTC also sends warning letters as it monitors companies’ activities. For example, during 2020 to 2022, the FTC issued letters that warned several direct-selling companies to remove and address claims that they or members of their sales force were making about their products’ ability to treat, cure or prevent COVID-19 and/or about the earnings that people who suffered the loss of a job or income could make. No assurance can be given that the FTC will not question our advertising or other operations in the United States in the future. Any action in the future by the FTC could materially and adversely affect our ability to successfully market our products in the United States. In addition, during 2023, the FTC sent notices of penalty offense to nearly 700 companies, including us, regarding the requirement of sufficient substantiation for product claims. Pursuant to the FTC’s “penalty offense authority,” companies that received the notice are expected to comply with the standards set in the FTC’s prior administrative cases on this topic, and they could incur significant civil penalties if they or their representatives fail to do so.</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investigations that occurred in the 1990s of certain alleged unsubstantiated product and earnings claims made by our Brand Affiliates, we entered into two consent decrees with the FTC and various agreements with state regulatory agencies. The consent decrees require us to, among other things, supplement our procedures to enforce our policies, not allow our Brand Affiliates to make earnings representations without making certain average earnings disclosures and not allow our Brand Affiliates to make unsubstantiated product claims. The FTC could initiate an enforcement action to the extent the FTC determines that our advertising or promotional practices are deceptive or contrary to the requirements of the consent decrees.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Medical Devices. </w:t>
      </w:r>
      <w:r>
        <w:rPr>
          <w:rFonts w:ascii="Times New Roman" w:cs="Times New Roman" w:eastAsia="Times New Roman" w:hAnsi="Times New Roman"/>
          <w:sz w:val="18"/>
          <w:szCs w:val="18"/>
          <w:color w:val="auto"/>
        </w:rPr>
        <w:t>In 2014,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Nu Skin Facial Spa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device was cleared for marketing through the 510(k) process with the FDA as a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device with cosmetic benefit. More recently, our </w:t>
      </w:r>
      <w:r>
        <w:rPr>
          <w:rFonts w:ascii="Times New Roman" w:cs="Times New Roman" w:eastAsia="Times New Roman" w:hAnsi="Times New Roman"/>
          <w:sz w:val="18"/>
          <w:szCs w:val="18"/>
          <w:i w:val="1"/>
          <w:iCs w:val="1"/>
          <w:color w:val="auto"/>
        </w:rPr>
        <w:t>RenuSpa iO</w:t>
      </w:r>
      <w:r>
        <w:rPr>
          <w:rFonts w:ascii="Times New Roman" w:cs="Times New Roman" w:eastAsia="Times New Roman" w:hAnsi="Times New Roman"/>
          <w:sz w:val="18"/>
          <w:szCs w:val="18"/>
          <w:color w:val="auto"/>
        </w:rPr>
        <w:t xml:space="preserve"> device was cleared for marketing through the FDA’s 510(k) process. Medical devices are highly regulated by the FDA. Manufacturers of medical devices must register and list their products with the FDA annually, whether they are located domestically or overseas. Foreign jurisdictions may take note of the fact that we have registered a medical device in the United States and require us to register in their market as well. The FDA has broad regulatory powers in the areas of clinical testing, manufacturing and labeling of medical devices. Medical devices must be labeled in accordance with the FDA’s general device labeling requirements and whatever particular label requirements the FDA may designate for that type of device.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medical device manufacturers must adhere to certain “good manufacturing practices” in accordance with the FDA’s Quality System Regulation, which regulates the manufacture of medical devices, prescribes record-keeping procedures and provides for the routine inspection of facilities for compliance with such regulations. If in connection with these inspections, the FDA believes the manufacturer has failed to comply with applicable regulations and/or procedures, it may issue observations that would necessitate prompt corrective action. If the FDA inspection observations are not addressed and/or corrective action taken in a timely manner and to the FDA’s satisfaction, the FDA may issue a warning letter (which would similarly necessitate prompt corrective action) and/or proceed directly to other forms of enforcement action. Failure to respond timely to FDA inspection observations, a warning letter or other notice of noncompliance and to promptly come into compliance could result in the FDA bringing enforcement action against us, which could include the shutdown of our production facilities, denial of importation rights to the United States for products manufactured in overseas locations and criminal and civil fines.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Pharmanex BioPhotonic Scanner</w:t>
      </w:r>
      <w:r>
        <w:rPr>
          <w:rFonts w:ascii="Times New Roman" w:cs="Times New Roman" w:eastAsia="Times New Roman" w:hAnsi="Times New Roman"/>
          <w:sz w:val="18"/>
          <w:szCs w:val="18"/>
          <w:color w:val="auto"/>
        </w:rPr>
        <w:t xml:space="preserve"> and our current and future device products may be subject to the regulations of various health, consumer-protection and other government authorities around the world. These regulations vary from market to market and affect whether our products are required to be registered as medical devices, the claims that can be made with respect to these products, who can use them, and where they can be used. The interpretation of the line between medical devices and non-medical devices in each country is subjective and varied, as well as subject to change based on industry precedent, influence from the medical device sector, and other factors. Our connected devices are subject to specific testing, certification, and/or registration governing the connectivity to mobile devices. We have been required to register our </w:t>
      </w:r>
      <w:r>
        <w:rPr>
          <w:rFonts w:ascii="Times New Roman" w:cs="Times New Roman" w:eastAsia="Times New Roman" w:hAnsi="Times New Roman"/>
          <w:sz w:val="18"/>
          <w:szCs w:val="18"/>
          <w:i w:val="1"/>
          <w:iCs w:val="1"/>
          <w:color w:val="auto"/>
        </w:rPr>
        <w:t>ageLOC Galvanic Facial Spa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ageLOC Body Spa</w:t>
      </w:r>
      <w:r>
        <w:rPr>
          <w:rFonts w:ascii="Times New Roman" w:cs="Times New Roman" w:eastAsia="Times New Roman" w:hAnsi="Times New Roman"/>
          <w:sz w:val="18"/>
          <w:szCs w:val="18"/>
          <w:color w:val="auto"/>
        </w:rPr>
        <w:t xml:space="preserve"> systems as medical devices in a few markets, and we also have received clearance from the FDA to market our </w:t>
      </w:r>
      <w:r>
        <w:rPr>
          <w:rFonts w:ascii="Times New Roman" w:cs="Times New Roman" w:eastAsia="Times New Roman" w:hAnsi="Times New Roman"/>
          <w:sz w:val="18"/>
          <w:szCs w:val="18"/>
          <w:i w:val="1"/>
          <w:iCs w:val="1"/>
          <w:color w:val="auto"/>
        </w:rPr>
        <w:t>Nu Skin Facial Spa</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i w:val="1"/>
          <w:iCs w:val="1"/>
          <w:color w:val="auto"/>
        </w:rPr>
        <w:t>Nu Skin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RenuSpa iO </w:t>
      </w:r>
      <w:r>
        <w:rPr>
          <w:rFonts w:ascii="Times New Roman" w:cs="Times New Roman" w:eastAsia="Times New Roman" w:hAnsi="Times New Roman"/>
          <w:sz w:val="18"/>
          <w:szCs w:val="18"/>
          <w:color w:val="auto"/>
        </w:rPr>
        <w:t>devices for over-the-counter use. We have registered</w:t>
      </w:r>
      <w:r>
        <w:rPr>
          <w:rFonts w:ascii="Times New Roman" w:cs="Times New Roman" w:eastAsia="Times New Roman" w:hAnsi="Times New Roman"/>
          <w:sz w:val="18"/>
          <w:szCs w:val="18"/>
          <w:i w:val="1"/>
          <w:iCs w:val="1"/>
          <w:color w:val="auto"/>
        </w:rPr>
        <w:t xml:space="preserve"> ageLOC Boost </w:t>
      </w:r>
      <w:r>
        <w:rPr>
          <w:rFonts w:ascii="Times New Roman" w:cs="Times New Roman" w:eastAsia="Times New Roman" w:hAnsi="Times New Roman"/>
          <w:sz w:val="18"/>
          <w:szCs w:val="18"/>
          <w:color w:val="auto"/>
        </w:rPr>
        <w:t>as a medical device in Thailand, and we are seeking medical device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registration in Thailand for </w:t>
      </w:r>
      <w:r>
        <w:rPr>
          <w:rFonts w:ascii="Times New Roman" w:cs="Times New Roman" w:eastAsia="Times New Roman" w:hAnsi="Times New Roman"/>
          <w:sz w:val="18"/>
          <w:szCs w:val="18"/>
          <w:i w:val="1"/>
          <w:iCs w:val="1"/>
          <w:color w:val="auto"/>
        </w:rPr>
        <w:t>Nu Skin WellSpa iO</w:t>
      </w:r>
      <w:r>
        <w:rPr>
          <w:rFonts w:ascii="Times New Roman" w:cs="Times New Roman" w:eastAsia="Times New Roman" w:hAnsi="Times New Roman"/>
          <w:sz w:val="18"/>
          <w:szCs w:val="18"/>
          <w:color w:val="auto"/>
        </w:rPr>
        <w:t xml:space="preserve">. We have been subject to regulatory inquiries in the United States, Japan and other markets with respect to the status of the </w:t>
      </w:r>
      <w:r>
        <w:rPr>
          <w:rFonts w:ascii="Times New Roman" w:cs="Times New Roman" w:eastAsia="Times New Roman" w:hAnsi="Times New Roman"/>
          <w:sz w:val="18"/>
          <w:szCs w:val="18"/>
          <w:i w:val="1"/>
          <w:iCs w:val="1"/>
          <w:color w:val="auto"/>
        </w:rPr>
        <w:t>Pharmanex BioPhotonic Scanner</w:t>
      </w:r>
      <w:r>
        <w:rPr>
          <w:rFonts w:ascii="Times New Roman" w:cs="Times New Roman" w:eastAsia="Times New Roman" w:hAnsi="Times New Roman"/>
          <w:sz w:val="18"/>
          <w:szCs w:val="18"/>
          <w:color w:val="auto"/>
        </w:rPr>
        <w:t xml:space="preserve"> as a non-medical device. Any determination that medical device clearance is required for one of our products, in a market where we currently market and sell such product as a cosmetic or non-medical device, could require us to expend significant time and resources in order to meet the additional stringent standards imposed on medical device companies or prevent us from marketing the product.</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Under applicable direct selling regulations in Mainland China, our </w:t>
      </w:r>
      <w:r>
        <w:rPr>
          <w:rFonts w:ascii="Times New Roman" w:cs="Times New Roman" w:eastAsia="Times New Roman" w:hAnsi="Times New Roman"/>
          <w:sz w:val="18"/>
          <w:szCs w:val="18"/>
          <w:i w:val="1"/>
          <w:iCs w:val="1"/>
          <w:color w:val="auto"/>
        </w:rPr>
        <w:t>Pharmanex BioPhotonic Scanner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ageLOC LumiSpa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ageLOC Galvanic Facial 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ageLOC WellSpa iO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ageLOC Body Spa </w:t>
      </w:r>
      <w:r>
        <w:rPr>
          <w:rFonts w:ascii="Times New Roman" w:cs="Times New Roman" w:eastAsia="Times New Roman" w:hAnsi="Times New Roman"/>
          <w:sz w:val="18"/>
          <w:szCs w:val="18"/>
          <w:color w:val="auto"/>
        </w:rPr>
        <w:t>systems are registered as “health care equipment” or “household appliances,” which enables us to market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them through our direct sales channel in that market. The process for registering products for the direct sales channel in Mainland China is subject to delays. However, this process and registration requirement do not apply to all of our sales channels in Mainland China; although our independent direct sellers are prohibited from earning commissions by selling products that are not so registered, sales by our sales employees or independent marketers are not subject to this requirement. Please refer to Item 1A. Risk Factors for more information on the regulatory risks associated with our device products.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markets for our products are highly competitive. Our competitors include a broad array of marketers of beauty and wellness products and pharmaceutical companies, many of which have longer operating histories and greater name recognition and financial resources than we do. We compete in these markets by emphasizing the innovation, value and premium quality of our products and the reach, convenience and customer servicing of our distribution system.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Selling</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compete with other direct selling companies, some of which have a longer operating history, and greater visibility, name recognition and financial resources than we do. Leading global direct selling companies include Amway, Natura &amp; Co and Herbalife. We also compete with local direct selling companies in the markets in which we operate. We compete with these companies to attract and retain our sales force and consumers based on the strength of our product offerings, sales compensation, multiple business opportunities, management and international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RHYZ COMPANIES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core Nu Skin business, we also explore new areas of synergistic and adjacent growth through our business arm known as Rhyz Inc. Our Rhyz businesses, which are reported in two segments, primarily consist of the following consumer, technology and manufacturing companies: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Rhyz Manufacturing Segment:</w:t>
      </w:r>
    </w:p>
    <w:p>
      <w:pPr>
        <w:spacing w:after="0" w:line="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 Nutraceuticals LLC, dba Elevate Health Sciences—a manufacturer of private-label dietary supplements.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Ingredient Innovations International Company, dba 3i Solutions—a manufacturer of dietary supplements.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L&amp;W Holdings, Inc., dba CasePak—a packaging company that consults with product developers to design and develop custom packaging.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Wasatch Product Development, LLC—a developer and manufacturer of personal care products, dietary supplements and functional foods.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Rhyz Other Segment:</w:t>
      </w:r>
    </w:p>
    <w:p>
      <w:pPr>
        <w:spacing w:after="0" w:line="2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Beauty Biosciences LLC—a beauty company that sells its products through digital and retail channels.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LifeDNA, Inc.—a DNA assessment and recommendation technology company that we believe holds potential for our broader personalization strategy.</w:t>
      </w:r>
    </w:p>
    <w:p>
      <w:pPr>
        <w:ind w:left="660" w:hanging="328"/>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MyFavoriteThings, Inc., dba Mavely—a social commerce platform that offers creators a suite of social selling tools to help them promote products from Mavely partner brands and retailers and earn a commission for their converted sales.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the Rhyz companies generated $216.6 million, or 11%, of our 2023 reported revenue (excluding sales to our core Nu Skin business). Rhyz is a key component of our business, and we anticipate its continued growth in the coming years both on an absolute basis and as a percentage of our consolidated revenue. These companies enable us to diversify our revenue mix, serve more customers where they shop, and create synergies for our owned and partner brands.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had approximately 3,700 full- and part-time employees worldwide. This does not include approximately 11,500 sales employees in our Mainland China operations. Although we have statutory employee representation obligations in certain markets, our employees are generally not represented by labor unions except where expressly required by law. We believe that our relationship with our employees is good, and we do not foresee a shortage in qualified personnel necessary to operate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human capital objectives include the following:</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Culture. </w:t>
      </w:r>
      <w:r>
        <w:rPr>
          <w:rFonts w:ascii="Times New Roman" w:cs="Times New Roman" w:eastAsia="Times New Roman" w:hAnsi="Times New Roman"/>
          <w:sz w:val="18"/>
          <w:szCs w:val="18"/>
          <w:color w:val="auto"/>
        </w:rPr>
        <w:t>All of our full- and part-time employees are responsible for upholding the Nu Skin Code of Conduct and for striving to perpetuate the Nu Skin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Way, our global culture aspiration, which includes the following principles: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A force for good</w:t>
            </w:r>
          </w:p>
        </w:tc>
        <w:tc>
          <w:tcPr>
            <w:tcW w:w="19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and decisive</w:t>
            </w:r>
          </w:p>
        </w:tc>
      </w:tr>
      <w:tr>
        <w:trPr>
          <w:trHeight w:val="216"/>
        </w:trPr>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Accountable and empowered</w:t>
            </w:r>
          </w:p>
        </w:tc>
        <w:tc>
          <w:tcPr>
            <w:tcW w:w="19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Exceptional</w:t>
            </w:r>
          </w:p>
        </w:tc>
      </w:tr>
      <w:tr>
        <w:trPr>
          <w:trHeight w:val="216"/>
        </w:trPr>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Bold innovators</w:t>
            </w:r>
          </w:p>
        </w:tc>
        <w:tc>
          <w:tcPr>
            <w:tcW w:w="19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Fast speed</w:t>
            </w:r>
          </w:p>
        </w:tc>
      </w:tr>
      <w:tr>
        <w:trPr>
          <w:trHeight w:val="234"/>
        </w:trPr>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obsessed</w:t>
            </w:r>
          </w:p>
        </w:tc>
        <w:tc>
          <w:tcPr>
            <w:tcW w:w="19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One global team</w:t>
            </w:r>
          </w:p>
        </w:tc>
      </w:tr>
      <w:tr>
        <w:trPr>
          <w:trHeight w:val="570"/>
        </w:trPr>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2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15</w:t>
            </w:r>
          </w:p>
        </w:tc>
        <w:tc>
          <w:tcPr>
            <w:tcW w:w="5040" w:type="dxa"/>
            <w:vAlign w:val="bottom"/>
          </w:tcPr>
          <w:p>
            <w:pPr>
              <w:spacing w:after="0"/>
              <w:rPr>
                <w:sz w:val="24"/>
                <w:szCs w:val="24"/>
                <w:color w:val="auto"/>
              </w:rPr>
            </w:pPr>
          </w:p>
        </w:tc>
      </w:tr>
      <w:tr>
        <w:trPr>
          <w:trHeight w:val="44"/>
        </w:trPr>
        <w:tc>
          <w:tcPr>
            <w:tcW w:w="80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Hiring, Engagement, Development and Retention. </w:t>
      </w:r>
      <w:r>
        <w:rPr>
          <w:rFonts w:ascii="Times New Roman" w:cs="Times New Roman" w:eastAsia="Times New Roman" w:hAnsi="Times New Roman"/>
          <w:sz w:val="18"/>
          <w:szCs w:val="18"/>
          <w:color w:val="auto"/>
        </w:rPr>
        <w:t>We seek to hire and retain employees with the talents and capabilities to succeed at our company.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 of competition for qualified employees is high, owing to employment market trends both internationally and in Utah, where our corporate headquarters are located and which has one of the lowest unemployment rates in the United States. These conditions have made it more difficult for us to fill some job positions and retain employees. We address this issue by building a strong employer brand, allowing remote work options to reach potential employees in other locations, and providing competitive compensation and benefits. In addition, our hiring and retention efforts must be consistent with our overall business size and strategy. During 2023, we engaged in restructuring initiatives, in which we canceled some open job positions and reduced our employee headcount to enable us to operate more efficiently.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Developing our employees and keeping them engaged is crucial. We pursue these objectives by providing leadership training, encouraging managers to conduct one-on-one meetings with employees, holding town hall meetings to promote dialogue between management and employees, and reinforcing the Nu Skin Way to maintain an invigorating and attractive culture. We conduct a global employee experience survey every six months to obtain our employees’ feedback, which helps to guide our human capital initiatives and to maintain robust employee engagement.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Diversity, Equity and Inclusion. </w:t>
      </w:r>
      <w:r>
        <w:rPr>
          <w:rFonts w:ascii="Times New Roman" w:cs="Times New Roman" w:eastAsia="Times New Roman" w:hAnsi="Times New Roman"/>
          <w:sz w:val="18"/>
          <w:szCs w:val="18"/>
          <w:color w:val="auto"/>
        </w:rPr>
        <w:t>We believe a diverse, equitable and inclusive work environment allows us to benefit from unique perspectives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vitality, creativity, new ideas and growth. We are committed to our Diversity, Equity and Inclusion vision statement: “We are a force for good as we seek, develop, and empower diverse individuals and perspectives. We aspire to be a global community where every employee, entrepreneur, and consumer knows and feels they belong.”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employee resource groups to help ensure that under-represented populations feel welcome at Nu Skin, including people of color, women and LGBTQIA+ individuals. Our Healthy Workplace Policy also aims to cultivate a culture of mutual respect and to provide all employees a work environment free from harassment, discrimination and unprofessional behavior. Our employees receive training on their responsibility in this important area, and we make a Healthy Workplace Hotline available for employees to report concerns anonymously.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incorporate DEI practices into our hiring process. We conduct training to create awareness of unintentional biases that may be present in the hiring process. We work to ensure the wording of our job postings is inclusive and utilize multiple broad-based candidate search engines to expand our talent pools and increase our access to diverse candidates.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Health and Well-Being. </w:t>
      </w:r>
      <w:r>
        <w:rPr>
          <w:rFonts w:ascii="Times New Roman" w:cs="Times New Roman" w:eastAsia="Times New Roman" w:hAnsi="Times New Roman"/>
          <w:sz w:val="18"/>
          <w:szCs w:val="18"/>
          <w:color w:val="auto"/>
        </w:rPr>
        <w:t>Our employees’ health and well-being is an essential component of our human capital management strategy.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“The Best You” wellness program in the United States to improve the quality of each employee’s physical, emotional, intellectual and financial wellness by encouraging and incentivizing healthy lifestyle practices through health screenings, prevention programs and education. Our employees also receive free product benefits, including our wellness products. Employees at our corporate headquarters also have access to an on-site gym, as well as our employee assistance program, which includes free counseling services. Employees in our global markets also receive benefits and other services focused on maintaining health and well-being.</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Board’s committees engage with our senior management and head of Human Resources regarding human capital management on a regular basis. Working with management, our Board’s committees oversee and receive reports on matters including culture, compensation, benefits, key talent succession planning, employee engagement, and DEI. In addition, each year, our management reports to the Compensation and Human Capital Committee on management’s annual assessment of risks related to our compensation policies and practices.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our employees, our human capital resources also include our sales force. For information about our sales force, see Item 1. Business —“Distribution Channel.”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 (the “SEC”).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employees, officers and directors, including those of our subsidiaries. Our Code of Conduct is available in the “Governance” section of our Investor Relations website at ir.nuskin.com. In addition, stockholders may obtain a copy, free of charge, by making a written request to Investor Relations, Nu Skin Enterprises, Inc., 75 West Center Street, Provo, Utah 84601. Any amendments or waivers (including implicit waivers) regarding the Code of Conduct requiring disclosure under applicable SEC rules or NYSE listing standards will be disclosed in the same section of our website.</w:t>
      </w:r>
    </w:p>
    <w:p>
      <w:pPr>
        <w:sectPr>
          <w:pgSz w:w="11900" w:h="16838" w:orient="portrait"/>
          <w:cols w:equalWidth="0" w:num="1">
            <w:col w:w="11240"/>
          </w:cols>
          <w:pgMar w:left="320" w:top="115"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as of February 14,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18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J. Lund</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80" w:type="dxa"/>
            <w:vAlign w:val="bottom"/>
            <w:tcBorders>
              <w:top w:val="single" w:sz="8" w:color="CCEEFF"/>
            </w:tcBorders>
            <w:shd w:val="clear" w:color="auto" w:fill="CCEEFF"/>
          </w:tcPr>
          <w:p>
            <w:pPr>
              <w:spacing w:after="0"/>
              <w:rPr>
                <w:sz w:val="18"/>
                <w:szCs w:val="18"/>
                <w:color w:val="auto"/>
              </w:rPr>
            </w:pPr>
          </w:p>
        </w:tc>
        <w:tc>
          <w:tcPr>
            <w:tcW w:w="8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S. Napierski</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8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D. Thomas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8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Chayce D. Clark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8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r>
        <w:trPr>
          <w:trHeight w:val="216"/>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K. Hatchett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8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Chief Product Officer</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Steven J. Lund </w:t>
      </w:r>
      <w:r>
        <w:rPr>
          <w:rFonts w:ascii="Times New Roman" w:cs="Times New Roman" w:eastAsia="Times New Roman" w:hAnsi="Times New Roman"/>
          <w:sz w:val="18"/>
          <w:szCs w:val="18"/>
          <w:color w:val="auto"/>
        </w:rPr>
        <w:t>has served as Executive Chairman of our board of directors since 2012. Mr. Lund previously served as Vice Chairman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from 2006 to 2012 and as President, Chief Executive Officer and a member of our board of directors from 1996, when we went public, until 2003. Mr. Lund is a trustee of the Nu Skin Force for Good Foundation, a charitable organization established in 1996 by our company to help encourage and drive the philanthropic efforts of our company and its sales force and employees to enrich the lives of others. Mr. Lund worked as an attorney in private practice prior to joining our company as Vice President and General Counsel. He received a B.A. degree from Brigham Young University and a J.D. degree from Brigham Young University’s J. Reuben Clark Law School.</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Ryan S. Napierski </w:t>
      </w:r>
      <w:r>
        <w:rPr>
          <w:rFonts w:ascii="Times New Roman" w:cs="Times New Roman" w:eastAsia="Times New Roman" w:hAnsi="Times New Roman"/>
          <w:sz w:val="18"/>
          <w:szCs w:val="18"/>
          <w:color w:val="auto"/>
        </w:rPr>
        <w:t>has served as our Company’s President since 2017 and as our CEO since 2021. Previously, he served as President of Global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from 2015 to 2017. Prior to serving in that position, he served as both President of our North Asia region since 2014 and President of Nu Skin Japan since 2010. Mr. Napierski has fulfilled multiple leadership positions for Nu Skin since joining our company in 1995, including Vice President of Business Development for Nu Skin EMEA and General Manager of the United Kingdom. Mr. Napierski has a Bachelor’s degree in business, a Master of Business Administration degree from Duke University and a Master’s degree in international business from Goethe Universitat in Germany.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James D. Thomas </w:t>
      </w:r>
      <w:r>
        <w:rPr>
          <w:rFonts w:ascii="Times New Roman" w:cs="Times New Roman" w:eastAsia="Times New Roman" w:hAnsi="Times New Roman"/>
          <w:sz w:val="18"/>
          <w:szCs w:val="18"/>
          <w:color w:val="auto"/>
        </w:rPr>
        <w:t>has served as our Chief Financial Officer since July 2023. Immediately preceding his appointment as CFO in July 2023, he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CFO since March 2023 and as Senior Vice President and Chief Accounting Officer since 2019. He previously served as our Vice President of Finance and Accounting from 2017 until his promotion to Chief Accounting Officer. Since joining Nu Skin in 2010, he also has served as Corporate Controller and as an Internal Auditor. Before joining Nu Skin, he worked as an assistant controller of another publicly reporting company and served in the assurance practice at PricewaterhouseCoopers LLP. Mr. Thomas holds B.S. and Master of Accounting degrees from Utah State University.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Chayce D. Clark </w:t>
      </w:r>
      <w:r>
        <w:rPr>
          <w:rFonts w:ascii="Times New Roman" w:cs="Times New Roman" w:eastAsia="Times New Roman" w:hAnsi="Times New Roman"/>
          <w:sz w:val="18"/>
          <w:szCs w:val="18"/>
          <w:color w:val="auto"/>
        </w:rPr>
        <w:t>has served as our Executive Vice President and General Counsel since 2021. Mr. Clark joined our company in 2015 as Assistant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and later served as Vice President and Deputy General Counsel before beginning his current role. Prior to joining our company, he was a litigation attorney in private practice in Salt Lake City, Utah. He received a B.S. degree from Southern Utah University and a J.D. degree from the University of Utah.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Steven K. Hatchett </w:t>
      </w:r>
      <w:r>
        <w:rPr>
          <w:rFonts w:ascii="Times New Roman" w:cs="Times New Roman" w:eastAsia="Times New Roman" w:hAnsi="Times New Roman"/>
          <w:sz w:val="18"/>
          <w:szCs w:val="18"/>
          <w:color w:val="auto"/>
        </w:rPr>
        <w:t>joined our company in 2018 and served as Senior Vice President of Global Manufacturing until 2021, when he began serving 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Global Products. He became Executive Vice President and Chief Product Officer in 2022. From 2015 to 2018, he served as CEO of a nutritional supplement manufacturer that our company acquired in 2018, at which time he began serving as president until December 2020. Previously, he served as vice president of manufacturing and product innovation at Forever Living Products, and as CEO and president at Cornerstone Research and Development.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 Summary</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are providing the following summary of the risk factors contained in this Annual Report on Form 10-K to enhance the readability and accessibility of our risk factor disclosures. We encourage you to carefully review the full risk factors contained after this summary for additional information regarding the material factors that make an investment in our securities speculative or risky. These risks include the following: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Associated with Direct Selling and Our Sales Force</w:t>
      </w:r>
    </w:p>
    <w:p>
      <w:pPr>
        <w:spacing w:after="0" w:line="2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the form of our network marketing system or to our business practices could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may prohibit or severely restrict direct selling and cause our revenue and profitability to decline, and regulators could adopt new regulations that harm our business.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sales force actions could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platforms’ decisions to prohibit, block or decrease the prominence of our sales force’s content could harm our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business practices or policies or the actions of our sales force are deemed to be in violation of applicable local regulations regarding foreigners, then we could be sanctioned and/or required to change our business model, which could significantly harm our business.</w:t>
      </w: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compensation plans or other incentives could be viewed negatively by some of our sales force, could be restricted by government regulators, and could fail to achieve desired long-term results and have a negative impact on revenue.</w:t>
      </w: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the amount of sales compensation we pay could inhibit our ability to attract and retain our sales force, negatively impact our revenue and cause regulatory risks.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held responsible for certain taxes, assessments and other requirements relating to the activities of our sales force, which could harm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condition and operating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Associated with Our Operations in Mainland China</w:t>
      </w:r>
    </w:p>
    <w:p>
      <w:pPr>
        <w:spacing w:after="0" w:line="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 Mainland China are subject to significant government scrutiny, and we could be subject to fines or other penalties.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direct selling regulations in Mainland China are modified, interpreted or enforced in a manner that results in negative changes to our business model or the imposition of a range of potential penalties, our business could be significantly negatively impacted.</w:t>
      </w: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in Mainland China could be negatively impacted if we are unable to obtain additional necessary national and local government approvals in Mainland China.</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register products for sale in Mainland China, our business could be harmed.</w:t>
      </w:r>
    </w:p>
    <w:p>
      <w:pPr>
        <w:spacing w:after="0" w:line="207" w:lineRule="exact"/>
        <w:rPr>
          <w:sz w:val="20"/>
          <w:szCs w:val="20"/>
          <w:color w:val="auto"/>
        </w:rPr>
      </w:pPr>
    </w:p>
    <w:p>
      <w:pPr>
        <w:ind w:left="660" w:right="2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products, platforms, business opportunities and other initiatives to gain or maintain sales force and market acceptance could harm our business, and trends among older and younger generations of customers contribute to this risk.</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 economic conditions could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markets are intensely competitive, and market conditions and the strengths of competitors may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concerning our business, marketing plan, products or people could harm our business and reputation.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diversion may have a negative impact on our business.</w:t>
      </w:r>
    </w:p>
    <w:p>
      <w:pPr>
        <w:spacing w:after="0" w:line="207" w:lineRule="exact"/>
        <w:rPr>
          <w:sz w:val="20"/>
          <w:szCs w:val="20"/>
          <w:color w:val="auto"/>
        </w:rPr>
      </w:pPr>
    </w:p>
    <w:p>
      <w:pPr>
        <w:ind w:right="3760" w:firstLine="332"/>
        <w:spacing w:after="0" w:line="261"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Epidemics and other crises have negatively impacted our business and may do so in the future. </w:t>
      </w:r>
      <w:r>
        <w:rPr>
          <w:rFonts w:ascii="Times New Roman" w:cs="Times New Roman" w:eastAsia="Times New Roman" w:hAnsi="Times New Roman"/>
          <w:sz w:val="18"/>
          <w:szCs w:val="18"/>
          <w:i w:val="1"/>
          <w:iCs w:val="1"/>
          <w:color w:val="auto"/>
        </w:rPr>
        <w:t>International Risks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business in international markets may be affected by political, legal, tax and regulatory risks.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financial risks as a result of our international operations, including exposure to foreign-currency fluctuations, currency controls and inflation in foreign markets, all of which could impact our financial position and results of operations.</w:t>
      </w:r>
    </w:p>
    <w:p>
      <w:pPr>
        <w:ind w:left="66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to tariff and import/export regulations, and trade disputes between the United States and other jurisdictions may have a negative effect on global economic conditions and our business, financial results and financial condition.</w:t>
      </w:r>
    </w:p>
    <w:p>
      <w:pPr>
        <w:spacing w:after="0" w:line="181" w:lineRule="exact"/>
        <w:rPr>
          <w:sz w:val="20"/>
          <w:szCs w:val="20"/>
          <w:color w:val="auto"/>
        </w:rPr>
      </w:pPr>
    </w:p>
    <w:p>
      <w:pPr>
        <w:ind w:left="660" w:right="2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existing sales force and recruit additional people to join our sales force, our revenue may not increase and may even decline.</w:t>
      </w:r>
    </w:p>
    <w:p>
      <w:pPr>
        <w:ind w:left="660" w:right="2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key personnel and Sales Leaders, and the loss of the services provided by any of our executive officers, other key employees or key Sales Leaders could harm our business and results of operations.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Associated with Our Manufacturing and Operations</w:t>
      </w:r>
    </w:p>
    <w:p>
      <w:pPr>
        <w:spacing w:after="0" w:line="29" w:lineRule="exact"/>
        <w:rPr>
          <w:sz w:val="20"/>
          <w:szCs w:val="20"/>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difficulties, quality control problems, inaccurate forecasting, shortages in ingredients, and reliance on our suppliers could harm our business.</w:t>
      </w:r>
    </w:p>
    <w:p>
      <w:pPr>
        <w:ind w:left="660" w:right="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a disruption in our manufacturing, supply chain and distribution operations, or significant expenses or violations incurred by such operations, could adversely affect our business.</w:t>
      </w: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impacted if we fail to execute our product launch process or ongoing product sales due to difficulty in forecasting or increased pressure on our supply chain, information systems and management.</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our growth in certain markets, our business and operations could be harmed.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capacity constraints and other information technology difficulties could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companies or future acquisitions may expose us to additional risks.</w:t>
      </w:r>
    </w:p>
    <w:p>
      <w:pPr>
        <w:spacing w:after="0" w:line="207" w:lineRule="exact"/>
        <w:rPr>
          <w:sz w:val="20"/>
          <w:szCs w:val="20"/>
          <w:color w:val="auto"/>
        </w:rPr>
      </w:pP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products, including the formulation, registration, pre-approval, marketing and sale of our products, could harm our business.</w:t>
      </w: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and private party actions relating to the marketing and advertising of our products and services may restrict, inhibit or delay our ability to sell our products and harm our business.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harmed if we or our vendors fail to comply with Good Manufacturing Practices.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or any future device products are determined to be medical devices in a particular geographic market, or if our sales force uses these products for medical purposes or makes improper medical claims, our ability to continue to market and distribute such devices could be harmed, and we could face legal or regulatory actions.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product liability claims that could harm our business.</w:t>
      </w:r>
    </w:p>
    <w:p>
      <w:pPr>
        <w:spacing w:after="0" w:line="20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legal proceedings and other matters that could adversely affect our operations or financial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anti-corruption laws could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our internal controls over financial reporting or our regulatory compliance efforts could harm our stock price and our financial and operating results or could result in fines or penalties.</w:t>
      </w:r>
    </w:p>
    <w:p>
      <w:pPr>
        <w:spacing w:after="0" w:line="181" w:lineRule="exact"/>
        <w:rPr>
          <w:sz w:val="20"/>
          <w:szCs w:val="20"/>
          <w:color w:val="auto"/>
        </w:rPr>
      </w:pPr>
    </w:p>
    <w:p>
      <w:pPr>
        <w:jc w:val="both"/>
        <w:ind w:left="660" w:hanging="328"/>
        <w:spacing w:after="0" w:line="25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changes in tax and customs laws, changes in our tax rates, the adoption of new U.S. or international tax legislation or exposure to additional tax liabilities, which could have a material and adverse impact on our effective tax rate, operating results, cash flows and financial condition.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authorities may question our tax or customs positions or change their laws in a manner that could increase our effective tax rate or otherwise harm our business.</w:t>
      </w:r>
    </w:p>
    <w:p>
      <w:pPr>
        <w:ind w:left="660" w:hanging="328"/>
        <w:spacing w:after="0" w:line="26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business could adversely affect our financial position and liquidity, and our debt covenants could limit our ability to pursue transactions or other opportunities that could be beneficial to our business.</w:t>
      </w:r>
    </w:p>
    <w:p>
      <w:pPr>
        <w:spacing w:after="0" w:line="18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of infringement on the intellectual property rights or trade secrets of others, resulting in costly litigation.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rights or our proprietary information and know-how, our ability to compete could be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negatively impacted and the value of our products could be adversely affected.</w:t>
      </w:r>
    </w:p>
    <w:p>
      <w:pPr>
        <w:spacing w:after="0" w:line="207" w:lineRule="exact"/>
        <w:rPr>
          <w:sz w:val="20"/>
          <w:szCs w:val="20"/>
          <w:color w:val="auto"/>
        </w:rPr>
      </w:pPr>
    </w:p>
    <w:p>
      <w:pPr>
        <w:jc w:val="both"/>
        <w:ind w:left="660" w:hanging="328"/>
        <w:spacing w:after="0" w:line="257"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satisfactory compliance with certain privacy and data protections laws and regulations, and the integrity of company, employee, sales force, customer or guest data could expose us to litigation, liability, substantial negative financial consequences and harm to our reputation.</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access, use, theft or destruction of our information systems or of data that is stored in our information systems or by third parties on our behalf could impact our reputation and brand and expose us to potential liability and loss of revenues.</w:t>
      </w:r>
    </w:p>
    <w:p>
      <w:pPr>
        <w:spacing w:after="0" w:line="181" w:lineRule="exact"/>
        <w:rPr>
          <w:sz w:val="20"/>
          <w:szCs w:val="20"/>
          <w:color w:val="auto"/>
        </w:rPr>
      </w:pPr>
    </w:p>
    <w:p>
      <w:pPr>
        <w:ind w:right="3780" w:firstLine="332"/>
        <w:spacing w:after="0" w:line="261"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business could be negatively impacted by corporate citizenship and sustainability matters. </w:t>
      </w:r>
      <w:r>
        <w:rPr>
          <w:rFonts w:ascii="Times New Roman" w:cs="Times New Roman" w:eastAsia="Times New Roman" w:hAnsi="Times New Roman"/>
          <w:sz w:val="18"/>
          <w:szCs w:val="18"/>
          <w:i w:val="1"/>
          <w:iCs w:val="1"/>
          <w:color w:val="auto"/>
        </w:rPr>
        <w:t>Risks Related to Our Common Stock</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is subject to significant fluctuations due to a number of factors that are beyond our control.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We face a number of substantial risks. Our business, financial condition or results of operations could be harmed by any of these risks. The trading price of our common stock could decline due to any of these risks, which should be considered together with the other items in this Annual Report on Form 10-K, including Item 1. Business and Item 7. Management’s Discussion and Analysis of Financial Condition and Results of Operations.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Direct Selling and Our Sales Force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Challenges to the form of our network marketing system or to our business practices could harm our business.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 subject to challenges by government regulators regarding the form of our network marketing system. Legal and regulatory requirements concerning the direct selling industry generally do not include “bright line” rules and are inherently fact-based and subject to interpretation. As a result, regulators and courts have discretion in their application of these laws and regulations, and the enforcement or interpretation of these laws and regulations by government agencies or courts can change.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past several years, settlements and other judicial orders between the U.S. Federal Trade Commission (“FTC”) and other direct selling companies and guidance from the FTC have addressed inappropriate earnings and lifestyle claims, problematic compensation structures and the importance of focusing on consumers. These developments have created ambiguity as to the proper interpretation of the law and related court decisions. The FTC has been active in its enforcement activities, and any adverse rulings or legal actions could impact our business if direct selling laws or anti-pyramid laws are interpreted more narrowly or in a manner that results in additional burdens or restrictions on direct selling companies. For example:</w:t>
      </w:r>
    </w:p>
    <w:p>
      <w:pPr>
        <w:spacing w:after="0" w:line="183" w:lineRule="exact"/>
        <w:rPr>
          <w:sz w:val="20"/>
          <w:szCs w:val="20"/>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the FTC took aggressive actions against a multi-level marketing company, alleging an illegal business model and inappropriate earnings claims.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the FTC entered into a settlement with a multi-level marketing company, requiring the company to modify its business model, including basing sales compensation and qualification only on sales to retail and preferred customers and on purchases by a distributor for personal consumption within allowable limits. Although this settlement does not represent judicial precedent or a new FTC rule, the FTC has indicated that the industry should look at this settlement, and the principles underlying its specific measures, for guidance.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FTC entered into a settlement with a multi-level marketing company, alleging an illegal business model and compensation structure and inappropriate earnings claims. The company agreed to a prohibition from engaging in multi-level marketing.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2020 to 2022, the FTC issued letters that warned several direct-selling companies to remove and address claims that they or members of their sales force were making about their products’ ability to treat, cure or prevent COVID-19 and/or about the earnings that people who suffered the loss of a job or income could make.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FTC sent a notice to more than 1,100 companies, including us, that outlined several practices that the FTC determined to be unfair or deceptive in prior administrative cases. These practices relate to earnings claims, other money-making opportunity claims, and endorsements and testimonials. Pursuant to the FTC’s “penalty offense authority,” companies that received the notice are expected to comply with the standards set in the prior administrative cases and could incur significant civil penalties if they or their representatives fail to do so.</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FTC issued an Advanced Notice of Proposed Rulemaking (“ANPR”) indicating that it is considering proposing a rule regarding earnings claims. The ANPR also suggested, among other things, that the FTC would likely not consider a disclaimer (such as “results not typical”) to be sufficient to correct a misleading impression from an atypical earnings claim.</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FTC won a suit against various entities and individuals involved in two multi-level marketing programs, alleging illegal business models and inappropriate earnings claims. The defendants were permanently barred from engaging in multi-level marketing programs.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take steps to educate our sales force on proper claims, if members of our sales force make improper claims, or if regulators determine we are making any improper claims, this could lead to an FTC investigation and could harm our business. In this regard, FTC’s increased scrutiny of disclaimers, as discussed in the ANPR, could lead to more FTC actions regarding improper claims.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the requirements related to compensation structures in the actions listed above lead to new industry standards or new rules, or if they limit the levels in the network for which payments can be made, our business could be impacted and we may need to amend our global sales compensation plan. With a majority of our revenue in the United States coming from sales to retail customers and preferred customers, we believe that we can demonstrate consumer demand for our products, but we continue to monitor developments to assess whether we should make any changes to our business or global sales compensation plan. If we are required to make changes or if the FTC seeks to enforce similar measures in the industry, either through rulemaking or an enforcement action against our company, our business could be harmed.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also are subject to challenges by private parties in civil actions. We are aware of civil actions against other direct-selling companies in the United States that have resulted, and may in the future result, in significant settlements. Allegations directed at us and our competitors regarding the legality of multi-level marketing in various markets and adverse media reports have also created intense public scrutiny of us and our industry. Our business has also been subject to formal and informal inquiries from various government regulatory authorities in the past regarding our business and our compliance with local laws and regulations. Consumer protection groups also generate media and regulatory scrutiny of companies in our industry through regulatory referrals and other channels of publicity. All of these actions and any future scrutiny of us or our industry could generate negative publicity or further regulatory actions that could result in fines, restrict our ability to conduct our business in our various markets, enter into new markets, motivate our sales force and attract consumers.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Laws and regulations may prohibit or severely restrict direct selling and cause our revenue and profitability to decline, and regulators could adopt new regulations that harm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government agencies throughout the world regulate direct sales practices. Laws and regulations in the United States, Japan, South Korea, Vietnam and Mainland China are particularly stringent and subject to broad discretion in enforcement by regulators. These laws and regulations are generally intended to prevent fraudulent or deceptive schemes, often referred to as “pyramid schemes,” that compensate participants primarily for recruiting additional participants without significant emphasis on product sales to consumers. The laws and regulations in our current markets often:</w:t>
      </w:r>
    </w:p>
    <w:p>
      <w:pPr>
        <w:spacing w:after="0" w:line="180" w:lineRule="exact"/>
        <w:rPr>
          <w:sz w:val="20"/>
          <w:szCs w:val="20"/>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requirements related to sign-up, order cancellations, product returns, inventory buy-backs and cooling-off periods for our sales force and consumers;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or our sales force, to register with government agencies;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limits on the amount and type of sales compensation we can pay;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reporting requirements;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our sales force is compensated for selling products and not for recruiting others.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Complying with these widely varying and sometimes inconsistent rules and regulations can be difficult, time-consuming and expensive, and requires significant resources. The laws and regulations governing direct selling are modified from time to time, and like other direct selling companies, we are subject from time to time to government inquiries and investigations in our various markets related to our direct selling activities. This can require us to make changes to our business model and aspects of our sales compensation plan in the markets impacted by such changes and investigations. During 2021, the FTC announced that it is initiating a review of its Business Opportunity Rule, which imposes certain obligations on business opportunity sellers in their dealings with prospective buyers; the FTC issued a request for public comment on this rule in November 2022. Currently, multi-level marketing companies have been deemed not covered by this rule. If this changes or if new regulations are adopted for multi-level marketing companies, it could negatively impact the growth of our sales force and our revenue. In addition, markets where we currently do business could change their laws or regulations to prohibit direct selling. If we are unable to obtain necessary licenses and certifications within required deadlines or continue business in existing markets or commence operations in new markets because of these laws, our revenue and profitability may decline. Any delay could negatively impact our revenue.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Improper sales force actions could harm our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force activities that violate applicable laws, regulations or policies, or that are alleged to do so, have, and could in the future, harmed our business and reputation and resulted in government or third-party actions against 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in 2014, allegations were made by various media outlets that certain of our sales representatives in Mainland China failed to adequately follow and enforce our policies and regulations. This adverse publicity, as well as a government review and actions that we voluntarily took to address the situation, resulted in a significant negative impact on our revenue and the number of Sales Leaders and Customers in the region. Similar or more extreme actions by government agencies in Mainland China or other markets in the future could have a significant adverse impact on our business and results of operations.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direct selling industry in Japan continues to experience regulatory and media scrutiny, and other direct selling companies have been suspended from sponsoring activities. Japan imposes strict requirements regarding how Brand Affiliates approach prospective customers. From time to time, we receive information from consumer centers in certain prefectures about the number of general inquiries and complaints about us and our Brand Affiliates, and we also sometimes receive warnings to reduce such complaints. Based on this information, we continually evaluate and enhance our Brand Affiliate compliance, education and training efforts in Japan. However, we cannot be certain that our efforts will successfully prevent regulatory actions against us, including fines, suspensions or other sanctions, or that the company and the direct selling industry will not receive further negative media attention, all of which could harm our business.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in Mainland China, members of our sales force are not employees and act independently of us. The most significant area of risk for such activities relates to improper product claims and claims regarding the business opportunity of joining our sales force. For example:</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2020 to 2022, the FTC issued letters that warned several direct-selling companies to remove and address claims that they or members of their sales force were making about their products’ ability to treat, cure or prevent COVID-19 and/or about the earnings that people who suffered the loss of a job or income could make.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FTC sent a notice to more than 1,100 companies, including us, that outlined several practices that the FTC determined to be unfair or deceptive in prior administrative cases. These practices relate to earnings claims, other money-making opportunity claims, and endorsements and testimonials. Pursuant to the FTC’s “penalty offense authority,” companies that received the notice are expected to comply with the standards set in the prior administrative cases and could incur significant civil penalties if they or their representatives fail to do so.</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implement strict policies and procedures to ensure our sales force complies with legal requirements. However, given the size of our sales force, we experience problems from time to time. For example, product claims made by some of our sales force in 1990 and 1991 led to a FTC investigation that resulted in our entering into two consent agreements with the FTC and various agreements with state regulatory agencies. In addition, rulings by the South Korean Fair Trade Commission and by judicial authorities against us and other companies in South Korea indicate that, if our sales force engages in criminal activity, we may be held liable or penalized for failure to supervise them adequately. Our sales force may attempt to anticipate which markets we will open in the future and begin marketing and sponsoring activities in markets where we are not qualified to conduct business. We could face fines, suspensions or other legal action if our sales force violates applicable laws and regulations, and our reputation and brand could be negatively impacted.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our sales force increasingly uses social media and our digital tools to promote our business opportunity and products, this increases the burden on us to monitor compliance of such activities, and it increases the risk that such social media content or digital content (such as statements made on social media or within the chat feature of our apps) could contain claims that violate our policies and/or applicable regulations. For example, due to the borderless nature of social media, a claim that is allowed in one market may ultimately reach another market where it is not allowed.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media platforms’ decisions to prohibit, block or decrease the prominence of our sales force’s content could harm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Social media platforms have, and could in the future, decided to prohibit, block or decrease the prominence of our sales force’s content for any reason. For example, due to concerns with multi-level marketing, the TikTok and WhatsApp Business platforms’ community guidelines prohibit content related to multi-level marketing. In addition, Pinterest and Facebook prohibit ads that promote multi-level marketing opportunities, and Pinterest has also imposed restrictions on weight loss products, claims and photos. Our business is becoming increasingly dependent on social commerce. Additional social media platforms’ adoption of similar or stricter policies could significantly hamper our sales force’s ability to promote our products and attract consumers, which could cause our revenue to decline. Our reputation could also be harmed if our sales force violates any social media platform’s community guidelines.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our business practices or policies or the actions of our sales force are deemed to be in violation of applicable local regulations regarding foreigners, then we could be sanctioned and/or required to change our business model, which could significantly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sales force is required to comply with our residency and work authorization policies and other local legal requirements prior to working in a market. Some markets, including Mainland China and Vietnam, also prohibit or restrict participation of foreigners in direct selling activities. We have implemented policies that are designed to comply with these regulations and inform our sales force regarding the types of activities that are not permitted. However, we cannot assure that actions of our sales force will not violate local laws or regulations or our policies. If our business practices or policies or the actions of our sales force are deemed to be in violation of applicable regulations as they may be interpreted or enforced, then we could be sanctioned and/or required to change our business model, which could result in adverse publicity and significantly harm our business.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sales compensation plans or other incentives could be viewed negatively by some of our sales force, could be restricted by government regulators, and could fail to achieve desired long-term results and have a negative impact on revenue.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sales compensation includes some components that differ from market to market. We modify components of our sales compensation from time to time to keep our sales compensation plans and business models competitive and attractive to our existing sales force and people interested in joining our sales force, to address changing market dynamics, to provide incentives to our sales force that we believe will help grow our business, to conform to local regulations and to address other business needs. Because of the size of our sales force and the complexity of our sales compensation plans, it is difficult to predict how such changes will be viewed by our sales force and whether such changes will achieve their desired results. It also is difficult to predict how such changes may impact our ability to attract a larger potential target market of opportunity seekers. Certain changes we have made to our global sales compensation plan in the past, which were successful in several markets, did not achieve anticipated results in certain other markets, were not viewed positively by some segments of our sales force, and negatively impacted our business. Similarly, we face the risk that we could fail to make changes to our compensation plans that would be necessary to keep our compensation competitive with the market, compliant with changing regulations, and allow us to attract new opportunity seekers or segments of opportunity seekers, which could have a negative impact on our sales force.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been required to modify our sales compensation plan in certain markets, including South Korea and Vietnam, from time to time to remain in compliance with applicable sales compensation limits. Changes to reduce sales compensation have had a negative impact on the sales force in the past and could in the future.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Limits on the amount of sales compensation we pay could inhibit our ability to attract and retain our sales force, negatively impact our revenue and cause regulatory risks.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markets, including Mainland China, South Korea, Indonesia and Vietnam, impose limits on the amount of sales compensation we can pay to our sales force. For example, under regulations in Mainland China, direct selling companies may pay independent direct sellers in Mainland China up to a maximum 30% of the revenue they generate through their own sales of products to consumers. Additionally, in South Korea, local regulations limit sales compensation to 35% of the total price of goods or services supplied in South Korea. These regulations may limit the incentive for people to join our sales force and may reduce our ability to differentiate ourselves from our competitors in attracting and retaining our sales force.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have been required to modify our sales compensation plan in certain markets, including South Korea and Vietnam, from time to time to remain in compliance with applicable sales compensation limits. Because sales compensation, as a percentage of revenue, can fluctuate as sales force productivity fluctuates, we may be required to make further changes to stay within applicable sales compensation limits or may be at risk of exceeding them. In addition, which revenues and expenses are within the scope of these regulations is not always clear, and interpretation and enforcement of these laws are subject to change, which could require us to make further changes or result in non-compliance with these regulations. Any failure to keep sales compensation within legal limits in Mainland China, South Korea, Indonesia, Vietnam or any other market that imposes a sales compensation limit could result in fines or other sanctions, including suspensions.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held responsible for certain taxes, assessments and other requirements relating to the activities of our sales force, which could harm our financial condition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risk in some jurisdictions of being responsible for social security taxes, withholding or other taxes, minimum wage laws, and related assessments and penalties with respect to our sales force. This would occur if a jurisdiction classifies our sales force as our employees rather than as independent contractors, or if a jurisdiction expands the categories of personnel to whom these tax obligations apply.</w:t>
      </w:r>
    </w:p>
    <w:p>
      <w:pPr>
        <w:spacing w:after="0" w:line="176" w:lineRule="exact"/>
        <w:rPr>
          <w:sz w:val="20"/>
          <w:szCs w:val="20"/>
          <w:color w:val="auto"/>
        </w:rPr>
      </w:pPr>
    </w:p>
    <w:p>
      <w:pPr>
        <w:jc w:val="both"/>
        <w:ind w:left="66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interpretations regarding “independent contractor” status in certain jurisdictions, including the United States and the European Union, continue to evolve, and in some cases, authorities have sought to apply these laws unfavorably against gig economy, platform and direct selling companies. For example, in January 2024, the U.S. Department of Labor adopted a regulation that alters the employee vs. independent contractor analysis under the Fair Labor Standards Act in a way that could potentially cause more workers to be classified as employees. This regulation is currently scheduled to go into effect in March 2024.</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some jurisdictions have, without challenging the “independent contractor” status, taken the position that direct sellers must nonetheless pay certain taxes with respect to payments to their sales force.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local laws and regulations, or the interpretation of local laws and regulations, require us to treat members of our sales force as employees rather than independent contractors (or to comply with similar requirements regardless of whether our sales force is classified as employees), this could harm our financial condition and operating results. This risk increases as our sales force increases its use of social sharing, as several jurisdictions’ regulations protect in-person or in-home sales demonstrations from creating an employment relationship but are less protective of online demonstrations. If our Brand Affiliates were deemed to be employees rather than independent contractors, we would also face the risk of increased liability for their actions.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Sales Leaders could also face similar risks with respect to the Brand Affiliates in their sales organizations who may claim they are employees of the Sales Leader rather than independent contractors or independent business owners, which could impact their sales operations or lead them to cease their participation in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Our Operations in Mainland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in Mainland China are subject to significant government scrutiny, and we could be subject to fines or other penalties.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in Mainland China are subject to significant regulatory scrutiny. The legal system in Mainland China provides government authorities broad latitude to conduct investigations, and many Chinese regulations, including those governing our business, are subject to significant interpretation, which may vary from jurisdiction to jurisdiction. Because of significant government concerns in Mainland China regarding improper direct selling activities, government regulators closely scrutinize activities of direct selling companies and activities that resemble direct selling. The government in Mainland China continues to inspect and review companies in the direct selling industry on a regular basis. We believe the regulatory environment in Mainland China continues to be challenging and restrictive.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government’s scrutiny of activities within the health products and direct selling industries has been at higher levels since 2019, when the government conducted a 100-day campaign to review and inspect the health products and direct selling industries following negative media coverage generated by healthcare-related product claims made by another direct selling company in Mainland China. Since 2019, we have been receiving and addressing an increased number of government reviews, inspections, and inquiries and consumer complaints in Mainland China; our ability to hold certain business meetings has been limited; and negative media coverage has spread to include additional companies, including ours.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regulators frequently make inquiries into our business activities and investigate complaints from consumers and others regarding our business. Some of these inquiries and investigations in the past have resulted in the payment of fines by us or members of our sales force, interruption of sales activities and warnings. Any determination by government regulators in these inquiries or investigations that our operations or activities, or the activities of our sales force, are not in compliance with applicable regulations could result in substantial fines, extended interruptions of business, and termination of necessary licenses and permits, including our direct selling and other licenses, all of which could harm our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train our sales force in Mainland China on how our Mainland China business model differs from our global business model. However, Sales Leaders in Mainland China may attend regional and global events or interact with Sales Leaders from other markets. Although our global model and Mainland China business model differ, mistakes may be made as to how those working in Mainland China should promote the business in Mainland China. These mistakes by our sales force, or allegations of such mistakes, have, and may in the future, led to government reviews and investigations of our operations in Mainland China, as well as adverse publicity, reputational harm and adjustments or interruptions to our operations, all of which has and could in the future have a significant negative impact on our revenue and the number of Sales Leaders and Customers in the region.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direct selling regulations in Mainland China are modified, interpreted or enforced in a manner that results in negative changes to our business model or the imposition of a range of potential penalties, our business could be significantly negatively impacted.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government of Mainland China has adopted direct selling and anti-pyramiding regulations that impose significant restrictions and limitations on businesses in our industry. Most notably, the regulations prohibit multi-level compensation, which is the basis of how we compensate our sales force outside of Mainland China. The regulations also prohibit overseas personnel from participating in direct selling in Mainland China. We have structured our business model in Mainland China based on several factors: the guidance we have received from government officials, our interpretation of applicable regulations, our understanding of the practices of other international direct selling companies operating in Mainland China, and our understanding as to how regulators are interpreting and enforcing the regulations. The regulatory environment in Mainland China continues to be challenging and restrictive. We are currently evaluating potential changes to the structure of our sales compensation in Mainland China due to the evolving commercial and regulatory environment. These changes could have a negative impact on our sales in that market.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Members of our sales force in Mainland China do not participate in our global sales compensation plan but are instead compensated according to a separate compensation model. We generally compensate our Sales Leaders in Mainland China at a level that is competitive with other direct selling companies in the market and comparable to the compensation of our Sales Leaders globally.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Other than our direct selling subsidiary, we also have a separate subsidiary in Mainland China that is a registered independent entity that engages in cross-border e-commerce, through which one of our U.S. subsidiaries can sell a limited selection of products to consumers in Mainland China for their personal consumption. Cross-border e-commerce is separated from the direct selling sales channel in Mainland China. Our Sales Leaders can contract with the China entity, promote this cross-border e-commerce platform to introduce consumers to place orders on this platform, and receive compensation in return. Through this entity, the U.S. subsidiary sells </w:t>
      </w:r>
      <w:r>
        <w:rPr>
          <w:rFonts w:ascii="Times New Roman" w:cs="Times New Roman" w:eastAsia="Times New Roman" w:hAnsi="Times New Roman"/>
          <w:sz w:val="18"/>
          <w:szCs w:val="18"/>
          <w:i w:val="1"/>
          <w:iCs w:val="1"/>
          <w:color w:val="auto"/>
        </w:rPr>
        <w:t>ageLOC Meta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ageLOC Youth</w:t>
      </w:r>
      <w:r>
        <w:rPr>
          <w:rFonts w:ascii="Times New Roman" w:cs="Times New Roman" w:eastAsia="Times New Roman" w:hAnsi="Times New Roman"/>
          <w:sz w:val="18"/>
          <w:szCs w:val="18"/>
          <w:color w:val="auto"/>
        </w:rPr>
        <w:t xml:space="preserve"> and certain other products, which are neither registered for retail sale in Mainland China nor registered specifically as direct selling products and, therefore, can only be sold to local consumers for their personal consumption and cannot be sold through the direct selling channel. We also plan to begin selling additional products through this channel. Although we take measures (1) to maintain legal separation between our cross-border e-commerce entity and our direct selling entity; and (2) to ensure the products sold on our cross-border e-commerce platform are for consumers’ personal consumption only, our business in Mainland China could be negatively impacted if regulatory authorities elect to attribute these cross-border e-commerce sales activities and related product claims, or the accompanying actions of our sales force, to our direct selling business, and make a determination they are in violation of direct selling, customs or other applicable laws.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Mainland China business also has an e-commerce platform in which it sells products directly to customers. The products we sell on this platform are registered for retail sale in Mainland China, but they are not registered for the direct selling channel. We permit members of our sales force, as non-direct sellers, to promote this platform and refer customers to it, in addition to their participation in our direct selling business. They receive a promotion bonus based on our sales on this platform to customers they have referred. Although the promotion bonus is calculated separately from our sales force’s compensation for direct selling, it is possible that our business in Mainland China could be negatively impacted if regulatory authorities elect to attribute these e-commerce sales activities and the promotion bonus to our direct selling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nature of the political, regulatory and legal systems in Mainland China gives regulatory agencies at both the local and central levels of government broad discretion to interpret and enforce regulations as they deem appropriate to promote social stability. We face a risk that regulators may change the way in which they currently interpret and enforce the direct selling regulations, or that such regulations may be modified. If our business practices are deemed to be in violation of applicable regulations as they may be interpreted or enforced, in particular our use of the sales productivity of a Sales Leader him/herself and of the sales force that such Sales Leader trains, collaborates with, supports and services in setting his/her salary or service fee and determining their position/title on a quarterly basis, then we could be sanctioned, required to change our business model, and/or have our direct selling license revoked, any of which could significantly harm our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2019, the Mainland China government announced a 100-day campaign to review and inspect the health products and direct selling industries. This campaign involved a number of regulatory agencies. Since the 100-day period ended, there has continued to be a heightened level of regulatory scrutiny of these industries and of our business and products. For example, government authorities have not been issuing new licenses for direct selling since the beginning of the 100-day action in early 2019. There is also uncertainty whether any changes to the regulations that apply to these industries will be made based on the review. If changes are made to any of the regulations that apply to our business model, products or operations, our business could be harmed.</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expand our business in Mainland China could be negatively impacted if we are unable to obtain additional necessary national and local government approvals in Mainland China.</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expand our direct selling model into additional provinces in Mainland China, we currently must obtain a series of approvals from district, city, provincial and national government agencies with respect to each province in which we wish to expand. Government authorities have not been issuing new licenses since the beginning of the 100-day action in early 2019. When the process for obtaining government approvals to conduct direct selling is operational, it often evolves and is lengthy, as we are required to work with a large number of provincial, city, district and national government authorities. The complexity of the approval process as well as the government’s continued cautious approach as direct selling develops in Mainland China makes it difficult to predict the timeline for obtaining these approvals. Furthermore, any media or regulatory scrutiny of our business in Mainland China could increase the time and difficulty we may face in obtaining additional licenses. If media or regulatory scrutiny of our business in Mainland China results in significant delays in obtaining licenses elsewhere in Mainland China, or if the current processes for obtaining approvals are delayed further for any reason or are changed or interpreted differently than currently understood, our ability to receive direct selling licenses in Mainland China and our growth prospects in this market could be negatively impacted.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not able to register products for sale in Mainland China, our business could be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lengthy timelines with respect to product registrations in Mainland China. The process for obtaining product permits and licenses may require extended periods of time that may prevent us from launching new product initiatives in Mainland China on the same timelines as other markets around the world. For example, a vast majority of products marketed in Mainland China as “health foods” are subject to extensive laboratory and clinical analysis by government authorities, and with a few exceptions, the product registration process in Mainland China takes a minimum of two years and may be substantially longer. We market both “health foods” and “general foods” in Mainland China. There is some risk associated with the common practice in Mainland China of marketing a product as a “general food” without any health food claims while applying to the authorities for “health food” classification. If government officials feel the categorization of our products is inconsistent with product claims, form of delivery, ingredients or function, we could be prohibited or limited in marketing such products in Mainland China in their current form.</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expand our direct selling channel, we face additional product marketing restrictions compared to our retail store channel. Under applicable direct selling regulations in Mainland China, we can only register products for direct selling if we manufacture them and if they fall within categories that are authorized for direct selling, such as cosmetics, cleaning supplies, health foods, healthcare devices, small kitchen utensils and household appliances. Products that are not registered for direct selling are prohibited from being marketed or sold through our direct sales channel. The process for registering products for the direct sales channel in Mainland China is subject to delays; in fact, government authorities have not been processing new registrations for direct selling since the beginning of the 100-day action in early 2019. Any marketing or sale of non-direct selling products by our independent direct sellers could result in negative publicity, fines and other government sanctions being imposed against us, including if a product is initially classified as a direct selling product but is later re-classified.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Market Conditions and Competition</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Inability of products, platforms, business opportunities and other initiatives to gain or maintain sales force and market acceptance could harm our business, and trends among older and younger generations of customers contribute to this risk.</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ability to improve our financial performance largely depends on our ability to proactively anticipate, gauge and react in a timely and effective manner to changes in consumer spending patterns and preferences regarding products, platforms, and business opportunities in the affiliate gig and sharing economy. Our operating results have been and could be adversely affected if our products, platforms, business opportunities and other initiatives do not generate sufficient enthusiasm and economic benefit to retain our existing consumers and sales force or to attract new consumers and sales force members. For example, during 2022, sales of our </w:t>
      </w:r>
      <w:r>
        <w:rPr>
          <w:rFonts w:ascii="Times New Roman" w:cs="Times New Roman" w:eastAsia="Times New Roman" w:hAnsi="Times New Roman"/>
          <w:sz w:val="18"/>
          <w:szCs w:val="18"/>
          <w:i w:val="1"/>
          <w:iCs w:val="1"/>
          <w:color w:val="auto"/>
        </w:rPr>
        <w:t>ageLOC LumiSpa iO</w:t>
      </w:r>
      <w:r>
        <w:rPr>
          <w:rFonts w:ascii="Times New Roman" w:cs="Times New Roman" w:eastAsia="Times New Roman" w:hAnsi="Times New Roman"/>
          <w:sz w:val="18"/>
          <w:szCs w:val="18"/>
          <w:color w:val="auto"/>
        </w:rPr>
        <w:t xml:space="preserve"> device were below our expectations. Potential factors affecting the attractiveness of our products, platforms, business opportunities and other initiatives include, among other things, shifting consumer demands, perceived product quality and value, similarities to other products, product exclusivity or effectiveness, growth of the gig economy, disruption of retail commerce and e-commerce by social commerce, demographic trends, the strength of our brand and public image, growth of connected commerce, sustainability factors, DEI initiatives, economic competitiveness of our business opportunity in the marketplace, perceived ability of potential affiliates to succeed in our business opportunity, the quality and accuracy of the data we use in running our business, our technology infrastructure and capabilities, restrictions in social or digital media for sharing products and attracting consumers, adverse media attention and regulatory restrictions on claims. In addition, we are currently pursuing an initiative to optimize the size of our product portfolio, which will include the discontinuation of some products. If we are unable to anticipate changes in consumer and sales force preferences and trends, or if the discontinuation of products causes customer attrition, our business, financial condition and operating results could be materially adversely affected. Likewise, if we are unable to anticipate changes in the affiliate marketing, gig and sharing economies and adapt our business opportunity accordingly, our ability to capture growth trends in the social commerce marketplace could be materially adversely affected.</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ability to develop and introduce new products could be impacted by, among other things, government regulations, changing policies in social media and other communications platforms, the inability to attract and retain qualified staff, the termination of third-party research and collaborative arrangements, intellectual property of competitors that may limit our ability to offer innovative products or that challenge our own intellectual property, problems related to manufacturing or quality control, and difficulties in anticipating changes in consumer tastes and buying preferences. Our operating results could be adversely impacted if our products fail to gain or maintain sales force and market acceptance or if our successful new products undercut the sales of our other products.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adapt our business to current macroeconomic trends, we are currently working through a significant digital transformation in our business to achieve widespread adoption of social commerce in all of our markets. This transformation involves the development of new and enhanced digital tools for our Sales Leaders and consumers, including new digital apps and an improved website design and functionality, as well as new products, including connected devices. Our digital transformation will require significant expenditures over the next several years. We face the risk that we will ultimately be unable to develop these items, that their development will be more costly than anticipated, or that the applications and platforms we have and will develop will not meet the expectations of our sales force and/or consumers. Any of these eventualities could have a material negative impact on our business, sales force, consumer development and revenue.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in our more mature markets, one of the challenges we face is keeping Sales Leaders with established businesses and high-income levels motivated and actively engaged in business building activities and in developing new Sales Leaders. We also face challenges retaining our sales force as the population of our markets transitions to a younger, millennial/Gen Z demographic, with its associated new and different dynamics of connection through social media platforms, gratification and loyalty behaviors, particularly as this segment becomes a greater share of our revenue. It is possible that, over time, increasing negative perceptions about business opportunities that involve multi-level compensation programs, particularly as affiliate marketing programs gain greater prominence in the gig economy, could develop and increase among these younger demographics, which would be detrimental to our business if we are unable to adapt. In addition, as affiliate marketing programs gain greater market share, our competition for participants from our target market becomes more intense. Moreover, when sales through social sharing do not generate repeat purchases or subscriptions at the same rate as other sales, this creates revenue volatility and/or declines. Many in the younger demographic are particularly savvy with social sharing across multiple business opportunity platforms. Some of our initiatives have not generated lasting excitement and engagement among our sales force in the long term, and at times, our initiatives have not sufficiently generated sales force activity and productivity or motivated Sales Leaders to remain engaged in business building and developing new Sales Leaders. These outcomes could recur in the future. Some initiatives have had, and could continue to have, unanticipated negative impacts on our sales force, particularly changes to our sales compensation plans, incentive rewards, and recognition practices. The introduction of a new product or key initiative can also negatively impact other product lines to the extent our Sales Leaders focus their efforts on the new product or initiative. In addition, if any of our products fails to deliver on consumer or sales force expectations, we could see an increase in product returns.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Difficult economic conditions could harm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Difficult economic conditions, such as high unemployment levels, inflation, deflation, or recession, have in the past, and could continue to, adversely affect our business by causing a decline in demand for our products, particularly if the economic conditions are prolonged or worsen. In addition, economic conditions may adversely impact access to capital for us and our suppliers, may decrease the ability of our sales force and consumers to obtain or maintain credit cards, and may otherwise adversely impact our operations and overall financial condition. For example, we believe inflation had a negative impact on our 2022 and 2023 sales by curbing the discretionary spending of our consumers. Inflation also has increased the cost of our inventory and shipping expenses. Higher interest rates have increased our interest expense, as our credit facility entails variable-rate interest. In addition, the economy in Mainland China has been challenging in recent months, including with deflationary pressures. All of these conditions could continue in 2024. Current recessionary conditions also cause further uncertainty regarding the potential for growth in our business during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 are intensely competitive, and market conditions and the strengths of competitors may harm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for our products are intensely competitive. The success of our products is dependent on our ability to anticipate and respond to market trends and changes in consumer preferences and to maintain a product offering and pipeline that is relevant and priced accessibly to consumers. Our products compete directly with branded, premium retail products and with the products of other direct selling companies, and many of our competitors have much greater name recognition and financial resources than we have, which may give them a competitive advantage. Because of regulatory restrictions concerning claims about the efficacy of beauty and wellness products, we may have difficulty differentiating our products from our competitors’ products, and competing products entering the beauty and wellness market could harm our revenue. In addition, our business may be negatively impacted if we fail to adequately adapt to trends in consumer behavior and technologies to meet consumers’ needs and demands and reach a wider audience.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emergence and increased adoption of artificial intelligence (“AI”) could cause us to fall behind competitively. In the rapidly evolving landscape of e-commerce and digital enterprises, AI technologies are expected to play a pivotal role in enhancing customer experiences through personalized recommendations, streamlined purchasing processes and targeted marketing strategies. Automation through AI also could streamline supply chain management, inventory tracking and order fulfillment, leading to increased efficiencies and cost effectiveness. As AI technologies become integral to improving operational efficiency, customer engagement and decision-making processes, our competitiveness and reputation could be harmed if we are unable to adopt and utilize these technologies as quickly or efficiently as our competition.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compete with other direct selling companies, affiliate marketing companies and gig economy companies to attract and retain our sales force and consumers. Some of these competitors have longer operating histories and greater visibility, name recognition and financial resources than we do. Some of our competitors have also adopted and could continue to adopt some of our successful business strategies, including our global sales compensation plan. Consequently, to successfully compete in this industry, and attract and retain our sales force and consumers, we must ensure that our business opportunities and sales compensation plans are financially rewarding and innovative. Successfully marketing our sales compensation plan in a way that differentiates it from our competitors could become more difficult as the FTC increases its scrutiny of earnings claims and also of disclaimers regarding atypical earnings claims. Although we believe we have significant competitive advantages, we cannot assure that we will be able to continue to successfully compete in this industry.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publicity concerning our business, marketing plan, products or people could harm our business and reputation.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Growth in our sales force and consumers and our results of operations can be particularly impacted by adverse publicity. Given the nature of our operations, lack of clarity on applicable legal requirements and standards, and our continuous need to recruit and retain consumers and members of our sales force, we are particularly vulnerable to adverse publicity. Specifically, we are susceptible to adverse publicity concerning:</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suspicions about the legality and ethics of network marketing;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or regulatory scrutiny regarding our business and our business models, including in Mainland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or effectiveness of our or our competitors’ products or the ingredients in such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inquiries, investigations, fines, legal actions, or mandatory or voluntary product recalls involving us, our competitors, our business models or our respective products;</w:t>
      </w: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current or former sales force and employees, including any allegations that our sales force or employees have overstated or made false product claims or earnings representations, or engaged in unethical or illegal activity;</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misperceptions about the types and magnitude of economic benefits offered at different levels of sales engagement in our business;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governmental or media perceptions of the direct selling, beauty product, or wellness product industries generally.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issues have previously resulted in negative publicity and have harmed our business.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Critics of our industry, consumer protection groups, short sellers and other individuals have in the past and may in the future utilize the internet, the press and other means to publish criticisms of the industry, our company and our competitors, or make allegations regarding our business and operations, or the business and operations of our competitors. In some cases, such adverse publicity or allegations can lead to government and regulatory scrutiny. We continue to see adverse publicity regarding our company and the direct selling and healthcare products industries. We or others in our industry may receive similar negative publicity or allegations in the future, and it may harm our business and reputation. Furthermore, the availability of social media channels can increase the likelihood of negative publicity because these channels are an easily accessible public forum. For example, if a member of our sales force makes an improper claim about our products or business opportunity on social media, or if a critic of our company posts negative information about our company on social media, it is more likely to be disseminated widely and potentially noticed by the media or regulators.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diversion may have a negative impact on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 our products being sold through online marketplace sites and other distribution channels in certain markets. Although we continually take steps to control product diversion, this activity continues to be a challenge, and we believe that changes to our global sales compensation plan, divergence of product pricing across markets, or increased use of online channels for conducting sales transactions have and may continue to lead to increased product diversion. Product diversion causes confusion regarding our distribution channels and negatively impacts the ability of our sales force to sell our products. It also creates a negative impression regarding the viability of the business opportunity for our sales force, which can harm our ability to recruit new people to join our sales force. Product diversion may also cause brand erosion and negatively impact the brand value perception. Product diversion schemes may also involve illegal importation, investment or other activities and harm our brand if gray market or counterfeit goods are passed off as our own. If we are unable to effectively address this issue or if diversion increases, our business could be harmed.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Epidemics and Other Widespread Crises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Epidemics and other crises have negatively impacted our business and may do so in the future.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person-to-person nature of direct selling, our results of operations have been, and likely will in the future be, harmed if the fear of a communicable and rapidly spreading disease, or another type of crisis such as a natural disaster, results in travel restrictions or causes people to avoid group meetings, gatherings or interactions with other people.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outbreak of COVID-19 in 2020 and ensuing pandemic resulted in significant contraction of economies around the world and interrupted global supply chains as many governments issued stay-at-home orders to combat COVID-19. Government-imposed restrictions and public hesitance regarding in-person gatherings, travel and visiting public places reduced our sales force’s ability to hold sales meetings, resulted in cancellations of key sales leader events and incentive trips, and required us to temporarily close our walk-in and fulfillment locations in some markets where we had such properties. Our supply chain and logistics also incurred some interruptions and cost impacts, such as difficulties in obtaining some ingredients and in shipping products in some markets. Even as COVID-related factors were alleviated, the productivity of our sales force was negatively impacted as our sales force was able to travel more freely and take vacations. All of these factors and other events related to COVID-19 negatively impacted our sales and operations and could repeat in the event of future epidemics or other crises.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during a widespread crisis, regulators are vigilant for companies that may be exploiting the crisis to the detriment of consumers. For example, during 2020 to 2022, the FTC issued letters that warned several direct-selling companies to remove and address claims that they or members of their sales force were making about their products’ ability to treat, cure or prevent COVID-19 and/or about the earnings that people who suffered the loss of a job or income could make. Although we take steps to educate our sales force on proper claims, if members of our sales force make improper claims, or if regulators determine we are making any improper claims, it could lead to an investigation and could harm our business and reputation.</w:t>
      </w:r>
    </w:p>
    <w:p>
      <w:pPr>
        <w:sectPr>
          <w:pgSz w:w="11900" w:h="16838" w:orient="portrait"/>
          <w:cols w:equalWidth="0" w:num="1">
            <w:col w:w="11240"/>
          </w:cols>
          <w:pgMar w:left="320" w:top="115"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conduct business in international markets may be affected by political, legal, tax and regulatory risks.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ability to capitalize on growth in new international markets and to maintain the current level of operations in our existing international markets is exposed to risks associated with our international operations, including:</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government might ban or severely restrict our sales compensation and business models;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local civil unrest, political instability, or changes in diplomatic or trade relationships might disrupt our supply chain or other operations in one or more markets—for example, the ongoing conflict in Russia and Ukraine has caused distraction to our sales force;</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well-established or reliable legal systems in certain areas where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high inflation in the economies of international markets in which we operate;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government authority might impose legal, tax, customs, or other financial burdens on us or our sales force, due, for example, to the structure of our operations in various markets;</w:t>
      </w:r>
    </w:p>
    <w:p>
      <w:pPr>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government authority might challenge the status of our sales force as independent contractors or impose employment or social taxes on our sales force; and</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governments may impose currency remittance restrictions limiting our ability to repatriate cash.</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an increasing level of tension in U.S.-China relations over the last several years. Given the significant size of our China business, our business could be harmed if relations continue to deteriorate or additional sanctions or restrictions are imposed by either government. In addition, there have been adverse public reaction and media attention to statements made by representatives of other businesses related to these issues that have adversely affected business. We could similarly face adverse public or media attention, and potentially increased regulatory scrutiny, as a result of increased trade or political tensions or any statements or actions by employees or our sales force that generate publicity with respect to these issues.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financial risks as a result of our international operations, including exposure to foreign-currency fluctuations, currency controls and inflation in foreign markets, all of which could impact our financial position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approximately 74% of our sales occurred in markets outside of the United States in each market’s respective local currency. Foreign-currency fluctuations affect our financial position and results of operations. We purchase inventory primarily in the United States in U.S. dollars. In preparing our financial statements, we translate revenue and expenses in our markets outside the United States from their local currencies into U.S. dollars using weighted-average exchange rates. If the U.S. dollar strengthens relative to local currencies, our reported revenue, gross profit and net income will likely be reduced. Foreign-currency fluctuations also cause losses and gains resulting from translation of foreign-currency-denominated balances on our balance sheet.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face the risk of currency controls. If foreign governments restrict transfers of cash out of their country and control exchange rates, we may be limited as to the timing and amount of cash we can repatriate and may not be able to repatriate cash at beneficial exchange rates, which could have a material adverse effect on our financial position, results of operations or cash flows. We typically fund the cash requirements of our operations in the United States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We also have experienced delays in repatriating cash from Argentina. As of December 31, 2023, we had $31.8 million in cash denominated in Chinese RMB, and our intercompany receivable with our Argentina subsidiary was $17.7 million.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high levels of inflation and currency devaluations in any of our markets could negatively impact our balance sheet and results of operations. Gains and losses resulting from the remeasurement of non-U.S. dollar monetary assets and liabilities of our subsidiaries operating in highly inflationary economies are recorded in our net earnings. For example, during 2018, Argentina was designated as a highly inflationary economy under U.S. generally accepted accounting principles; accordingly, we began to apply highly inflationary accounting for our Argentina operations, which has resulted in additional foreign-currency charges. Other markets may be designated as highly inflationary economies in the future, which could result in further foreign-currency charges.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may engage in transactions intended to reduce our exposure to foreign-currency fluctuations, there can be no assurance that these transactions will be effective. Complex global political and economic dynamics can affect exchange rate fluctuations. For example, the implementation of tariffs, border taxes or other measures related to the level of trade between the United States and other markets could impact the value of the U.S. dollar. It is difficult to predict future fluctuations and the effect these fluctuations may have upon future reported results or our overall financial condition.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Potential changes to tariff and import/export regulations, and trade disputes between the United States and other jurisdictions may have a negative effect on global economic conditions and our business, financial results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United States and other foreign jurisdictions may change customs regulations or tariff rates that are applied to our imports or exports at any time. Tariff changes are difficult to predict and may cause us material short-term or long-term cost fluctuations. We rely on the use of Free Trade Agreements, where available, that may experience alterations, suspensions or cancellations, which could increase our customs expense or otherwise harm our business. In addition to tariffs, any actions taken by the United States or by foreign countries to further implement trade policy changes, including limiting foreign investment or trade, increasing regulatory requirements, or other actions that impact our ability to obtain necessary licenses or approvals could negatively impact our business. These actions are unpredictable, and any of them could also have a material adverse effect on global economic conditions and the stability of global financial markets, significantly reduce global trade, restrict our access to suppliers or customers, and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Human Capital Risks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If we are unable to retain our existing sales force and recruit additional people to join our sales force, our revenue may not increase and may even decline.</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are primarily marketed by our sales force, and we depend on them to generate virtually all of our revenue. Our sales force may terminate their services at any time, and like most direct selling companies, we experience high turnover among our sales force from year to year. People who join our company to purchase our products for personal consumption or for short-term income goals frequently only stay with us for a short time or are less consistent in their participation. Sales Leaders who have committed time and effort to build a sales organization will generally stay for longer periods. To increase our revenue, we must increase the number of and/or the sales productivity of our sales force. We must also expand our outreach and outbound efforts to attract, connect and nurture new customers for a wider consumer base who purchase products and whom we can foster along a consumer journey to promote retention and higher lifetime value.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periodic fluctuations in Sales Leaders, Paid Affiliates and Customers in the past and could experience such fluctuations again in the future. For example, our Sales Leaders in Mainland China declined 32% from December 31, 2021 to December 31, 2022 due to pressures from COVID-related factors. If our business, products and initiatives do not drive growth and/or sales productivity in Sales Leaders, Paid Affiliates and Customers, our operating results could be further harmed.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and productivity of our sales force is negatively impacted by several additional factors, including:</w:t>
      </w:r>
    </w:p>
    <w:p>
      <w:pPr>
        <w:spacing w:after="0" w:line="225" w:lineRule="exact"/>
        <w:rPr>
          <w:sz w:val="20"/>
          <w:szCs w:val="20"/>
          <w:color w:val="auto"/>
        </w:rPr>
      </w:pPr>
    </w:p>
    <w:p>
      <w:pPr>
        <w:ind w:left="660" w:right="7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publicity or negative public perception regarding us, our products or ingredients, our distribution channel, or our industry or competitors;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interest in, dissatisfaction with, or the technical failure of, our products or digital tools;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compelling products or income opportunities, including through our sales compensation plans and incentive trips and other offerings;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sales force reaction to changes in our sales compensation plans or to our failure to make changes that would be necessary to keep our compensation competitive with the market;</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with our company, including our actions to enforce our policies and procedures and the quality of our customer service;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actions or charges against us or others in our industry, as well as regulatory changes that impact product formulations and sales viability;</w:t>
      </w:r>
    </w:p>
    <w:p>
      <w:pPr>
        <w:jc w:val="both"/>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business, public health and geopolitical conditions, including employment levels, employment trends such as the gig and sharing economies and affiliate marketing, pandemics or other conditions that curtail person-to-person interactions, and the ongoing conflicts in Russia/Ukraine and Israel/Hamas which have caused distraction to our sales force;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policies of social media platforms used to prospect or recruit potential consumers and sales force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efforts of our competitors and changes in consumer-loyalty trends;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saturation or maturity levels in a given market, which could negatively impact our ability to attract and retain our sales force in such market;</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gig economy competition which may draw away potential product sellers, affiliates, and influencers;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force’s increased use of social sharing channels, which may enable them to more easily engage their consumers and sales network in other opportunities;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tools to create customer interest in our products and to manage and build a personalized business;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sales force’s ability to implement social commerce and other selling platforms that appeal to consumers.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Sales Leaders, and the loss of the services provided by any of our executive officers, other key employees or key Sales Leaders could harm our business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degree upon the continued contributions of our senior and regional management, many of whom would be difficult to replace. Our senior and regional management employees may voluntarily terminate their employment with us at any time, and it is not uncommon for employees of direct-selling companies, including employees of our company, to terminate their employment and begin working for another direct-selling company. In addition, we need to continue to attract and develop qualified management personnel to sustain growth in our markets. Attracting and retaining qualified personnel has been an increased challenge during the current competitive employment environment. In addition, there has been downward pressure on our employees’ incentive compensation in recent years, and our recent restructurings have in some cases caused employees to take on additional responsibilities, both of which have presented challenges to our employee morale and could lead to employee attrition. If we are not able to successfully retain existing personnel and identify, hire and integrate new personnel, our business and growth prospects could be harmed.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success of our business also depends on our key Sales Leaders. For the three months ended December 31, 2023, we had approximately 44,059 Sales Leaders. As of December 31, 2023, approximately 294 Sales Leaders occupied the highest levels under our global sales compensation plan, and in Mainland China approximately 98 key Sales Leaders were playing a significant role in managing, training and servicing our sales force in that market and driving sales. We rely on these Sales Leaders (or other sales force members that they train, collaborate with, support and service) for a substantial majority of our revenue. As a result, the loss of a high-level or key Sales Leader or a group of leading Sales Leaders, whether by their own choice or through disciplinary actions by us for violations of our policies and procedures, could negatively impact our growth and our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Our Manufacturing and Operations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Production difficulties, quality control problems, inaccurate forecasting, shortages in ingredients, and reliance on our suppliers could harm our business.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Production difficulties, quality control problems, inaccurate forecasting, and our reliance on third-party suppliers to manufacture and deliver products that meet our specifications in a timely manner could harm our business. Occasionally, we have experienced production difficulties with respect to our products, including the availability of labor, raw materials, components, packaging, and products that do not meet our specifications and quality control standards. These production difficulties and quality problems have in the past, and could in the future, result in stock outages or shortages in our markets with respect to such products, harm our sales, or create inventory write-downs for unusable products.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we and manufacturers in our supply chain acquire ingredients, components, products, and packaging from third-party suppliers and manufacturers. A loss of any of these suppliers and any difficulties in finding or transitioning to alternative suppliers could harm our business. In addition, we obtain our </w:t>
      </w:r>
      <w:r>
        <w:rPr>
          <w:rFonts w:ascii="Times New Roman" w:cs="Times New Roman" w:eastAsia="Times New Roman" w:hAnsi="Times New Roman"/>
          <w:sz w:val="18"/>
          <w:szCs w:val="18"/>
          <w:i w:val="1"/>
          <w:iCs w:val="1"/>
          <w:color w:val="auto"/>
        </w:rPr>
        <w:t>ageLOC Galvanic Facial 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ageLOC Body Spa</w:t>
      </w:r>
      <w:r>
        <w:rPr>
          <w:rFonts w:ascii="Times New Roman" w:cs="Times New Roman" w:eastAsia="Times New Roman" w:hAnsi="Times New Roman"/>
          <w:sz w:val="18"/>
          <w:szCs w:val="18"/>
          <w:color w:val="auto"/>
        </w:rPr>
        <w:t xml:space="preserve">, and Nu Skin Facial Spa devices and some other products and ingredients from sole suppliers that own or control the product formulations, ingredients or other intellectual property rights associated with such products. We also license the right to distribute some of our products from third parties. In the event we are unable to maintain or renew our contracts with any of these suppliers, manufacturers or other third parties, we may need to discontinue some products or develop substitute products, which could harm our revenue. In addition, if we experience supply shortages, price increases or regulatory impediments with respect to the raw materials, ingredients, components or packaging we use for our products, we may need to seek alternative supplies or suppliers and may experience difficulties in finding replacements that are comparable in quality and price. For example, some of our products, including </w:t>
      </w:r>
      <w:r>
        <w:rPr>
          <w:rFonts w:ascii="Times New Roman" w:cs="Times New Roman" w:eastAsia="Times New Roman" w:hAnsi="Times New Roman"/>
          <w:sz w:val="18"/>
          <w:szCs w:val="18"/>
          <w:i w:val="1"/>
          <w:iCs w:val="1"/>
          <w:color w:val="auto"/>
        </w:rPr>
        <w:t>ageLOC Meta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ageLOC Youth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Youthspan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Y-Span</w:t>
      </w:r>
      <w:r>
        <w:rPr>
          <w:rFonts w:ascii="Times New Roman" w:cs="Times New Roman" w:eastAsia="Times New Roman" w:hAnsi="Times New Roman"/>
          <w:sz w:val="18"/>
          <w:szCs w:val="18"/>
          <w:color w:val="auto"/>
        </w:rPr>
        <w:t xml:space="preserve"> in some markets), incorporate unique natural ingredients that are only harvested once per year and/or may have limited global supplies. If demand exceeds forecasts, we may have difficulties in obtaining additional supplies to meet the excess demand until the next growing season. If we are unable to successfully respond to such issues, our business could be harmed.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loss of or a disruption in our manufacturing, supply chain and distribution operations, or significant expenses or violations incurred by such operations, could adversely affect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company engaged in manufacturing, distribution, and research and development on a global scale, we are subject to the risks inherent in such activities, including industrial accidents, climate or environmental events, fires, floods, earthquakes, labor shortages, strikes and other labor or industrial disputes, disruptions in logistics or information systems, loss or impairment of key manufacturing or distribution sites, import and export restrictions or delays, product quality control, safety, licensing requirements and other regulatory or government issues, as well as natural disasters, pandemics, border disputes, global uncertainties, acts of terrorism, and other external or macroeconomic factors over which we have no control. For example, the long-term impacts of climate change, whether involving physical risks (such as extreme weather conditions, drought, or rising sea levels) or transition risks (such as regulatory or technology changes) may be widespread and unpredictable. Certain impacts of physical risk may include temperature changes that increase the heating and cooling costs at our facilities; extreme weather patterns that affect the production or sourcing of certain components; flooding and storms that damage or destroy our buildings and inventory; and heat and extreme weather events that cause long-term disruption or threats to the habitability of our customers’ communities. These risks may be heightened if we consolidate certain of our manufacturing, distribution, or supply facilities or if we are unable to successfully enhance our disaster recovery planning. These risks also increase as we pursue our current strategy of acquiring manufacturing companies and thereby conducting more of our manufacturing in-house. The loss of, or disruption or damage to, any of our facilities or centers or those of our third-party manufacturers could have a material adverse effect on our business, reputation, results of operations and financial condition.</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experienced, and may continue to experience, disruptions to the transportation channels used in our supply chain and distribution operations, including increased airport and shipping port congestion, a lack of transportation capacity, increased fuel expenses, import or export controls or delays, and labor disputes or shortages. Disruptions in our container shipments may result in increased costs, including the additional use of air freight to meet demand. Congestion to ports can affect previously negotiated contracts with shipping companies, resulting in unexpected increases in shipping costs and reduction in our profitability. For example, the COVID-19 pandemic resulted in several disruptions and delays, as well as quantity limits and price increases, in our global transportation channels.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manufacturing facilities are subject to numerous regulations, including labor regulations and environmental regulations that govern the storage, discharge, handling, emission, generation, manufacture, use and disposal of chemicals and other materials. We will also likely become subject to new regulations in these areas, which could require substantial expenditures. Violations of existing or new requirements could result in financial penalties and other enforcement actions and could require us to halt one or more portions of our operations until a violation is cured. The costs of curing incidents of non-compliance, resolving enforcement actions or private-party actions that might be initiated against us, or of satisfying new legal requirements could have a material adverse effect on our business, financial condition, or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be negatively impacted if we fail to execute our product launch process or ongoing product sales due to difficulty in forecasting or increased pressure on our supply chain, information systems and management.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during the quarter and skew year-over-year and sequential comparisons. These offerings may also increase our product return rate. We have, and may in the future, experienced difficulty effectively managing growth associated with these offerings and may face increased risk of improper sales force activities and related government scrutiny.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size and condensed schedule of these product offerings increase pressure on our supply chain and order processing systems. We have, and may in the future, failed to appropriately scale our system capacity and operations in response to unanticipated changes in demand for our existing products or to the demand for new products, which reduces our sales force’s confidence in our business and could harm our reputation and profitability.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sales force increases its use of social platforms to interact with customers, our business results could be adversely affected if our implementation of new platforms and processes to support our sales force is delayed. In addition, we are dependent on third parties for testing and delivery of portions of these and other of our information system platforms. Unanticipated changes or system failures by third parties could harm our ability to meet the expectations of our sales force, thus resulting in harm to our revenue, reputation and sales force confidence in our systems.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do not accurately forecast sales levels in each market for product launches or ongoing product sales, obtain sufficient ingredients, components or packaging, or produce a sufficient supply to meet demand, we may incur higher expedited shipping costs and we may temporarily run out of stock of certain products, which could negatively impact the enthusiasm of our sales force and consumers. Conversely, if demand does not meet our expectations for a product launch or ongoing product sales or if we change our planned launch strategies or initiatives, we could incur inventory write-downs. For example, during the third quarter of 2023, we made the strategic decision to re-balance and narrow our product portfolio, which resulted in an incremental $65.7 million inventory write-off. Each of these issues has impacted us in the past, and they could again occur with our ongoing or future product offerings. If we fail to effectively forecast product demand in the product launch process or for ongoing product sales, our reputation and profitability also could be negatively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effectively manage our growth in certain markets, our business and operations could be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times, we can experience significant growth in one or more of our markets. For example, during 2020 we experienced significant growth in some of the markets in the Americas and Europe. Growth can strain our ability to effectively manage our operations, as it requires us to expand our management team, labor force, technology bandwidth and capabilities, and manufacturing operations. Insufficient management execution to support growth could result in, among other things, product delays or shortages, decreases in product quality, service level challenges, operating mistakes and errors, inadequate customer service, inappropriate claims or promotions by our sales force, and governmental inquires and investigations, all of which could harm our revenue and ability to generate sustained growth and result in unanticipated expenses. In addition, we need to continue to attract and develop qualified management personnel to sustain growth. If we are not able to successfully retain existing personnel and identify, hire and integrate new personnel, our business and growth prospects could be harmed.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extent we expand into new markets, our efforts might not be successful in driving growth. New markets may have competitive conditions, consumer tastes and discretionary spending patterns that are more difficult to predict or satisfy than our existing markets. We may have difficulty attracting Brand Affiliates to our business opportunity due to our lack of name recognition or other reasons, and it may be difficult to find and retain qualified employees and vendors. We also might be unable to successfully navigate the risks inherent in international operations, such as differing legal and regulatory requirements that may apply to our products and/or operations, including those that pertain to privacy and data protection, direct selling, employment and intellectual property. If we do not successfully execute plans to enter new markets, these new markets may not generate growth and may be unprofitable, causing our business, financial condition or results of operations to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System failures, capacity constraints and other information technology difficulties could harm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global operations and a complex sales compensation plan, our business is highly dependent on efficiently functioning information technology systems, including websites, mobile applications, third-party cloud providers, data centers, databases, networks and other systems. We rely on these systems for accepting and processing sales orders, operating our sales force and customer support operations, tracking and compensating our sales force, conducting our corporate and regional operations, preparing our financial statements, and other aspects of our business. Accordingly, the performance, reliability and availability of our systems are critical to our business, reputation, financial reporting, and ability to attract and retain our sales force and customers.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or our third-party providers’ systems may be damaged or disrupted by fires, floods, earthquakes or other natural disasters, human error, telecommunications failures, power loss, physical or electronic break-ins, computer viruses, cyberattacks, changes in our information technology systems or organization, and other events. We have experienced system failures, outages and cyberattacks, and we may experience them in the future. We cannot guarantee that the preventive measures we take, including redundancies, security protocols, network protection mechanisms and other procedures, will be adequate to prevent or remedy system failure or interruption, data loss, security breaches or other data security incidents. Furthermore, any mitigation process could take several days or more, resulting in a loss of revenue, loss of ability to track and timely pay sales compensation to our sales force, loss of confidence of our sales force and harm to our reputation. Two third-party providers that we rely on are Amazon Web Services (for our network, compute and storage needs) and Infosys Limited (for e-commerce and managed services). Any significant disruption or limitation of, or interference with, our use of these providers’ services would negatively impact our operations, and any transition to a different provider would cause us to incur significant time and expense. We currently plan to outsource additional technology functions to third parties, which may significantly increase our reliance on third-party services for the operation and protection of our information technology systems. We may also experience disruptions to our systems as we transition these functions to third parties.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make significant expenditures on our information technology infrastructure and other technology initiatives, and these items could become obsolete or impaired, which has and may in the future cause us to incur significant expenses to address. For example, in 2018, following an evaluation of our information technology infrastructure and organization and our social sharing and digital initiatives, we determined to alter our strategic direction with respect to some of our systems and tools, resulting in impairment charges of approximately $49 million. We also incurred approximately $22 million in severance payments and other expenses related to the reorganization of our Information Technology Department and other corporate and regional offices. Additional cash outlay and new personnel were also necessary for execution of new plans and strategy. In this strategic shift in direction, we continue to identify and re-architect additional legacy systems to help mitigate the risk and exposure these systems introduce to our business. We also continue to allocate resources to new technology and digital initiatives. There can be no assurance that we will be able to build and roll-out our new technology and digital tools on a global scale or that they will function as intended, and these initiatives may entail significant expenses and could cause disruptions in our business.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systems could also be strained by growth in our business. Although we work to expand and enhance our e-commerce features, network infrastructure and other technologies to accommodate increases in the volume of traffic to our ecommerce channels, we may be unsuccessful in these efforts. Our failure, or our third-party providers’ failure, to achieve or maintain system capacity could significantly reduce our ability to process orders and could harm our business, reputation, revenue and financial condition.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acquired companies or future acquisitions may expose us to additional risks.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acquired certain businesses, and we plan to continue to do so in the future as we encounter acquisition prospects that would complement our current product offerings, increase the size and geographic scope of our operations or otherwise offer growth and operating efficiency opportunities. For example, in April 2023, we acquired 60% of LifeDNA, Inc., a DNA assessment company for consideration of $4.0 million of cash, along with the conversion of a previous $3.0 million Simple Agreement for Future Equity (“SAFE”), and a $0.2 million convertible note. Also, in June 2023, we acquired 100% ownership in Beauty Biosciences, LLC, a clean and clinically proven skin care and beauty device company. The purchase price for BeautyBio was $75.0 million, net of cash acquired of $1.5 million, all payable in cash. At any particular time, we may be in various stages of assessment, discussion and/or negotiation with regard to one or more potential acquisitions or investments, not all of which will be consummated. Acquisitions involve numerous risks and uncertainties, and some of our past acquisition targets have been in industries in which we lack operational or market experience. Our past acquisitions have, and future acquisitions could, entailed numerous risks, including:</w:t>
      </w:r>
    </w:p>
    <w:p>
      <w:pPr>
        <w:spacing w:after="0" w:line="18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acquired operations or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of imposing financial and operating controls on the acquired companies and their management and the potential costs of doing so;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suppliers or distributors from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direct selling channel;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and other employees’ attention from our core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achieve the strategic objectives of these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fixed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structures that dilute the interests of our stockholders and/or result in an increase in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acquired businesses to achieve the results we have projected in either the near or long term;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unexpected liabilities, including litigation risks or compliance issues not discovered during pre-acquisition diligence;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our suppliers, sales force or consumers;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being unable to protect intellectual property related to newly acquired technologies;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or industries in which we have limited or no prior experience, including limited expertise in running the business, developing the technology, and selling and servicing the products.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expansion of our Rhyz business into new businesses has been viewed negatively by some of our Sales Leaders as these new companies sell products that are similar to those of our core business and are viewed as using our resources for non-core businesses. These perspectives of our Sales Leaders could have a material negative impact on the number or productivity of our Sales Leaders and result in a reduction in our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successfully complete the integration of any acquired business, a failure to adjust our fixed costs quickly enough or sufficiently to adapt to rapidly changing market conditions, or any other of the risks discussed above could have a material adverse effect on our business, financial condition and operating results. In addition, there can be no assurance that we will be able to identify suitable acquisition candidates, consummate acquisitions on favorable terms or realize the anticipated benefits of an acquisition.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Legal and Regulatory Risks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Regulations governing our products, including the formulation, registration, pre-approval, marketing and sale of our products, could harm our business.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are subject to extensive government regulation by numerous federal, state, and local government agencies and authorities. Many of these laws and regulations involve a high level of subjectivity, are subject to interpretation, and vary significantly from market to market. These laws and regulations can, and often do, have several impacts on our business, including but not limited to:</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altogether prohibitions, in introducing or selling a product or ingredient in one or more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expenses associated with the registration and approval process for a product;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import products into a market;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expenses associated with compliance, such as record keeping, documentation of the properties of certain products, labeling, and scientific substantiation;</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claims we can make regarding our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reformulations, or the recall or discontinuation of certain products that cannot be reformulated to comply with new regulations.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observed a general increase in regulatory activity and activism in the United States and across many markets globally where we operate, and the regulatory landscape is becoming more complex with increasingly strict requirements. In particular, the requirements are impacting the ingredients we can include in our products, the accepted quantities of those ingredients, and the quality and characterization of the ingredients. Global regulators have in recent years become overall more restrictive on the accepted levels of active ingredients that we can use in our product, in some cases banning them outright. They have also become more restrictive on permitted contaminant levels in ingredients and, in many cases, have forced complete removal of such contaminants. In certain cases, such as regarding some pesticides which are virtually ubiquitous in nature, it has proven difficult to comply with the requirements. Further, many of the restrictions regarding ingredient quality are not directly applicable to our products, leaving the possibility that our interpretation of compliance may not match that of the enforcing authorities. Often there is a lack of an equivalent active ingredient present in the marketplace. In other cases, the removal or reduction of a technical ingredient, such as various types of parabens, leads to a significant change to the character of the product that may make it no longer desirable or safe to the consumer. If this trend in new regulations continues, we may find it necessary to alter some of the ways we have traditionally marketed our products in order to stay in compliance with a changing regulatory landscape and this could add to the costs of our operations and/or have an adverse impact on our business.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laws and regulations govern the registration, pre-market approval or other aspects of regulatory oversight of our products. For example, in the United States, some legislators and industry critics have pushed for years to increase regulatory authority by the FDA over nutritional supplements. In 2011, the FDA proposed draft guidance to clarify the FDA’s interpretation of the dietary ingredient notification requirements, and in 2016, the FDA issued a revised draft guidance that superseded the 2011 version. This draft guidance is not yet final but appears to indicate that the FDA is expanding its definition of what is considered a “new dietary ingredient” in the United States. The industry has worked with the FDA for several years, providing comments to the FDA to modify this guidance. While still in flux, if enacted in final form as proposed, this guidance could impose new and significant regulatory barriers for our nutritional supplement products or unique ingredients, which could delay or inhibit our ability to formulate, introduce and sell nutritional supplements as we have in the past. Similarly, from time to time, efforts are made by some individuals or groups to repeal the Dietary Supplement Health and Education Act of 1994 (“DSHEA”), the U.S. law that provides a separate body of regulations for dietary supplements as compared to drugs. Such a repeal would result in significant burdens to our product development, and the costs of running our business would increase significantly. We face similar pressures in our other markets, which continue to set restrictions on ingredients and their acceptable maximum levels, as well as on ingredient characterization, quality and levels. In Europe, for example, we are unable to market supplements that contain ingredients that were not marketed in Europe prior to May 1997 (“novel foods”) without going through an extensive registration and pre-market approval process.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currently does not have a pre-market approval system for cosmetics. However, cosmetic products may become subject to more extensive regulation in the future, even beyond the requirements mandated by the recently enacted Modernization of Cosmetics Regulation Act of 2022. These events could interrupt the marketing and sale of our products, severely damage our brand reputation and image in the marketplace, increase the cost of our products, cause us to fail to meet customer expectations or cause us to be unable to deliver merchandise in sufficient quantities or of sufficient quality to our stores, any of which could result in lost sales.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could be harmed if new laws or regulations are enacted that restrict our ability to market or distribute our products or impose additional burdens or requirements on us in order to continue selling our products. In addition, the adoption of new regulations or changes in the interpretations and enforcement of existing regulations may result in significant compliance costs or discontinuation of product sales and may impair the marketability of our products, resulting in significant loss of net sales. We cannot predict the nature of any future laws, regulations, interpretations, or applications, nor can we determine what effect additional governmental regulations or administrative orders, when and if promulgated, would have on our business. If new or existing laws and regulations restrict, inhibit or delay our ability to introduce or market our products or limit the claims we are able to make regarding our products, this could have a material adverse effect on our business, financial condition, and operating results. If we fail to comply with the laws and regulations governing our products, we could face enforcement action, and we could be fined or forced to alter or stop selling our products.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Government regulations and private party actions relating to the marketing and advertising of our products and services may restrict, inhibit or delay our ability to sell our products and harm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 authorities regulate advertising and product claims regarding the efficacy and benefits of our products. These regulatory authorities typically require adequate and reliable scientific substantiation to support any marketing claims. What constitutes such reliable scientific substantiation can vary widely from market to market and there is no assurance that the research and development efforts that we undertake to support our claims will be deemed adequate for any particular product or claim. If we are unable to show adequate and reliable scientific substantiation for our product claims, or if our marketing materials or the marketing materials of our sales force make claims that exceed the scope of allowed claims for dietary supplements, cosmetics or devices that we offer, the FDA or other regulatory authorities could take enforcement action requiring us to revise our marketing materials, amend our claims or stop selling certain products, which could harm our business.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in recent years, the FDA has issued warning letters to many cosmetic companies alleging improper structure/function claims regarding their cosmetic products, including, for example, product claims regarding gene activity, cellular rejuvenation, and rebuilding collagen. There is a degree of subjectivity in determining whether a claim is an improper structure/function claim. Given this subjectivity and our research and development focus on the sources of aging and the influence of certain ingredients on gene expression, there is a risk that we could receive a warning letter, be required to modify our product claims or take other actions to satisfy the FDA if the FDA determines any of our marketing materials include improper structure/function claims for our cosmetic products. In addition, plaintiffs’ lawyers have filed class action lawsuits against some of our competitors after our competitors received these FDA warning letters. There can be no assurance that we will not be subject to government actions or class action lawsuits, which could harm our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the United States, the FTC’s Guides Concerning the Use of Endorsements and Testimonials in Advertising (“Guides”) require disclosure of material connections between an endorser and the company they are endorsing, and they generally do not allow marketing using atypical results. Our sales force has historically used testimonials and “before and after” photos to market and sell some of our popular products such as our spa devices and </w:t>
      </w:r>
      <w:r>
        <w:rPr>
          <w:rFonts w:ascii="Times New Roman" w:cs="Times New Roman" w:eastAsia="Times New Roman" w:hAnsi="Times New Roman"/>
          <w:sz w:val="18"/>
          <w:szCs w:val="18"/>
          <w:i w:val="1"/>
          <w:iCs w:val="1"/>
          <w:color w:val="auto"/>
        </w:rPr>
        <w:t>ageLOC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Transformation </w:t>
      </w:r>
      <w:r>
        <w:rPr>
          <w:rFonts w:ascii="Times New Roman" w:cs="Times New Roman" w:eastAsia="Times New Roman" w:hAnsi="Times New Roman"/>
          <w:sz w:val="18"/>
          <w:szCs w:val="18"/>
          <w:color w:val="auto"/>
        </w:rPr>
        <w:t>anti-aging skin care system. We intend to continue to use testimonials for our popular products, including weight management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beauty products. In highly regulated and scrutinized product categories such as weight management, if we or our sales force fails to comply with the Guides or makes improper product claims, the FTC could bring an enforcement action against us and we could be fined and/or forced to alter our marketing materials. In addition, during 2023, the FTC sent notices of penalty offense to nearly 700 companies, including us, regarding the requirement of sufficient substantiation for product claims. Pursuant to the FTC’s “penalty offense authority,” companies that received the notice are expected to comply with the standards set in the FTC’s prior administrative cases on this topic, and they could incur significant civil penalties if they or their representatives fail to do so.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could be harmed if we or our vendors fail to comply with Good Manufacturing Practices.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Across our markets, there are regulations on a diverse range of Good Manufacturing Practices that apply to us and to our vendors covering product categories such as dietary supplements, cosmetics, foods, over-the-counter drugs and medical devices. The Good Manufacturing Practices impose stringent requirements on a variety of topics, including vendor qualifications, ingredient identification, manufacturing controls and record keeping. Ingredient identification requirements, which often require us to confirm the levels, identity and potency of ingredients listed on our product labels within a narrow range, are particularly burdensome and difficult for us because our products contain many different ingredients. Additionally, certain Good Manufacturing Practices obligate us to track and periodically report adverse events to government agencies. Compliance with these increasing regulations may further increase the cost of manufacturing certain of our products as we work with our vendors to assure they are qualified and in compliance. In addition, our operations could be harmed if regulatory authorities determine that we or our vendors are not in compliance with these regulations or if public reporting of adverse events harms our reputation for quality and safety. A finding of noncompliance may result in administrative warnings, penalties or actions impacting our ability to continue selling certain products, including public withdrawals, seizures and recalls. For example, we have had product recalls in the United States based on labeling issues. Problems associated with product recalls could be exacerbated due to the global nature of our business because a recall in one jurisdiction could lead to recalls in other jurisdictions. In addition, these risks associated with noncompliance could increase as we acquire businesses, including our current and future Rhyz businesses.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our current or any future device products are determined to be medical devices in a particular geographic market, or if our sales force uses these products for medical purposes or makes improper medical claims, our ability to continue to market and distribute such devices could be harmed, and we could face legal or regulatory actions.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of our strategies is to market unique and innovative products that allow our sales force to distinguish our products. As we pursue this strategy with our current and future device products, there is a risk that regulatory authorities in our markets could determine that these products must receive clearance or be registered as medical devices. Such a determination could restrict our ability to import or sell the product in such market until registration or clearance is obtained. The process for obtaining such registrations and clearances could require us to provide documentation concerning product manufacturing and clinical utility; to make design, specification and manufacturing process modifications to meet standards imposed on medical device companies; and to modify our marketing claims regarding the registered product.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While we have not been required to register our device products as medical devices in most markets, we have registered some of them in some markets, including </w:t>
      </w:r>
      <w:r>
        <w:rPr>
          <w:rFonts w:ascii="Times New Roman" w:cs="Times New Roman" w:eastAsia="Times New Roman" w:hAnsi="Times New Roman"/>
          <w:sz w:val="18"/>
          <w:szCs w:val="18"/>
          <w:i w:val="1"/>
          <w:iCs w:val="1"/>
          <w:color w:val="auto"/>
        </w:rPr>
        <w:t>ageLOC Boost</w:t>
      </w:r>
      <w:r>
        <w:rPr>
          <w:rFonts w:ascii="Times New Roman" w:cs="Times New Roman" w:eastAsia="Times New Roman" w:hAnsi="Times New Roman"/>
          <w:sz w:val="18"/>
          <w:szCs w:val="18"/>
          <w:color w:val="auto"/>
        </w:rPr>
        <w:t xml:space="preserve"> in Thailand and our </w:t>
      </w:r>
      <w:r>
        <w:rPr>
          <w:rFonts w:ascii="Times New Roman" w:cs="Times New Roman" w:eastAsia="Times New Roman" w:hAnsi="Times New Roman"/>
          <w:sz w:val="18"/>
          <w:szCs w:val="18"/>
          <w:i w:val="1"/>
          <w:iCs w:val="1"/>
          <w:color w:val="auto"/>
        </w:rPr>
        <w:t>ageLOC Galvanic Facial Spa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ageLOC Body Spa</w:t>
      </w:r>
      <w:r>
        <w:rPr>
          <w:rFonts w:ascii="Times New Roman" w:cs="Times New Roman" w:eastAsia="Times New Roman" w:hAnsi="Times New Roman"/>
          <w:sz w:val="18"/>
          <w:szCs w:val="18"/>
          <w:color w:val="auto"/>
        </w:rPr>
        <w:t xml:space="preserve"> systems in Indonesia, Thailand, Peru and Colombia. We also sought and received clearance from the United States Food and Drug Administration to market our </w:t>
      </w:r>
      <w:r>
        <w:rPr>
          <w:rFonts w:ascii="Times New Roman" w:cs="Times New Roman" w:eastAsia="Times New Roman" w:hAnsi="Times New Roman"/>
          <w:sz w:val="18"/>
          <w:szCs w:val="18"/>
          <w:i w:val="1"/>
          <w:iCs w:val="1"/>
          <w:color w:val="auto"/>
        </w:rPr>
        <w:t>Nu Skin Facial Spa</w:t>
      </w:r>
      <w:r>
        <w:rPr>
          <w:rFonts w:ascii="Times New Roman" w:cs="Times New Roman" w:eastAsia="Times New Roman" w:hAnsi="Times New Roman"/>
          <w:sz w:val="18"/>
          <w:szCs w:val="18"/>
          <w:color w:val="auto"/>
        </w:rPr>
        <w:t xml:space="preserve"> device and, more recently, our </w:t>
      </w:r>
      <w:r>
        <w:rPr>
          <w:rFonts w:ascii="Times New Roman" w:cs="Times New Roman" w:eastAsia="Times New Roman" w:hAnsi="Times New Roman"/>
          <w:sz w:val="18"/>
          <w:szCs w:val="18"/>
          <w:i w:val="1"/>
          <w:iCs w:val="1"/>
          <w:color w:val="auto"/>
        </w:rPr>
        <w:t xml:space="preserve">Nu Skin RenuSpa iO </w:t>
      </w:r>
      <w:r>
        <w:rPr>
          <w:rFonts w:ascii="Times New Roman" w:cs="Times New Roman" w:eastAsia="Times New Roman" w:hAnsi="Times New Roman"/>
          <w:sz w:val="18"/>
          <w:szCs w:val="18"/>
          <w:color w:val="auto"/>
        </w:rPr>
        <w:t>device for over-the-counter use. We are currently pursuing medical device registration of</w:t>
      </w:r>
      <w:r>
        <w:rPr>
          <w:rFonts w:ascii="Times New Roman" w:cs="Times New Roman" w:eastAsia="Times New Roman" w:hAnsi="Times New Roman"/>
          <w:sz w:val="18"/>
          <w:szCs w:val="18"/>
          <w:i w:val="1"/>
          <w:iCs w:val="1"/>
          <w:color w:val="auto"/>
        </w:rPr>
        <w:t xml:space="preserve"> Nu Skin WellSpa iO </w:t>
      </w:r>
      <w:r>
        <w:rPr>
          <w:rFonts w:ascii="Times New Roman" w:cs="Times New Roman" w:eastAsia="Times New Roman" w:hAnsi="Times New Roman"/>
          <w:sz w:val="18"/>
          <w:szCs w:val="18"/>
          <w:color w:val="auto"/>
        </w:rPr>
        <w:t>in Thailand,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process could delay the launch of this product in Thailand.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cases, challenges can arise even after we have completed the required registration/clearance process or determined that a product does not need registration/clearance. This could occur if a jurisdiction changes its laws or interpretations thereof, for example. In addition, if, in violation of our policies, our sales force attempts to import or export products from one market to another, makes medical claims regarding our products, or uses our products to perform medical diagnoses or other activities limited to licensed professionals or approved medical devices (in markets where the product is not approved), it could negatively impact our ability to market or sell these products and subject us to legal or regulatory actions.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medical device regulations vary widely from market to market, registration or clearance in one market does not preclude challenges or delays in obtaining registration or clearance in other markets, nor does it preclude other markets from requiring us to make additional modifications or provide additional documentation as conditions to granting clearance. Furthermore, in some cases, registration or clearance to sell a product in one market may be used as precedent for requiring similar approval for the product in another market, or for similar products in the same market. These additional requirements could increase the cost associated with manufacturing and selling these products as non-medical devices in such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 factors could have a material negative impact on our ability to sell products and could negatively affect our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product liability claims that could harm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a variety of different products for human consumption and use, including cosmetics, dietary supplements, conventional foods, OTC drugs and devices. Our cosmetics and conventional foods, as well as some of our dietary supplements, are not generally subject to pre-market approval or registration processes so we cannot rely upon a government safety panel to qualify or approve our products for use, and some ingredients may not have long histories of human consumption or use. We rely upon published and unpublished safety information including clinical studies on ingredients used in our products and conduct our own clinical and safety studies on some key ingredients and products, but not all products. A product may be safe for the general population when consumed or used as directed but could cause an adverse reaction for some individuals, such as a person who has a health condition or allergies or who is taking a prescription medication. While we include what we believe are adequate instructions and warnings and we have historically had low numbers of reported reactions, previously unknown adverse reactions could occur. If we discover that our products are causing adverse reactions, or if we determine that any of our employees have not properly handled reports of adverse reactions, we could suffer further adverse publicity or government sanctions.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type of products that we sell, we may be subject to various product liability claims, including that the products fail to meet quality or manufacturing specifications, contain contaminants, include inadequate instructions as to their proper use, include inadequate warnings concerning side effects and interactions with other substances or for persons with health conditions or allergies, or cause adverse reactions or side effects. Consumer protection laws and regulations governing our business continue to expand, and in some states such as California, class-action lawsuits based on increasingly novel theories of liability are expanding. Product liability claims could increase our costs, cause negative publicity, and adversely affect our business and financial results. As we continue to offer an increasing number of new products through large product offerings our product liability risk may increase.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sales force or employees provide improper advice regarding our products or our products’ use or safety, we may be subject to additional product liability.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generally elected to self-insure our product liability risks. We periodically evaluate whether we can and should obtain product liability insurance. Based upon our current approach to product liability risk management, if any of our products are found to cause any injury or damage or we become subject to product liability claims, we will be subject to the full amount of liability associated with any injuries or damages. This liability could be substantial and may exceed our existing reserves and harm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Regulatory and Compliance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become involved in legal proceedings and other matters that could adversely affect our operations or financial results.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and regularly are, a party to litigation, government inquiries or investigations, audits or other legal matters. These legal proceedings may include, among other things, claims alleging violation of the federal securities laws or state corporate laws, or claims related to employment matters, contracts, intellectual property, fair-competition/anti-trust laws, our products, business opportunity or advertising, defamation, negligence, data breaches, privacy compliance, or other matters. Claims may be brought by a regulator, investor, member of our sales force, consumer, employee or other private parties and in some cases may be brought as class action lawsuits.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increased activity during the past several years with acquisitions, divestments and other investment-related activities introduces an additional area of litigation risk, and we have had litigation and threats of litigation related to these matters. Other parties in the transactions or potential transactions, or other parties involved in the businesses themselves, could bring claims against us. For example, from 2019 until January 2023, we were in litigation with a dairy farmer who claimed he was a general partner in our former indoor-growing business and related businesses. He also sought damages exceeding $250 million. Although we ultimately reached a settlement agreement with him in January 2023, there can be no assurance that the resolution of future cases will be favorable to us.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litigation claims, regulatory actions or other legal matters are expensive and time consuming and can result in settlements, adverse rulings or damages that could significantly affect financial results and the conduct of our business. It is not possible to predict the final resolution of any legal proceeding to which we may become party, and the impact of these matters on our business, results of operations and financial condition could be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Non-compliance with anti-corruption laws could harm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international operations are subject to various anti-corruption laws, including principally the U.S. Foreign Corrupt Practices Act (the “FCPA”). The FCPA and the anti-corruption laws of other jurisdictions where we operate generally prohibit companies and their agents or intermediaries from making improper payments for the purpose of obtaining or retaining business, and they require companies to maintain books and records and internal accounting controls. We dedicate time and resources to internal investigations of any allegation that we are not or may not be in compliance with anti-corruption laws. Such allegations, even if untrue, may result in a government investigation by a foreign or U.S. regulator, including the U.S. Department of Justice and the Securities and Exchange Commission. Our corporate policies require all employees to comply with the FCPA and other applicable anti-corruption laws, including the FCPA’s books-and-records and internal-accounting-controls requirements. Any regulatory determination, however, that our operations or activities are not in compliance with existing anti-corruption laws or regulations could result in the imposition of substantial fines and other penalties from U.S. or other regulatory entities.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implemented anti-corruption policies, controls and training globally to maintain a sufficient system of books and records and internal accounting controls, we have in the past and may in the future have regulatory investigations and penalties. We cannot guarantee that our compliance efforts will prevent future investigations, fines or penalties under the FCPA or other anti-corruption laws. Our competitors operating in Mainland China have also faced allegations from U.S. regulators and been fined accordingly in some circumstances. For example, in 2020, one of our competitors entered into a large settlement with U.S. regulators related to allegations that its employees violated the FCPA in Mainland China.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cannot predict the nature, scope or effect of future regulatory requirements to which our international operations might be subject or the manner in which existing or new laws might be administered or interpreted. Alleged or actual violations of any such existing or future laws (either due to our own acts or our inadvertence, or due to the acts or inadvertence of others) may result in criminal or civil sanctions or reputational harm, which could have a material adverse effect on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failure of our internal controls over financial reporting or our regulatory compliance efforts could harm our stock price and our financial and operating results or could result in fines or penalties.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implemented internal controls to help ensure the completeness and accuracy of our financial reporting and to detect and prevent fraudulent actions within our financial and accounting processes. We have also implemented compliance policies and programs to help ensure that our employees and sales force comply with applicable laws and regulations. Our internal audit team regularly audits our internal controls and various aspects of our business and compliance program, and we regularly assess the effectiveness of our internal controls. There can be no assurance, however, that our internal or external assessments and audits will identify all fraud, misstatements in our financial reporting, and significant deficiencies or material weaknesses in our internal controls. Material weaknesses have in the past, and may in the future, resulted in a material misstatement of our financial results, requiring us to restate our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initiate further investigations into our business operations to further bolster our regulatory compliance efforts or based on the results of our internal and external audits or on complaints, questions or allegations made by employees or other parties regarding our business practices and operations. In addition, our business and operations may be investigated by applicable government authorities. In the event any of these investigations identify material violations of applicable laws by our employees, sales force or affiliates, we could be subject to adverse publicity, fines, penalties or loss of licenses or permits.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Taxes, Customs and Debt</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We are subject to changes in tax and customs laws, changes in our tax rates, the adoption of new U.S. or international tax legislation or exposure to additional tax liabilities, which could have a material and adverse impact on our effective tax rate, operating results, cash flows and financial condition.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U.S. company doing business globally, we are subject to applicable tax and customs laws, including those relating to intercompany pricing regulations and transactions between our corporate entities in the jurisdictions in which we do business, as well as customs valuation and classification, income taxes, value-added taxes, withholding taxes, payroll taxes, and other applicable taxes. Tax and customs laws, regulations, administrative practices and interpretations in each jurisdiction are subject to change, with or without notice, due to economic, political or other conditions. For example, in 2022, the United States enacted the Inflation Reduction Act, which imposes a 1% excise tax on stock repurchases, subject to certain adjustments or exceptions. Changes in the law or in authorities’ interpretation of the law can materially increase our tax or customs expense and our effective tax rate.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numerous jurisdictions in which our subsidiaries are organized and changes in laws and their interpretations, significant judgment is required in evaluating and estimating our provision for income taxes. Our future effective tax rates could be affected by numerous factors, such as intercompany transactions, changes in our business operations, acquisitions and dispositions, entry into new markets, the amount of our earnings and where earned, losses incurred, the inability to realize tax benefits, changes in foreign currency exchange rates, changes in our stock price, uncertain tax positions, allocation and apportionment of state taxes, changes in our deferred tax assets and liabilities and changes in their valuation. In addition, U.S. and foreign governments may enact tax laws or enter into tax treaties that could result in further changes to global taxation and may materially affect our operating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Government authorities may question our tax or customs positions or change their laws in a manner that could increase our effective tax rate or otherwise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our best efforts to be aware of and comply with tax and customs laws, including changes to and interpretations thereof, local authorities can and sometimes do question our tax and customs positions. We are regularly subject to tax and customs audits, investigations, inquiries or other tax controversies by tax and customs authorities around the world regarding income taxes, customs valuation and classification, transfer pricing, value-added taxes, withholding taxes, payroll taxes, and other applicable taxes. The ultimate resolution of these matters can take several years, and the outcome is uncertain and can include additional taxes/customs duties, the payment of back taxes/customs duties, interest and penalties. We reserve in our consolidated financial statements amounts that we believe are in accordance with U.S. GAAP, and we regularly assess the likelihood of an adverse outcome in these matters to determine the adequacy of our accruals and adjust them as appropriate. However, developments in these matters could warrant an additional accrual and expense, and the ultimate outcome could be materially different from our accruals, which could materially impact our effective tax rate and/or our overall tax or customs expense.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decline in our business could adversely affect our financial position and liquidity, and our debt covenants could limit our ability to pursue transactions or other opportunities that could be beneficial to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significant decline in our operating results could adversely affect our financial position and liquidity. Under the terms of our credit facility, we are required to maintain certain interest coverage and leverage ratios. In addition, our outstanding borrowings under our credit facility and related term loan impose debt service and amortization requirements. A significant deterioration in our results of operations, whether as a result of prevailing economic, financial and industry conditions, or other causes, could impact our ability to comply with our debt covenants and debt service and amortization obligations, which could result in an event of default under the terms of our credit facility. An event of default under our credit facility could result in an inability to access funding under the agreement and cause all outstanding amounts to become immediately due and payable, which would have a material adverse effect on our financial condition and liquidity.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even if we do not default, our debt covenants could impose limitations on our ability to pursue transactions or other opportunities that could be beneficial to our business. For example, in June 2023, we borrowed $80 million under our revolving credit facility in connection with our purchase of Beauty Biosciences LLC. We will be unable to borrow additional funds to pursue other transactions or opportunities if such additional borrowing would cause us to be in violation of our debt covenants.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claims of infringement on the intellectual property rights or trade secrets of others, resulting in costly litigation.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there has been significant litigation in the United States involving patents and other intellectual property rights. In particular, there has been an increase in the filing of suits alleging infringement of intellectual property rights, which pressure defendants into entering into settlement arrangements quickly to dispose of such suits, regardless of their merit. Other companies or individuals may allege that we, or our sales force, consumers, licensees or other parties indemnified by us, infringe on their intellectual property rights. Even if we believe that such claims are without merit, defending such intellectual property litigation can be costly, distract management’s attention and resources, and the outcome is inherently uncertain. Claims of intellectual property infringement also might require us to redesign affected products, enter into costly settlement or license agreements, pay costly damage awards, or face a temporary or permanent injunction prohibiting us from marketing or selling certain of our products. Any of these results may adversely affect our financial condition.</w:t>
      </w:r>
    </w:p>
    <w:p>
      <w:pPr>
        <w:sectPr>
          <w:pgSz w:w="11900" w:h="16838" w:orient="portrait"/>
          <w:cols w:equalWidth="0" w:num="1">
            <w:col w:w="11240"/>
          </w:cols>
          <w:pgMar w:left="320" w:top="116"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beauty or wellness product companies, including our competitors or potential competitors. To the extent that our employees are involved in research areas that are similar to those in which they were involved with their former employers, we may be subject to claims that such employees have inadvertently or otherwise used or disclosed the alleged trade secrets or other proprietary information of the former employers. Litigation may be necessary to defend against such claims.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protect our intellectual property rights or our proprietary information and know-how, our ability to compete could be negatively impacted and the value of our products could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for our products depends to a significant extent upon the value associated with our product innovations and our brand equity. We rely upon patent, copyright, trademark, and trade secret laws in the United States and other markets, and non-disclosure, confidentiality, and other types of agreements with our employees, sales force, customers, suppliers and other parties, to establish, maintain and enforce our intellectual property rights. Despite these measures, any of our intellectual property rights could be challenged, invalidated, circumvented, or misappropriated, or such intellectual property rights may not be sufficient to permit us to provide competitive advantages, which could result in costly product redesign efforts, discontinuance of certain product offerings or other competitive harm. In addition, the laws of certain foreign markets where we have significant business, including markets such as Mainland China, do not protect our intellectual property rights to the same extent as the laws of the United States.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costs required to protect our patents and trademarks may be substantial. In some cases it may not even be practical to seek to register our intellectual property for various reasons, including costs and enforceability. We have filed patent and trademark applications globally to protect our intellectual property rights in our new technologies; however, there can be no assurance that our patent and trademark applications will be approved and issued, that any patents and trademarks issued will adequately protect our intellectual property, or that such patents and trademarks will not be challenged by third parties or found by a judicial authority to be invalid or unenforceable. Additionally, we cannot guarantee that our intellectual property rights will be respected and not infringed by third parties. Moreover, many of our products rely on technologies developed or licensed by third parties, and we may not be able to obtain or continue to obtain licenses and technologies from these third parties on reasonable terms or at all.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we become aware of potential violations of our intellectual property rights. For example, we are aware of the use of and attempts to obtain trademark registrations for “Nu Skin” or phonetically similar marks and of some products that may infringe on our intellectual property related to the </w:t>
      </w:r>
      <w:r>
        <w:rPr>
          <w:rFonts w:ascii="Times New Roman" w:cs="Times New Roman" w:eastAsia="Times New Roman" w:hAnsi="Times New Roman"/>
          <w:sz w:val="18"/>
          <w:szCs w:val="18"/>
          <w:i w:val="1"/>
          <w:iCs w:val="1"/>
          <w:color w:val="auto"/>
        </w:rPr>
        <w:t>ageLOC LumiSpa</w:t>
      </w:r>
      <w:r>
        <w:rPr>
          <w:rFonts w:ascii="Times New Roman" w:cs="Times New Roman" w:eastAsia="Times New Roman" w:hAnsi="Times New Roman"/>
          <w:sz w:val="18"/>
          <w:szCs w:val="18"/>
          <w:color w:val="auto"/>
        </w:rPr>
        <w:t xml:space="preserve"> device. To enforce and protect our intellectual property rights, we may initiate actions against third parties to protect our intellectual property, such as patent, copyright, and trademark infringement lawsuits or interference proceedings, and seek indemnification by contract or otherwise. Any lawsuits that we initiate could be expensive, take significant time and divert management’s attention from other business concerns, and we may ultimately fail to prevail or recover on any indemnification claim. Litigation also puts our patents and trademarks at risk of being invalidated or interpreted narrowly and our patent and trademark applications at risk of not issuing. Additionally, we may provoke third parties to assert claims against us. We may not prevail in any lawsuits that we initiate and the damages or other remedies awarded, if any, may not be commercially valuable. The occurrence of any of these events may adversely affect our financial condition or diminish our investments in this area.</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patented technology, we rely on our unpatented proprietary technology, trade secrets, processes and know-how. We generally seek to protect this information by confidentiality, non-disclosure and assignment of invention agreements with our employees, consultants, scientific advisors and third parties. Our employees may leave to work for competitors. Our sales force members may seek other opportunities. These agreements may be breached, and we may not have adequate remedies for any such breach. In addition, our trade secrets may be disclosed to or otherwise become known or be independently developed by competitors. To the extent that our current or former employees, sales force, consultants or contractors use intellectual property owned by others in their work for us, disputes may arise as to the rights in related or resulting know-how and inventions. If, for any of the above reasons, our intellectual property is disclosed or misappropriated, it would harm our ability to protect our rights and adversely affect our financial condition.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Security and Privacy Risks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Failure to maintain satisfactory compliance with certain privacy and data protections laws and regulations, and the integrity of company, employee, sales force, customer or guest data could expose us to litigation, liability, substantial negative financial consequences and harm to our reputation.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transmit and/or store large volumes of company, employee, sales force, customer and guest data, including payment card information, personally identifiable information, health-related data and other personal information, for business purposes, including for transactional and promotional purposes, and our various information technology systems enter, process, summarize, report and transmit such data. The various mobile applications, connected beauty and wellness devices, and other connected tools that we have developed or are developing also collect data. The integrity and protection of this data is critical to our business.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security and privacy regulations in the markets where we do business, as well as requirements imposed by the payment card industry. For example, the General Data Protection Regulation, which went into effect in the European Union in 2018, imposes increased data protection regulations, the violation of which could result in fines of up to 4% of annual consolidated revenue. Many other U.S. states and foreign jurisdictions have similarly enacted security and privacy regulations. California’s newest privacy laws, the California Consumer Privacy Act and the California Privacy Rights Act, enacted in 2018 and 2020, respectively, provide a private right of action for consumers against businesses who have violated their rights under these laws, including the right to recover statutory damages ranging between $100 and $750 per consumer per incident for certain types of data breaches. Other data privacy or data protection laws or regulations have been adopted or are under consideration in many other jurisdictions. We anticipate that federal, state and international regulators will continue to enact legislation related to data protection and privacy. These laws may impose restrictions on our ability to gather and/or transfer personal data, provide individuals with additional rights around their personal data, and place downstream obligations on our Brand Affiliates or other business partners relating to their use of information we provide. Many other jurisdictions, including California and Mainland China, have increased enforcement of laws and regulations that have recently taken effect. We believe these trends will continue.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congressional committees have held preliminary hearings about the advisability of a federal data privacy law, but it is uncertain whether the federal government will adopt such a law and whether it would preempt state data privacy laws. Efforts have been made in recent years at the federal level to establish a comprehensive privacy regime including many of the concepts found in other state and federal privacy bills and laws, such as consent requirements for entities providing services to the public that collect, store, process, use or otherwise control sensitive personal information. The prospect of new data privacy laws and ambiguity regarding the interpretation of new and existing laws has resulted in significant uncertainty and compliance costs.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laws specifically governing privacy and data security, in some cases, federal and state regulators and state attorneys general and administrative agencies have interpreted more general consumer protection laws to impose standards for the online collection, use, dissemination and security of data. Plaintiffs’ counsels have also put forward a number of novel theories suing companies on the basis of their collection and use of information under existing privacy-adjacent laws. Although we monitor regulatory developments in this area, laws may be implemented, interpreted, or enforced in a non-uniform or inconsistent way across jurisdictions, and we may not be aware of every development that impacts our business. Any actual or perceived failure by us to comply with these requirements could subject us to significant penalties, lawsuits and negative publicity and require changes to our business practices. The costs of complying with existing or new data privacy or data protection laws and regulations may limit our ability to gather personal information needed to provide our products and services, delay or impede the development of new products and services, or negatively impact the use of or demand for our products and services, any of which could harm our business. In particular, maintaining compliance with these and other evolving regulations and requirements around the world has required changes to our information system architecture, data transfer and data storage processes. For example, data privacy laws in Mainland China and other jurisdictions place restrictions on the cross-border transmission of personal data, which could impede our ability to perform many business functions, including calculating and paying compensation to our sales force, absent significant changes to our information system architecture. Changing our information system architecture and data transfer and storage processes is difficult and expensive. Investigations by the regulators of data security or protection laws across jurisdictions could also result in the payment of fines, reputational harm and an inability to continue doing business in certain jurisdictions. Class actions or other private actions by affected individuals in some jurisdictions could also result in significant monetary or reputational damage.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additional factors also cause risks related to the use of data:</w:t>
      </w:r>
    </w:p>
    <w:p>
      <w:pPr>
        <w:spacing w:after="0" w:line="225"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force—We share certain data with our sales force. We could face fines, investigations, lawsuits or other legal action if our sales force violates, or is perceived to violate, applicable laws and regulations, and our reputation and brand could be negatively impacted.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card industry data security standards—A failure to adhere to the payment card industry’s data security standards could cause us to incur penalties from payment card associations, termination of our ability to accept credit or debit card payments, litigation and adverse publicity, any of which could have a material adverse effect on our business and financial condition.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(“AI”)—If we introduce AI technologies into new or existing offerings or back-office functions, it may result in new or expanded risks and liabilities due to enhanced governmental or regulatory scrutiny, litigation, compliance issues, ethical concerns, and data privacy and security risks, all of which could adversely affect our business, reputation, and financial results. For example, the use of AI technologies could lead to unintended consequences, such as accuracy issues, cybersecurity risks, unintended biases, and discriminatory outputs, which could impact our ability to protect our data, intellectual property, and client information, or could expose us to intellectual property claims by third parties.</w:t>
      </w:r>
    </w:p>
    <w:p>
      <w:pPr>
        <w:sectPr>
          <w:pgSz w:w="11900" w:h="16838" w:orient="portrait"/>
          <w:cols w:equalWidth="0" w:num="1">
            <w:col w:w="11240"/>
          </w:cols>
          <w:pgMar w:left="320" w:top="116"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unauthorized access, use, theft or destruction of our information systems or of data that is stored in our information systems or by third parties on our behalf could impact our reputation and brand and expose us to potential liability and loss of revenues.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breached or compromised data system or the intentional, inadvertent or negligent release, misuse or disclosure of data could result in theft, loss, or fraudulent or unlawful use of company, employee, sales force, customer or guest data. Although we take measures to protect the security, integrity, accessibility and confidentiality of our data systems, we experience cyberattacks of varying degrees and types on a regular basis. Our infrastructure may be vulnerable to these attacks, and in some cases it could take time to discover them. Our security measures may also be breached due to employee error or malfeasance, system errors or otherwise. Additionally, outside parties may attempt to fraudulently induce employees, users, or customers to disclose confidential information to gain access to our systems, our data, or our users’ or customers’ data. Any such breach or unauthorized access could result in the unauthorized disclosure, misuse or loss of sensitive information and lead to significant legal and financial exposure, regulatory inquiries or investigations, loss of confidence by our sales force and customers, disruption of our operations, damage to our reputation, and costs associated with remediating the incident.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should a threat-actor successfully breach our systems to a significant extent, they could disable our systems or take our systems offline via ransomware, and such actions could stop or significantly impair our ability to conduct business, including processing orders and tracking and timely paying sales compensation to our sales force. Additionally, threat-actors regularly extort money from victims as a condition to returning the victim’s systems to operation and/or to not releasing stolen data to the public.</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risks are heightened as we work with third-party providers, including providers of mobile and cloud technologies, and as our sales force uses social media, as our third-party providers and the social media platforms could be vulnerable to the same types of breaches and other risks. These risks also are heightened as a result of our recent restructurings, which affected several functions at our company, including our information technology and information security functions. Acquisition activity, which we have engaged in and which we plan to continue to engage in, may also heighten these risks, as the systems of the companies we acquire are not under our control prior to the acquisitions and it may take time to evaluate these systems and implement appropriate modifications to them.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Sustainability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negatively impacted by corporate citizenship and sustainability matters.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increased and increasing expectations and focus from certain investors, Brand Affiliates, consumers, employees, regulators and other stakeholders concerning corporate citizenship and sustainability matters, including environmental, social and governance matters; packaging; responsible sourcing; and diversity, equity and inclusion matters. In addition, some jurisdictions, including California and the European Union, have enacted laws requiring public disclosure of information in these areas, and from time to time, we announce certain initiatives and goals in these areas. We could fail, or be perceived to fail, in our achievement of such initiatives or goals or in meeting stakeholders’ expectations, or we could fail in complying with laws or accurately reporting our progress on such initiatives, goals and expectations. Moreover, the standards by which corporate citizenship and sustainability efforts and related matters are measured are developing and evolving, and certain areas are subject to assumptions. The standards or assumptions could change over time. In addition, we could be criticized for the scope of our initiatives or goals or perceived as not acting responsibly in connection with these matters, such as with our carbon footprint, recyclability of our packaging, ingredients used in our products or the sourcing of such ingredients. Any such matters, or related corporate citizenship and sustainability matters, could have a material adverse effect on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Class A common stock is subject to significant fluctuations due to a number of factors that are beyond our control.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Class A common stock closed at $48.19 per share on January 31, 2022 and closed at $18.56 per share on January 31, 2024. During this two-year period, our common stock traded as low as $16.15 per share and as high as $56.76 per share. Many factors, including some we may be unable to control, could cause the market price of our Class A common stock to fall. Some of these factors include:</w:t>
      </w:r>
    </w:p>
    <w:p>
      <w:pPr>
        <w:spacing w:after="0" w:line="17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investigations of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or adverse publicity related to our business, products, industry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of Class A common stock by significant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general trends in the market,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currency exchange issues in markets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operating performance or changes in recommendations by securities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including short selling and options trading;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business, regulatory and political conditions.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 market fluctuations could also lower the market price of our Class A common stock regardless of our actual operating performance.</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u w:val="single" w:color="auto"/>
          <w:color w:val="auto"/>
        </w:rPr>
        <w:t>CYBERSECURITY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company is exposed to a variety of evolving cybersecurity risks. We invest in our cybersecurity program to proactively manage and mitigate these risks. On an annual basis, we utilize our Enterprise Risk Management (“ERM”) program to estimate our annual loss potential based on our defined control framework and its overall effectiveness. In conjunction with our ERM program, the cybersecurity program references the CIS Critical Security Controls and the NIST Cybersecurity Framework (CSF) to guide our organization’s risk identification and mitigation procedures. In addition, we undergo an annual third-party external penetration test, as well as third-party attack-surface monitoring to understand our potential vulnerabilities, threat vectors, and additional impacts to critical assets and operations. In addition, our cybersecurity team performs procedures to identify risks that inform our annual security roadmap.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engage third-party cybersecurity experts to provide independent assessments of our cybersecurity readiness and control effectiveness. Our goal in collaborating with external cybersecurity firms is to gain insights and knowledge into emerging threats and vulnerabilities, industry trends and best practices to inform our risk remediation efforts. Additionally, we engage with our externally retained incident response team and select internal teams to perform tabletop exercises that inform our cybersecurity response capabilities and resilience.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enact a process to perform a risk assessment of new third-parties, inclusive of new third-party contracts, which provides an additional layer of oversight in identifying material risks associated with the use of particular external service providers.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this time, we have not identified risks from known cybersecurity threats, including as a result of any previous cybersecurity incidents, that have materially affected our business strategy, results of operations or financial condition, but we cannot provide assurance that such risks or future material incidents will not materially affect us in the future. For more information regarding the risks we face from cybersecurity threats, please see Item 1A. Risk Factors.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plays a pivotal role in assessing and managing material risks from cybersecurity threats. Our management has implemented a broad and continuous process for cyber event monitoring, analysis of emerging threats, and the development and implementation of risk mitigation strategies. Led by our Chief Technology Officer (“CTO”) and Chief Information Security Officer (“CISO”), we implement cybersecurity policies, procedures and strategies, including employee training programs, security assessments and attack detection alerts designed to address the constantly evolving threat landscape. Our CTO has over 20 years of technology experience, including roles at Amazon Web Services, Dell EMC, and Ball Aerospace. Our CISO has over 30 years of cybersecurity and IT leadership experience.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Board of Directors level, our Audit Committee oversees our risks related to information security and privacy. To accomplish this responsibility, the Audit Committee meets quarterly with our CTO and CISO to receive and discuss updates on our cybersecurity program. Top risks, key initiatives, material cyber incidents, remediation activity and security metrics are shared to report the overall loss potential, program effectiveness, risk management conditions and current threat landscape. Our Board of Directors is committed to maintaining a well-informed and security-aware business by regularly engaging through updates on the organization’s roadmap and evolving threat landscape.</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properties consist of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administrative offices are our corporate headquarters in Provo, Utah and our offices in Shanghai, China.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distribute our products through distribution centers and warehouses in many of our markets, with our principal facilities being in Provo, Utah and Mainland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Centers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research and development centers in Provo, Utah and Shanghai, China.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Facilities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manufacturing facilities in Mainland China, and two of our Rhyz companies (Manufacturing segment) operate manufacturing facilities in Provo, Utah, Draper, Utah and West Valley City, Utah.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the above properties, except we lease the manufacturing facilities in Provo, Utah and West Valley City, Utah, certain of the manufacturing facilities in China, and the land for our facilities in Shanghai, China.</w:t>
      </w:r>
    </w:p>
    <w:p>
      <w:pPr>
        <w:spacing w:after="0" w:line="3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980" w:right="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u w:val="single" w:color="auto"/>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New York Stock Exchange and trades under the symbol “NUS.” The approximate number of holders of record of our Class A common stock as of January 31, 2024 was 210. This number of holders of record does not represent the actual number of beneficial owners of shares of our Class A common stock because shares are frequently held in “street name” by securities dealers and others for the benefit of individual owners who have the right to vote their shares.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4"/>
                <w:szCs w:val="2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194"/>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100" w:type="dxa"/>
            <w:vAlign w:val="bottom"/>
          </w:tcPr>
          <w:p>
            <w:pPr>
              <w:spacing w:after="0"/>
              <w:rPr>
                <w:sz w:val="16"/>
                <w:szCs w:val="16"/>
                <w:color w:val="auto"/>
              </w:rPr>
            </w:pPr>
          </w:p>
        </w:tc>
      </w:t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1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Yet Be Purchased Under</w:t>
            </w:r>
          </w:p>
        </w:tc>
      </w:tr>
      <w:tr>
        <w:trPr>
          <w:trHeight w:val="210"/>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r>
      <w:tr>
        <w:trPr>
          <w:trHeight w:val="251"/>
        </w:trPr>
        <w:tc>
          <w:tcPr>
            <w:tcW w:w="504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00" w:type="dxa"/>
            <w:vAlign w:val="bottom"/>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200"/>
              <w:spacing w:after="0" w:line="243" w:lineRule="exact"/>
              <w:rPr>
                <w:sz w:val="20"/>
                <w:szCs w:val="20"/>
                <w:color w:val="auto"/>
              </w:rPr>
            </w:pPr>
            <w:r>
              <w:rPr>
                <w:rFonts w:ascii="Times New Roman" w:cs="Times New Roman" w:eastAsia="Times New Roman" w:hAnsi="Times New Roman"/>
                <w:sz w:val="17"/>
                <w:szCs w:val="17"/>
                <w:color w:val="auto"/>
                <w:w w:val="99"/>
              </w:rPr>
              <w:t>(in millions)</w:t>
            </w:r>
            <w:r>
              <w:rPr>
                <w:rFonts w:ascii="Times New Roman" w:cs="Times New Roman" w:eastAsia="Times New Roman" w:hAnsi="Times New Roman"/>
                <w:sz w:val="28"/>
                <w:szCs w:val="28"/>
                <w:color w:val="auto"/>
                <w:w w:val="99"/>
                <w:vertAlign w:val="superscript"/>
              </w:rPr>
              <w:t>(1)</w:t>
            </w:r>
          </w:p>
        </w:tc>
      </w:tr>
      <w:tr>
        <w:trPr>
          <w:trHeight w:val="216"/>
        </w:trPr>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31, 2023</w:t>
            </w:r>
          </w:p>
        </w:tc>
        <w:tc>
          <w:tcPr>
            <w:tcW w:w="100" w:type="dxa"/>
            <w:vAlign w:val="bottom"/>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30, 2023</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31, 2023</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7"/>
        </w:trPr>
        <w:tc>
          <w:tcPr>
            <w:tcW w:w="4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graph shows the changes in value over the five-year period ended December 31, 2023 of an assumed $100 investment in our Class A common stock, the S&amp;P SmallCap 600 Consumer Staples Index (the “SmallCap Index”) and the S&amp;P 500 Index. The stock performance graph in our Annual Report on Form 10-K for the 2022 fiscal year included the S&amp;P MidCap 400 Consumer Staples Index (the “MidCap Index”). We have determined to begin including the SmallCap Index rather than the MidCap Index because we believe the SmallCap Index is better reflective of our current market cap. As required by SEC rules, we include the MidCap Index in the graph below because we included it for the immediately preceding fiscal year.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Nu Skin Enterprises, Inc., the S&amp;P 500 Index, the S&amp;P SmallCap 600 Consumer Staples Index, and the S&amp;P MidCap 400 Consumer Staples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142875</wp:posOffset>
            </wp:positionV>
            <wp:extent cx="4937760" cy="27343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3776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S&amp;P MidCap 400</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 SmallCap 600</w:t>
            </w:r>
          </w:p>
        </w:tc>
      </w:tr>
      <w:tr>
        <w:trPr>
          <w:trHeight w:val="245"/>
        </w:trPr>
        <w:tc>
          <w:tcPr>
            <w:tcW w:w="21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Measured Period</w:t>
            </w:r>
          </w:p>
        </w:tc>
        <w:tc>
          <w:tcPr>
            <w:tcW w:w="22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Nu Skin</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S&amp;P 500 Index</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Consumer Staples Index</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Consumer Staples Index</w:t>
            </w:r>
          </w:p>
        </w:tc>
      </w:tr>
      <w:tr>
        <w:trPr>
          <w:trHeight w:val="216"/>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2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68.99</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131.49</w:t>
            </w:r>
          </w:p>
        </w:tc>
        <w:tc>
          <w:tcPr>
            <w:tcW w:w="1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110.85</w:t>
            </w:r>
          </w:p>
        </w:tc>
        <w:tc>
          <w:tcPr>
            <w:tcW w:w="10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116.91</w:t>
            </w:r>
          </w:p>
        </w:tc>
      </w:tr>
      <w:tr>
        <w:trPr>
          <w:trHeight w:val="216"/>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155.68</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135.49</w:t>
            </w:r>
          </w:p>
        </w:tc>
        <w:tc>
          <w:tcPr>
            <w:tcW w:w="10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129.93</w:t>
            </w: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91.60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200.37</w:t>
            </w:r>
          </w:p>
        </w:tc>
        <w:tc>
          <w:tcPr>
            <w:tcW w:w="1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149.15</w:t>
            </w:r>
          </w:p>
        </w:tc>
        <w:tc>
          <w:tcPr>
            <w:tcW w:w="10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167.35</w:t>
            </w:r>
          </w:p>
        </w:tc>
      </w:tr>
      <w:tr>
        <w:trPr>
          <w:trHeight w:val="216"/>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78.83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164.08</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148.00</w:t>
            </w:r>
          </w:p>
        </w:tc>
        <w:tc>
          <w:tcPr>
            <w:tcW w:w="10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156.52</w:t>
            </w: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207.21</w:t>
            </w:r>
          </w:p>
        </w:tc>
        <w:tc>
          <w:tcPr>
            <w:tcW w:w="1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171.24</w:t>
            </w:r>
          </w:p>
        </w:tc>
        <w:tc>
          <w:tcPr>
            <w:tcW w:w="1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179.98</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performance graph above shall not be deemed to be “soliciting material” or to be “filed” with the U.S. Securities and Exchange Commission or subject to the liabilities of Section 18 under the Securities Exchange Act of 1934, as amended (the “Exchange Act”). In addition, it shall not be deemed incorporated by reference by any statement that incorporates this Annual Report on Form 10-K by reference into any filing under the Securities Act of 1933 (the “Securities Act”) or the Exchange Act, except to the extent that we specifically incorporate this information by reference.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the consolidated financial statements and related notes, which are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Nu Skin Enterprises, Inc. develops and distributes a comprehensive line of premium-quality beauty and wellness solutions in nearly 50 markets worldwide. In 2023, our revenue of $2.0 billion was primarily generated by our three primary brands: our beauty brand, Nu Skin; our wellness brand, Pharmanex; and our anti-aging brand, ageLOC. We operate in the direct selling channel, primarily utilizing person-to-person marketing to promote and sell our products, including through the use of social and digital platforms. In all of our markets besides Mainland China, we refer to members of our independent sales force as “Brand Affiliates” because their primary role is to promote our brand and products through their personal and social networks.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core Nu Skin business, we also explore new areas of synergistic and adjacent growth through our business arm known as Rhyz Inc. Our Rhyz businesses primarily consist of consumer, technology and manufacturing companies. In 2023, the Rhyz companies generated $216.6 million, or 11% of our 2023 reported revenue (excluding sales to our core Nu Skin business). Rhyz is a key component of our business, and we anticipate its continued growth in the coming years both on an absolute basis and as a percentage of our consolidated revenue. These companies enable us to diversify our revenue mix, serve more customers where they shop, and create synergies for our owned and partner brands.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Global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we generated approximately 26% of our revenue from the United States (consisting of our Nu Skin United States and Rhyz businesses) and the remainder from our international markets. Given the size of our international operations, our results, as reported in U.S. dollars, are often impacted by foreign-currency fluctuations; in 2023, our revenue was negatively impacted 3% from foreign-currency fluctuations compared to 2022. In addition, our results can be impacted by global economic, political, demographic and business trends and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 Global Network of Customers, Paid Affiliates and Sales Leaders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had 977,039 persons who purchased directly from the company during the previous three months (“Customers”). Our Customer numbers include members of our sales force who made such a purchase, including Paid Affiliates and those who qualify as Sales Leaders, but they do not include consumers who purchase directly from members of our sales force. We believe a significant majority of Customers purchase our products primarily for personal or family consumption but are not actively pursuing the opportunity to generate supplemental income by actively and consistently marketing and reselling products.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is highly influenced by the number and productivity of our Sales Leaders. “Sales Leaders” are our Brand Affiliates, as well as sales employees and independent marketers in Mainland China, who achieve certain qualification requirements. Our reported Sales Leaders number is the three-month average of our monthly Sales Leaders as of the end of each month of the quarter.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continue to focus on customer acquisition and social commerce, we believe our number of Paid Affiliates is an important indicator of consumer purchasing activity in our business. “Paid Affiliates” are any Brand Affiliates, as well as members of our sales force in Mainland China, who earned sales compensation during the previous three months. Paid Affiliates power our social commerce model and are a bridge to attracting new customers and nurturing relationships and community.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successful in attracting and motivating our sales force by:</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marketing innovative, technologically and scientifically advanced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compelling initiatives and strong support;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an attractive sales compensation structure.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sales force helps us to rapidly introduce products and penetrate our markets with modest up-front promotional expense. We rely on our sales force to create consumer demand for our products, as opposed to a traditional approach of advertising-generated consumer awareness. Our approach is particularly effective with products that benefit from personal education and demonstration. Similar to other companies in our industry, we experience relatively high turnover among our sales force.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enhance customer retention, we have developed product subscription and loyalty programs that provide incentives for consumers to commit to purchase a specific amount of product on a monthly basis. All purchases under these programs are subject to our standard product payment and return policies. We believe these subscription and loyalty programs have improved consumer retention, have had a stabilizing impact on revenue and have helped generate recurring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Innovation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force markets and sells our products, and attracts others to the opportunity, based on the distinguishing benefits and innovative characteristics of our products. As a result, we leverage our scientific expertise and product development resources to introduce innovative beauty, wellness and anti-aging products. Our sales force is increasingly using social media to market and sell our products. To continue to leverage social media, it is imperative that we develop demonstrable products that are unique and engaging to younger consumers.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delays or difficulties in introducing compelling products or attractive initiatives or tools into our markets may have a negative impact on our revenue and our number of Customers, Paid Affiliates and Sales Leaders.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Product Launch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making a product generally available for purchase in a market, we often do one or more introductory offerings of the product, such as a preview of the product to our Sales Leaders or other product introduction or promotion. We refer to the entire process, beginning with the introductory offering through general availability of the product, as a product launch or our product launch process. The timing of the launch of a particular product often varies from market to market depending on such factors as customer demand, product registration or other local legal requirements, and product availability in our supply chain.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Leader previews and other product introductions and promotions sometimes generate significant activity and a high level of purchasing, which can result in a higher-than-normal increase in revenue during the quarter and can skew year-over-year and sequential comparisons. We believe our product launch process attracts new Customers, Paid Affiliates and Sales Leaders to our business, increases consumer trial and provides us with important marketing and forecasting information about our products. Please refer to Item 1A. Risk Factors for more information on risks related to our product launch process.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report revenue in nine segments, and we translate revenue from each market’s local currency into U.S. dollars using weighted-average exchange rates. Revenue is measured as the amount of consideration we expect to receive in exchange for transferring products. All revenue is recognized when we satisfy our performance obligations under the contract. We recognize revenue by transferring the promised products to the customer, with revenue recognized at shipping point, the point in time the customer obtains control of the products. We recognize revenue for shipping and handling charges at the time the products are delivered to or picked up by the customer. In most markets, we offer a return policy that allows our sales force to return unopened and unused product for up to 12 months subject to a 10% restocking fee. Reported revenue is net of returns, which have historically been less than 5% of annual revenue. Sales taxes and value added taxes in foreign jurisdictions that are collected from customers and remitted to governmental authorities are accounted for on a net basis and therefore are excluded from net sales.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primarily consists of:</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products purchased from third-party vendors;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self-manufactured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adjustments to inventory carrying value;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cost of shipping products to our sales force and import duties for the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and related expenses for licensed technologies.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markets other than Mainland China, in 2023, we sourced most of our beauty products and wellness products from trusted third-party suppliers and manufacturers. In Mainland China, we operate manufacturing facilities where we produce the majority of our beauty and wellness products sold in Mainland China. We also produce some products at these facilities that are exported to other markets. In addition, our Rhyz Manufacturing entities in the United States are producing some of our products. Cost of sales and gross profit, on a consolidated basis, may fluctuate as a result of changes in the ratio between self-manufactured products and products sourced from third-party vendors. In addition, because we purchase a significant amount of our goods in U.S. dollars and recognize revenue in local currencies, our gross margin is subject to exchange rate risks. Because our gross margins vary from product to product and due to higher pricing in some markets, changes in product mix and geographic revenue mix can impact our gross margin on a consolidated basis.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Selling expenses are our most significant expense and are classified as operating expenses. Selling expenses include sales commissions paid to our sales force, special incentives, costs for incentive trips, cost of sales force conventions and other rewards, as well as salaries, service fees, benefits, bonuses and other labor and unemployment expenses we pay to our sales force in Mainland China. The sales force conventions are held in various markets worldwide, which we generally expense in the period in which they are incurred. Because our various sales force conventions are not held during each fiscal year, or in the same period each year, their impact on our general and administrative expenses may vary from year to year and from quarter to quarter. For example, we currently plan to hold a global convention approximately every other year. We held our last in-person global convention in October 2019, as our 2021 global convention was held virtually due to the COVID-19 pandemic. We are currently planning to hold a global convention in 2024 to celebrate our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In addition, we hold regional conventions and conventions in our major markets at different times during the year. These conventions have significant expenses associated with them. Because we have not incurred expenses for these conventions during every fiscal year or in comparable interim periods, year-over-year comparisons have been impacted accordingly. Selling expenses do not include amounts we pay to our sales force based on their personal purchases; rather, such amounts are reflected as reductions to revenue. Our global sales compensation plan, which we employ in all our markets except Mainland China, is an important factor in our ability to attract and retain our Sales Leaders. Under our global sales compensation plan, Sales Leaders can earn “multi-level” compensation, where they earn commissions for product sales to their consumer groups as well as the product sales made through the sales network they have developed and trained. We do not pay commissions on sales materials. Fluctuations occur in the amount of commissions paid as our numbers of Customers and Sales Leaders change from month to month, but the fluctuation in the overall payout as a percentage of revenue tends to be relatively small. Selling expenses as a percentage of revenue typically increase in connection with a significant product offering, due to growth in the number of Sales Leaders qualifying for increased sales compensation and promotional incentives. From time to time, we make modifications and enhancements to our global sales compensation plan in an effort to help motivate our sales force and develop leadership characteristics, which can have an impact on selling expenses.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of Mainland China, Brand Affiliates also have the opportunity to make profits by purchasing products from us at a discount and selling them to consumers with a mark-up. We do not account for, nor pay, additional commissions on these mark-ups received by Brand Affiliates. In many markets, we also allow individuals who are not part of our sales force, whom we refer to as “preferred customers,” to buy products directly from us at a discount. We pay commissions on preferred customer purchases to the referring member of our sales force.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include:</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and benefits;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rents and utilities;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 and advertising;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expenses are the most significant portion of our general and administrative expenses.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income taxes depends on the statutory tax rates and the withholding taxes in each of the jurisdictions in which we operate. For example, statutory tax rates in 2023 were approximately 17% in Hong Kong, 20% in Taiwan, 21% in South Korea, 32% in Japan and 25% in Mainland China. We are subject to taxation in the United States at the statutory corporate federal tax rate of 21% in 2023, and we pay taxes in multiple states within the United States at various tax rates. Our overall effective tax rate was 67.7%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critical accounting policies and estimates should be read in conjunction with our audited consolidated financial statements and related notes thereto. Management considers our critical accounting policies to be accounting for income taxes and accounting for intangible assets. In each of these areas, management makes estimates based on historical results, current trends and future projections.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We account for income taxes in accordance with the Income Taxes Topic of the Financial Accounting Standards Codification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Topic establishes financial accounting and reporting standards for the effects of income taxes that result from an enterprise’s activities during the current and preceding years. We take an asset and liability approach for financial accounting and reporting of income taxes. We pay income taxes in many foreign jurisdictions based on the profits realized in those jurisdictions, which can be significantly impacted by terms of intercompany transactions between Nu Skin affiliates around the world. Deferred tax assets and liabilities are created in this process. As of December 31, 2023, we had net deferred tax assets of $105.0 million. We net these deferred tax assets and deferred tax liabilities by jurisdiction. Valuation allowances are established when necessary to reduce deferred tax assets to the amounts expected to be ultimately realized. These deferred tax assets assume sufficient future earnings will exist for their realization, and are calculated using anticipated tax rates. In certain jurisdictions, valuation allowances have been recorded against the deferred tax assets specifically related to use of foreign tax credits, research and development credits and net operating losses. The valuation allowance assessment requires estimates as to future operating results. These estimates are made on an ongoing basis based upon the Company’s business plans and growth strategies in each market and consequently, future material changes in the valuation allowance are possible. The valuation allowance reduces the deferred tax assets to an amount that management determined is more-likely-than-not to be realized. When we determine that there is sufficient taxable income to utilize the foreign tax credits, the research and development credits, or the net operating losses, the valuation allowances will be released. In the event we were to determine that we would not be able to realize all or part of our deferred tax assets in the future, an adjustment to the deferred tax assets would be charged to earnings in the period such determination was made.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our indefinite reinvestment assertions with respect to foreign earnings for each period. Other than earnings we intend to reinvest indefinitely, we accrue for the U.S. federal and state income taxes applicable to the earnings. For all foreign earnings, we accrue the applicable foreign income taxes. We intend to utilize the offshore earnings to fund foreign investments, specifically capital expenditures. Undistributed earnings that we have indefinitely reinvested aggregate to $60.0 million as of December 31, 2023. If this amount were repatriated to the United States, the amount of incremental taxes would be approximately $6.0 million.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operates in and files income tax returns in the U.S. and numerous foreign jurisdictions, which are subject to examination by tax authorities.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(“ASC”)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 In 2009, we entered into a voluntary program with the IRS called Compliance Assurance Process (“CAP”). Under the CAP program, the IRS audits the tax position of the Company to identify and resolve any tax issues that may arise throughout the tax year. </w:t>
      </w:r>
      <w:r>
        <w:rPr>
          <w:rFonts w:ascii="Times New Roman" w:cs="Times New Roman" w:eastAsia="Times New Roman" w:hAnsi="Times New Roman"/>
          <w:sz w:val="18"/>
          <w:szCs w:val="18"/>
          <w:color w:val="1B1B1B"/>
        </w:rPr>
        <w:t>T</w:t>
      </w:r>
      <w:r>
        <w:rPr>
          <w:rFonts w:ascii="Times New Roman" w:cs="Times New Roman" w:eastAsia="Times New Roman" w:hAnsi="Times New Roman"/>
          <w:sz w:val="18"/>
          <w:szCs w:val="18"/>
          <w:color w:val="auto"/>
        </w:rPr>
        <w:t>he IRS has developed a new pilot phase called “Bridge Plus.” Under Bridge Plus the taxpayer is required to provide book-to-tax reconciliations, credit utilization and other supporting documentation shortly after their audited financial statement is finalized</w:t>
      </w:r>
      <w:r>
        <w:rPr>
          <w:rFonts w:ascii="Times New Roman" w:cs="Times New Roman" w:eastAsia="Times New Roman" w:hAnsi="Times New Roman"/>
          <w:sz w:val="18"/>
          <w:szCs w:val="18"/>
          <w:color w:val="1B1B1B"/>
        </w:rPr>
        <w:t>.</w:t>
      </w:r>
      <w:r>
        <w:rPr>
          <w:rFonts w:ascii="Times New Roman" w:cs="Times New Roman" w:eastAsia="Times New Roman" w:hAnsi="Times New Roman"/>
          <w:sz w:val="18"/>
          <w:szCs w:val="18"/>
          <w:color w:val="auto"/>
        </w:rPr>
        <w:t xml:space="preserve"> The company was selected for Bridge Plus for the 2022, 2023 and 2024 tax years. As of December 31, 2023, all open tax years except 2021 have been audited and are effectively closed to further examination. For the tax year 2021, the Company was in the Bridge phase of the CAP program, pursuant to which the IRS did not accept disclosures, did not conduct reviews and did not provide letters of assurance for the Bridge year. There are limited circumstances that tax years in the Bridge phase will be opened for examination. With a few exceptions, we are no longer subject to state and local income tax examination by tax authorities for the years before 2020. Foreign jurisdictions, have varying lengths of statutes of limitations for income tax examinations. Some statutes are as short as three years and in certain markets may be as long as ten years. We are currently under examination in certain foreign jurisdictions; however, the outcomes of those reviews are not yet determinable.</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unrecognized tax benefits are related to multiple foreign and domestic jurisdictions. Due to potential changes in unrecognized tax benefits from the multiple jurisdictions in which we operate, as well as the expiration of various statutes of limitation, it is reasonably possible that our gross unrecognized tax benefits, net of foreign currency adjustments, may increase within the next 12 months by a range of approximately $2.0 to $3.0 million.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2023, we had $22.0 million in unrecognized tax benefits of which $22.0 million, if recognized, would affect the effective tax rate. In comparison, at December 31, 2022, we had $23.1 million in unrecognized tax benefits of which $23.1 million, if recognized, would affect the effective tax rate. We recognized an increase of approximately $0.6 million in interest and penalties expense during the year ended December 31, 2023 and $5.7 million in interest and penalties during the year ended December 31, 2022. We had approximately $13.0 million, $12.4 million and $6.7 million of accrued interest and penalties related to uncertain tax positions at December 31, 2023, 2022 and 2021, respectively. Interest and penalties related to uncertain tax positions are recognized as a component of income tax expense.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regular audits by federal, state and foreign tax authorities. These audits may result in additional tax liabilities. We account for such contingent liabilities in accordance with relevant accounting standards and believe we have appropriately provided for income taxes for all years. Several factors drive the calculation of our tax reserves. Some of these factors include: (i) the expiration of various statutes of limitations; (ii) changes in tax law and regulations; (iii) issuance of tax rulings; and (iv) settlements with tax authorities. Changes in any of these factors may result in adjustments to our reserves, which would impact our reported financial results.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Intangible Assets</w:t>
      </w:r>
      <w:r>
        <w:rPr>
          <w:rFonts w:ascii="Times New Roman" w:cs="Times New Roman" w:eastAsia="Times New Roman" w:hAnsi="Times New Roman"/>
          <w:sz w:val="18"/>
          <w:szCs w:val="18"/>
          <w:color w:val="auto"/>
        </w:rPr>
        <w:t>. Acquired intangible assets may represent indefinite-lived assets, determinable-lived intangibles or goodwill. Of these, only the costs of determinable-lived intangibles are amortized to expense over their estimated life. The value of indefinite-lived intangible assets and residual goodwill is not amortized, but is tested at least annually for impairment. Our impairment testing for goodwill is performed separately from our impairment testing of indefinite-lived intangibles. We test goodwill for impairment, at least annually, by reviewing the book value compared to the fair value at the reportable unit level. We have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must be measured. We elected to perform the quantitative assessment for fiscal years 2022 and we used the qualitative assessment for fiscal years 2023 and 2021.</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Considerable management judgment and assumptions are used in our goodwill impairment assessment, including with respect to the estimated future cash flows, the earnings multiples used in the market approach, the discount rate used to discount such estimated future cash flows to their net present value and the reasonableness of the implied control premium relative to our market capitalization. These factors could materially increase or decrease the fair value of our reporting units and, accordingly, could result in a related impairment charge. Declines in our market capitalization or in our business performance could also result in a material impairment charge in a future period.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completed the annual goodwill and indefinite-lived intangible asset impairment testing as of October 1, 2023, and concluded the qualitative assessment indicated that the fair value of the reporting units exceeded their carrying value and therefore were not at risk for impairment. As of the October 1, 2022 testing date, the fair value of the Manufacturing reporting unit was estimated to be approximately 8% in excess of its carrying amount, and therefore the reporting unit is considered to be at risk of future impairment. The Manufacturing reporting unit’s fair value remains sensitive to significant unfavorable changes in revenue, gross margin and discount rates that could negatively impact future analyses.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we recognized an impairment charge of $1.7 million associated with determinable-lived intangibles. During 2021, we recognized an impairment charge associated with our exit of the Grow Tech segment. We did not recognize any impairment charges for goodwill or intangible assets during 2023.</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operating results as a percentage of revenue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3020" w:type="dxa"/>
            <w:vAlign w:val="bottom"/>
            <w:tcBorders>
              <w:bottom w:val="single" w:sz="8" w:color="auto"/>
            </w:tcBorders>
            <w:gridSpan w:val="5"/>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7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71.7</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2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5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425"/>
        </w:trPr>
        <w:tc>
          <w:tcPr>
            <w:tcW w:w="7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 2023 decreased 12% to $1.97 billion from $2.23 billion in 2022. Our 2023 revenue was negatively impacted 3% from foreign-currency fluctuations. As of the end of the fourth quarter of 2023, Customers decreased 15%, Paid Affiliates decreased 30% and Sales Leaders decreased 10% compared to the prior year.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year-over-year decrease in our 2023 revenue was primarily driven by the continued macroeconomic pressures we’ve been facing in our markets, which have negatively impacted consumer spending and customer acquisition. In addition, while we continue to make progress on our long-term vision, we have experienced headwinds from the transformation process. During 2023 we began the launch process of </w:t>
      </w:r>
      <w:r>
        <w:rPr>
          <w:rFonts w:ascii="Times New Roman" w:cs="Times New Roman" w:eastAsia="Times New Roman" w:hAnsi="Times New Roman"/>
          <w:sz w:val="18"/>
          <w:szCs w:val="18"/>
          <w:i w:val="1"/>
          <w:iCs w:val="1"/>
          <w:color w:val="auto"/>
        </w:rPr>
        <w:t>ageLOC TRMe</w:t>
      </w:r>
      <w:r>
        <w:rPr>
          <w:rFonts w:ascii="Times New Roman" w:cs="Times New Roman" w:eastAsia="Times New Roman" w:hAnsi="Times New Roman"/>
          <w:sz w:val="18"/>
          <w:szCs w:val="18"/>
          <w:color w:val="auto"/>
        </w:rPr>
        <w:t xml:space="preserve">, our new personalized approach to weight management, which generated approximately $87.5 million in revenue in 2023. In the third quarter of 2023, we began the launch process of our next smart connected device system, </w:t>
      </w:r>
      <w:r>
        <w:rPr>
          <w:rFonts w:ascii="Times New Roman" w:cs="Times New Roman" w:eastAsia="Times New Roman" w:hAnsi="Times New Roman"/>
          <w:sz w:val="18"/>
          <w:szCs w:val="18"/>
          <w:i w:val="1"/>
          <w:iCs w:val="1"/>
          <w:color w:val="auto"/>
        </w:rPr>
        <w:t>ageLOC WellSpa iO,</w:t>
      </w:r>
      <w:r>
        <w:rPr>
          <w:rFonts w:ascii="Times New Roman" w:cs="Times New Roman" w:eastAsia="Times New Roman" w:hAnsi="Times New Roman"/>
          <w:sz w:val="18"/>
          <w:szCs w:val="18"/>
          <w:color w:val="auto"/>
        </w:rPr>
        <w:t xml:space="preserve"> which generated $62.2 million in revenue. The decline in our core Nu Skin segments was partially offset by 41% growth in our Rhyz segments, partially from acquisitions during the year as well as organic growth.</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per share in 2023 decreased 92% to $0.17 from $2.07 in 2022. The decrease in earnings per share was primarily driven by a third quarter of 2023 inventory write-off charge of $65.7 million, a $19.8 million restructuring charge and the overall decline in revenue, partially offset by our 2022 $48.5 million restructuring charge and $26.9 million third quarter of 2022 inventory write-off charge. In addition, our Earnings per share was impacted by an increase in our effective tax rate for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business in nine segments to reflect our current management approach. These segments consist of our seven geographic Nu Skin segments— Americas, Mainland China, Southeast Asia/Pacific, South Korea, Japan, Europe &amp; Africa, and Hong Kong/Taiwan—and our two Rhyz segments— Manufacturing and Rhyz other. The Nu Skin Other category includes miscellaneous corporate revenue and related adjustments. The Rhyz other segment includes other investments by our Rhyz business arm, which were entered into during 2021 and 2023. Our Europe &amp; Africa segment was previously Europe, Middle East and Africa (“EMEA”), but was changed following the June 2023 closure of the Israel market.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revenue for the years ended December 31, 2023 and 2022 for each of our reportable segments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Constant</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gridSpan w:val="5"/>
            <w:vMerge w:val="continue"/>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rPr>
              <w:t>Change</w:t>
            </w:r>
            <w:r>
              <w:rPr>
                <w:rFonts w:ascii="Times New Roman" w:cs="Times New Roman" w:eastAsia="Times New Roman" w:hAnsi="Times New Roman"/>
                <w:sz w:val="25"/>
                <w:szCs w:val="25"/>
                <w:b w:val="1"/>
                <w:bCs w:val="1"/>
                <w:color w:val="auto"/>
                <w:vertAlign w:val="superscript"/>
              </w:rPr>
              <w:t>(1)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508,537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360,389</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344,411</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268,707</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224,896</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204,275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 Taiwan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157,197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(858)</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3,959</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1,752,522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2,072,371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149,458</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35,214</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3,830</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153,288</w:t>
            </w: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1,969,131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2,225,659</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Constant-currency revenue change is a non-GAAP financial measure. See “Non-GAAP Financial Measures,” below.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sets forth segment contribution for the years ended December 31, 2023 and 2022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For additional information regarding our segments and the calculation of segment contribution, see Note 15 to the consolidated financial statements contained in this report.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36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3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78,943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97,298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62,259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72,362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47,743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75,902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74,091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78,811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54,076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51,620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18,592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15,959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32,584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368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424,536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12,321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(20,564)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368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(8,243)</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r>
      <w:tr>
        <w:trPr>
          <w:trHeight w:val="550"/>
        </w:trPr>
        <w:tc>
          <w:tcPr>
            <w:tcW w:w="3680" w:type="dxa"/>
            <w:vAlign w:val="bottom"/>
          </w:tcPr>
          <w:p>
            <w:pPr>
              <w:spacing w:after="0"/>
              <w:rPr>
                <w:sz w:val="24"/>
                <w:szCs w:val="24"/>
                <w:color w:val="auto"/>
              </w:rPr>
            </w:pPr>
          </w:p>
        </w:tc>
        <w:tc>
          <w:tcPr>
            <w:tcW w:w="3600" w:type="dxa"/>
            <w:vAlign w:val="bottom"/>
          </w:tcPr>
          <w:p>
            <w:pPr>
              <w:jc w:val="right"/>
              <w:ind w:right="1499"/>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
        </w:trPr>
        <w:tc>
          <w:tcPr>
            <w:tcW w:w="368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the number of Customers, Paid Affiliates and Sales Leaders in our core Nu Skin business as of December 31, 2023 and 2022.</w:t>
      </w:r>
    </w:p>
    <w:p>
      <w:pPr>
        <w:spacing w:after="0" w:line="162" w:lineRule="exact"/>
        <w:rPr>
          <w:sz w:val="20"/>
          <w:szCs w:val="20"/>
          <w:color w:val="auto"/>
        </w:rPr>
      </w:pPr>
    </w:p>
    <w:p>
      <w:pPr>
        <w:jc w:val="both"/>
        <w:ind w:left="980" w:hanging="324"/>
        <w:spacing w:after="0" w:line="266"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Leaders” are the three-month average of our monthly Brand Affiliates, as well as sales employees and independent marketers in Mainland China, who achieved certain qualification requirements as of the end of each month of the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7280" w:type="dxa"/>
            <w:vAlign w:val="bottom"/>
          </w:tcPr>
          <w:p>
            <w:pPr>
              <w:spacing w:after="0"/>
              <w:rPr>
                <w:sz w:val="21"/>
                <w:szCs w:val="21"/>
                <w:color w:val="auto"/>
              </w:rPr>
            </w:pPr>
          </w:p>
        </w:tc>
        <w:tc>
          <w:tcPr>
            <w:tcW w:w="264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7280" w:type="dxa"/>
            <w:vAlign w:val="bottom"/>
          </w:tcPr>
          <w:p>
            <w:pPr>
              <w:spacing w:after="0"/>
              <w:rPr>
                <w:sz w:val="19"/>
                <w:szCs w:val="19"/>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299,287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207,276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202,933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141,183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103,151</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123,749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119,152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163,178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197,917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62,903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Customers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977,039</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1,147,124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Paid Affiliates</w:t>
            </w: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23,436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38,653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South Korea</w:t>
            </w:r>
            <w:r>
              <w:rPr>
                <w:rFonts w:ascii="Times New Roman" w:cs="Times New Roman" w:eastAsia="Times New Roman" w:hAnsi="Times New Roman"/>
                <w:sz w:val="25"/>
                <w:szCs w:val="25"/>
                <w:b w:val="1"/>
                <w:bCs w:val="1"/>
                <w:color w:val="auto"/>
                <w:vertAlign w:val="superscript"/>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45,058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2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Japan</w:t>
            </w:r>
            <w:r>
              <w:rPr>
                <w:rFonts w:ascii="Times New Roman" w:cs="Times New Roman" w:eastAsia="Times New Roman" w:hAnsi="Times New Roman"/>
                <w:sz w:val="25"/>
                <w:szCs w:val="25"/>
                <w:b w:val="1"/>
                <w:bCs w:val="1"/>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38,021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2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Europe &amp; Africa</w:t>
            </w:r>
            <w:r>
              <w:rPr>
                <w:rFonts w:ascii="Times New Roman" w:cs="Times New Roman" w:eastAsia="Times New Roman" w:hAnsi="Times New Roman"/>
                <w:sz w:val="25"/>
                <w:szCs w:val="25"/>
                <w:b w:val="1"/>
                <w:bCs w:val="1"/>
                <w:color w:val="auto"/>
                <w:vertAlign w:val="superscript"/>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31,869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2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Hong Kong/Taiwan</w:t>
            </w:r>
            <w:r>
              <w:rPr>
                <w:rFonts w:ascii="Times New Roman" w:cs="Times New Roman" w:eastAsia="Times New Roman" w:hAnsi="Times New Roman"/>
                <w:sz w:val="25"/>
                <w:szCs w:val="25"/>
                <w:b w:val="1"/>
                <w:bCs w:val="1"/>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17,286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 Affiliates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166,886</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236,956</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Leaders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12,359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Sales Leaders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48,737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ind w:left="340" w:right="12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31, 2023 number is affected by a change in eligibility requirements for receiving certain rewards within our compensation structure, to more narrowly focus on those affiliates who are actively building a consumer base. See “South Korea,” “Japan,” “Europe &amp; Africa,” and “Hong Kong/Taiwan,” below. We plan to implement these changes in additional segments over the next several quarters.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narrative discussion of our results in each segment, which supplements the tables above.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The decline in revenue, Customers, Paid Affiliates and Sales Leaders in our Americas segment for the fiscal year 2023 is attributable to the continued decline in momentum in our North America markets, while our Latin America markets continue to be challenged by macroeconomic issues. In the first quarter of 2023 we launched our new affiliate rewards and recognition program in North America. In the second quarter of 2023, we adjusted the structure of our sales compensation program in our Latin America markets and implemented our new e-commerce platform in North America. In connection with the transformation efforts, we experienced disruptions to our subscriptions in North America, which negatively impacted revenue. Despite some early difficulties with migration and adoption of the new programs and platforms, we believe these changes will be beneficial for our future growth opportunities.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segment contribution primarily reflects the decline in revenue.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Mainland China</w:t>
      </w:r>
      <w:r>
        <w:rPr>
          <w:rFonts w:ascii="Times New Roman" w:cs="Times New Roman" w:eastAsia="Times New Roman" w:hAnsi="Times New Roman"/>
          <w:sz w:val="18"/>
          <w:szCs w:val="18"/>
          <w:color w:val="auto"/>
        </w:rPr>
        <w:t xml:space="preserve">. Our Mainland China market continued to be challenged during 2023. Although we saw certain improving trends during the second quarter, ongoing macroeconomic factors in the third quarter and the associated decrease in consumer spending led to declines in revenue. The year-over-year increases in our Paid Affiliates reflect the second quarter growth in these metrics from promotional activities and our </w:t>
      </w:r>
      <w:r>
        <w:rPr>
          <w:rFonts w:ascii="Times New Roman" w:cs="Times New Roman" w:eastAsia="Times New Roman" w:hAnsi="Times New Roman"/>
          <w:sz w:val="18"/>
          <w:szCs w:val="18"/>
          <w:i w:val="1"/>
          <w:iCs w:val="1"/>
          <w:color w:val="auto"/>
        </w:rPr>
        <w:t>ageLOC TRMe</w:t>
      </w:r>
      <w:r>
        <w:rPr>
          <w:rFonts w:ascii="Times New Roman" w:cs="Times New Roman" w:eastAsia="Times New Roman" w:hAnsi="Times New Roman"/>
          <w:sz w:val="18"/>
          <w:szCs w:val="18"/>
          <w:color w:val="auto"/>
        </w:rPr>
        <w:t xml:space="preserve"> preview. Our Customers increased from promotions in the fourth quarter of 2023. Our revenue for fiscal year 2023 was negatively impacted 4% by unfavorable foreign currency fluctuations. While we continue to believe in the potential of this market, we anticipate the current deflationary pressures and other economic challenges persisting as the economy works to recover.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decrease in segment contribution for fiscal year 2023 primarily reflects a decrease in revenue, partially offset by a 0.8 percentage point improvement in gross margin from a favorable sales mix as well as decreased production promotions and discounts during the 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Southeast Asia/Pacific</w:t>
      </w:r>
      <w:r>
        <w:rPr>
          <w:rFonts w:ascii="Times New Roman" w:cs="Times New Roman" w:eastAsia="Times New Roman" w:hAnsi="Times New Roman"/>
          <w:sz w:val="18"/>
          <w:szCs w:val="18"/>
          <w:color w:val="auto"/>
        </w:rPr>
        <w:t>. The decline in revenue, Customers, Paid Affiliates and Sales Leaders for 2023 is partially attributable to slowing momentum from the general macroeconomic factors in the markets along with price increases that we implemented to address inflation. In addition, in the first half of 2022 we launched ageLOC Meta (locally referred to as ageLOC Reset in our Southeast Asia markets), which generated $48.1 million in revenue for fiscal year 2022, respectively, compared to $22.2 million for fiscal year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year-over-year decrease in segment contribution is primarily attributable to the decline in revenue, along with a 1.7 percentage point decline in gross margin due to product mix, and a 1.0 percentage point increase in selling expenses as a percent of revenue from incremental cost associated with our Sales Leader growth program, which is aimed at channel development efforts.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South Korea</w:t>
      </w:r>
      <w:r>
        <w:rPr>
          <w:rFonts w:ascii="Times New Roman" w:cs="Times New Roman" w:eastAsia="Times New Roman" w:hAnsi="Times New Roman"/>
          <w:sz w:val="18"/>
          <w:szCs w:val="18"/>
          <w:color w:val="auto"/>
        </w:rPr>
        <w:t>. Our South Korea market was challenged by difficult macroeconomic trends, including inflationary pressures, and our associated price increases which negatively impacted our revenue, Customers, Paid Affiliates and Sales Leaders for the year ended December 31, 2023. Our Paid Affiliates were also negatively impacted by a change in eligibility requirements for receiving certain rewards within our compensation structure. We estimate the change in eligibility requirements resulted in a reduction of approximately 14 thousand Paid Affiliates for the three months ended December 31, 2023.</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year-over-year decrease in segment contribution primarily reflects the decline in revenue, partially offset by a $9.0 million decrease in general and administrative expenses from savings generated by our 2022 restructuring plan.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Japan</w:t>
      </w:r>
      <w:r>
        <w:rPr>
          <w:rFonts w:ascii="Times New Roman" w:cs="Times New Roman" w:eastAsia="Times New Roman" w:hAnsi="Times New Roman"/>
          <w:sz w:val="18"/>
          <w:szCs w:val="18"/>
          <w:color w:val="auto"/>
        </w:rPr>
        <w:t>. The decline in revenue is primarily attributable to a 7% negative impact from unfavorable foreign-currency fluctuations. On a local currency basis, revenue decreased less than 1%. The increase in Sales Leaders is primarily from a modification we made to the compensation plan starting in June 2023. Our Paid Affiliates were also negatively impacted by a change in eligibility requirements made in the fourth quarter of 2023 for receiving certain rewards within our compensation structure. We estimate the change in eligibility requirements resulted in a reduction of approximately 15 thousand Paid Affiliates for the fourth quarter of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decline in segment contribution reflects the decline in revenue, partially offset by cost savings generated from the 2022 restructuring plan, and a decrease in selling expenses due to a reduction in the incentive trips accrual.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Europe &amp; Africa</w:t>
      </w:r>
      <w:r>
        <w:rPr>
          <w:rFonts w:ascii="Times New Roman" w:cs="Times New Roman" w:eastAsia="Times New Roman" w:hAnsi="Times New Roman"/>
          <w:sz w:val="18"/>
          <w:szCs w:val="18"/>
          <w:color w:val="auto"/>
        </w:rPr>
        <w:t>. The reduction in revenue, Customers, Paid Affiliates and Sales Leaders reflects the softening of momentum that occurred during the first half of 2023, as well as macroeconomic factors that have led to a decline in the purchasing power of our customers. Our Paid Affiliates were also negatively impacted by a change in eligibility requirements for receiving certain rewards within our compensation structure. We estimate the change in eligibility requirements resulted in a reduction of approximately 6 thousand Paid Affiliates for the fourth quarter of 2023. Effective June 2023, we closed our Israel market. This market generated $65 thousand of revenue for the first half of 2023 prior to its closure and $172 thousand for the full year 2022.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decline in segment contribution reflects the decline in revenue, partially offset by a slight 1.4 percentage point improvement in gross margin due to favorable sales mix and price increase.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Hong Kong/Taiwan</w:t>
      </w:r>
      <w:r>
        <w:rPr>
          <w:rFonts w:ascii="Times New Roman" w:cs="Times New Roman" w:eastAsia="Times New Roman" w:hAnsi="Times New Roman"/>
          <w:sz w:val="18"/>
          <w:szCs w:val="18"/>
          <w:color w:val="auto"/>
        </w:rPr>
        <w:t xml:space="preserve">. Our Hong Kong/Taiwan segment revenue decreased 2% for fiscal year 2023. Our revenue was negatively impacted 3% from unfavorable foreign-currency fluctuations. During the back half of 2023, we previewed and launched our </w:t>
      </w:r>
      <w:r>
        <w:rPr>
          <w:rFonts w:ascii="Times New Roman" w:cs="Times New Roman" w:eastAsia="Times New Roman" w:hAnsi="Times New Roman"/>
          <w:sz w:val="18"/>
          <w:szCs w:val="18"/>
          <w:i w:val="1"/>
          <w:iCs w:val="1"/>
          <w:color w:val="auto"/>
        </w:rPr>
        <w:t>ageLOC WellSpa iO</w:t>
      </w:r>
      <w:r>
        <w:rPr>
          <w:rFonts w:ascii="Times New Roman" w:cs="Times New Roman" w:eastAsia="Times New Roman" w:hAnsi="Times New Roman"/>
          <w:sz w:val="18"/>
          <w:szCs w:val="18"/>
          <w:color w:val="auto"/>
        </w:rPr>
        <w:t>, which generated approximately $13.5 million of revenue. Our decline in Customers is primarily related to the product launch process, under which the product was initially only available to our Sales Leaders for purchase. Our Paid Affiliates were also negatively impacted by a change in eligibility requirements for receiving certain rewards within our compensation structure. We estimate the change in eligibility requirements resulted in a reduction of approximately 3 thousand Paid Affiliates for the fourth quarter of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segment contribution benefited from a 2.0 percentage point improvement in gross margin from cost saving initiatives to reduce freight and overhead cost, a 2.1 percentage point decrease in selling expenses as a percentage of revenue from lower incentive trip accruals, and a 1.7 percentage point decrease in general and administrative expenses from cost savings in occupancy and labor resulting primarily from our 2022 restructuring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Our Manufacturing segment revenue increased 21%, primarily driven by our Wasatch Manufacturing entity. During 2023, Wasatch revenue increased approximately 46%, primarily from onboarding new customers and continued automation efforts to increase efficiencies, enabling an increase in production capacity.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segment contribution for 2023 is primarily from the increased revenue and efficiencies gained from automation. In addition, segment contribution benefited from a favorable revenue mix between our manufacturing entities, which have differing profitability levels.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Rhyz Other.</w:t>
      </w:r>
      <w:r>
        <w:rPr>
          <w:rFonts w:ascii="Times New Roman" w:cs="Times New Roman" w:eastAsia="Times New Roman" w:hAnsi="Times New Roman"/>
          <w:sz w:val="18"/>
          <w:szCs w:val="18"/>
          <w:color w:val="auto"/>
        </w:rPr>
        <w:t xml:space="preserve"> The increase in revenue in our Rhyz other segment is primarily driven by $20.8 million growth at Mavely, our previously acquired social commerce platform for 2023. In addition, we recognized $10.6 million of revenue for 2023, from our entities acquired in the second quarter of 2023. Because we acquired these entities during the year, our reported revenue for these entities consists only of the revenue after the acquisition dates, not the full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we acquired 60 percent of LifeDNA, Inc. (“LifeDNA”), a DNA assessment company. Consideration paid included $4.0 million of cash, along with the conversion of a previous $3.0 million Simple Agreement for Future Equity (“SAFE”), and a $0.2 million convertible note. In June 2023, we acquired 100 percent ownership in Beauty Biosciences, LLC (“BeautyBio”), a clean and clinically proven skin care and beauty device company. The purchase price for BeautyBio was $75.0 million, net of cash acquired of $1.5 million, all payable in cash.</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decline in segment contribution for 2023 is primarily from our recent acquisitions, which we are currently investing in to enable future growth, as well as the impacts of purchase accounting, which resulted in $3.3 million of incremental amortization of intangible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the year ended December 31, 2023 decreased 12% to $1.97 billion, compared to $2.23 billion in the prior-year period. For a discussion and analysis of this increase in revenue, see “Overview” and “Segment Results,”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as a percentage of revenue decreased to 68.9% in 2023, compared to 71.7% in 2022. Gross profit as a percentage of revenue for core Nu Skin decreased 2.2 percentage points to 73.2%, primarily driven by our third quarter of 2023 strategic decision to re-balance and narrow our product portfolio, which resulted in an incremental $65.7 million inventory write-off, compared to an incremental $26.9 million write-off in the third quarter of 2022. Our gross margin was also impacted by the gross margin of our owned manufacturing entities, which as previously disclosed, is significantly lower than the gross margin of our core Nu Skin business. With the year-over-year growth within our Manufacturing segment, their revenue represented a higher proportion of our overall consolidated revenue for the year ended December 31, 2023 than in the prior-year.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expenses as a percentage of revenue decreased to 37.7% in 2023, compared to 39.5% for 2022. Our core Nu Skin business’s selling expense as a percentage of revenue decreased 1.2 percentage points to 41.1% for 2023, compared to 42.3% for 2022.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 Our selling expenses is also impacted by the growth within our Manufacturing segment, which has minimal selling expenses. We expect to see future fluctuations in our selling expenses as a result of growth in the Rhyz segments and varying level of selling expenses by entity. For example, as discussed above, Manufacturing has minimal selling expenses, and within Rhyz other, Mavely has selling expenses of approximately 80% and BeautyBio and LifeDNA are minimal.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to $546.9 million in 2023, compared to $555.8 million in 2022. The $8.9 million decrease primarily was from contraction in labor expense and occupancy related expenses, both attributable to our 2022 restructuring in which we reduced our physical footprint and headcount. As a percentage of revenue, general and administrative increased 2.8 percentage points to 27.8% for 2023, compared to 25.0% for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impairment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third quarter of 2022, we adopted a strategic plan to focus resources on our strategic priorities and optimize future growth and profitability. The global program included workforce reductions and footprint optimization. Total charges incurred under the program were approximately $53.3 million, with $40.8 million in cash charges of severance and lease termination cost and approximately $12.5 million of non-cash charges of impairment of fixed assets, acceleration of depreciation and impairment of other intangibles related to our footprint optimization. During 2022, we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2023, we incurred charges to be settled in cash of $4.0 million in severance charges, $1.9 million in lease termination cost, and $2.2 million in other associated cost, and non-cash charges of $1.7 million in accelerated depreciation.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2023, we adopted another strategic plan to focus resources on our global priorities and optimize future growth and profitability. The global program includes workforce reductions. We estimate total charges under the program will approximate $15–$25 million in severance charges, which will be paid in cash. We expect to substantially complete the program during the first half of 2024. The program may expand as we continue to evaluate our business, including our product portfolio, global processes and organization, and operational footprint. During the fourth quarter of 2023, we incurred charges to be settled in cash of $10.0 million in severance charges.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for 2023 was $(21.7) million, compared to $(21.9) million in 2022. The decrease in other expense for year ended December 31, 2023 reflects a $7.2 million decline in foreign currency losses and a $9.3 million unrealized investment loss recorded in 2022 related to a controlled environment agriculture company that we invested in, partially offset by a $12.1 million increase in interest expense and a $4.0 million decline in contingent consideration that was recorded in 2022 in connection with a previous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for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(benefit) for income taxes increased to $18.0 million in 2023 from $(15.8) million in 2022. Our effective tax rate increased to 67.7% of pre-tax income in 2023 from (17.8)% in 2022. The increase in the effective tax rate for 2023 is primarily due to the restructuring charges that affected our U.S. earnings. These additional expenses in the U.S. reduced our ability to utilize foreign tax credits. As a result, we recorded an additional $6.1 million valuation allowance against our foreign tax credits.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2024, we currently anticipate that our effective tax rate will be approximately 25-35%. Our actual 2024 effective tax rate could differ materially from this estimate. Our future effective tax rates could fluctuate significantly, being affected by numerous factors, such as intercompany transactions, changes in our business operations, foreign audits, increases in uncertain tax positions, acquisitions, entry into new markets, the amount of our foreign earnings, including earnings being lower than anticipated in jurisdictions where we have a lower statutory rate and higher than anticipated in jurisdictions where we have a higher statutory rate, losses incurred in jurisdictions, the inability to realize tax benefits, withholding taxes, changes in foreign currency exchange rates, changes in our stock price, changes in our deferred tax assets and liabilities and their valuation.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factors, net income in 2023 decreased to $8.6 million, compared to $104.8 million in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a comparison of our operating results for 2022 compared to 2021, see Item 7. Management’s Discussion and Analysis of Financial Condition and Results of Operations beginning on page 44 of our Annual Report on Form 10-K for the fiscal year ended December 31, 2022, as filed with the SEC on February 16,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our principal uses of cash have included operating expenses (particularly selling expenses) and working capital (principally inventory purchases), as well as capital expenditures, stock repurchases, dividends, debt repayment and the development of operations in new markets.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We generated $118.6 million in cash from operations during 2023, compared to $108.1 million in cash from operations during 2022. The increase in cash flow from operations primarily reflects higher payout of our accruals in 2022, attributable to our 2021 restructuring and higher commission charges incurred during the fourth quarter of 2021, partially offset by a lower net income in 2023.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cash and cash equivalents, including current investments, were $267.8 million compared to $278.5 million as of December 31, 2022. The decrease was primarily driven by our second quarter of 2023 acquisitions of BeautyBio and LifeDNA, quarterly dividend payments, capital expenditures, as discussed below, and payment on liabilities associated with our 2022 restructuring plan, partially offset by borrowings on our revolving credit facility, a substantial portion of which was to fund our acquisition of BeautyBio. Working capital as of December 31, 2023 was $373.0 million compared to $400.6 million as of December 31, 2022. The decrease in working capital is attributable to the decline in inventory, primarily from our third quarter of 2023 $65.7 million write-off, partially offset by an increase in accounts receivable from the growth in our Rhyz segments.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requirements</w:t>
      </w:r>
      <w:r>
        <w:rPr>
          <w:rFonts w:ascii="Times New Roman" w:cs="Times New Roman" w:eastAsia="Times New Roman" w:hAnsi="Times New Roman"/>
          <w:sz w:val="18"/>
          <w:szCs w:val="18"/>
          <w:color w:val="auto"/>
        </w:rPr>
        <w:t>. For 2024, we currently expect that our material cash requirements will include the following:</w:t>
      </w:r>
    </w:p>
    <w:p>
      <w:pPr>
        <w:spacing w:after="0" w:line="225" w:lineRule="exact"/>
        <w:rPr>
          <w:sz w:val="20"/>
          <w:szCs w:val="20"/>
          <w:color w:val="auto"/>
        </w:rPr>
      </w:pPr>
    </w:p>
    <w:p>
      <w:pPr>
        <w:jc w:val="both"/>
        <w:ind w:left="660" w:hanging="328"/>
        <w:spacing w:after="0" w:line="253"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for operating activities. Our operating expenses typically total approximately 85%-90% of our revenue, with compensation to our sales force constituting 40%-43% of our core Nu Skin revenue. These compensation expenses consist primarily of commission payments, which we generally pay to our sales force within approximately one to two months of the sale. Inventory purchases have historically constituted approximately 15%-20% of our revenue. On average, we purchase our inventory approximately three to six months prior to sale. While our actual cash usage may vary based on the timing of payments, we currently expect these approximate percentages and payment practices to continue in 2024. In addition, we expect our 2024 lease payments will be approximately $27.2 million.</w:t>
      </w:r>
    </w:p>
    <w:p>
      <w:pPr>
        <w:spacing w:after="0" w:line="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for investing activities. As discussed in more detail below, our capital expenditures are expected to be $40-60 million for 2024.</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for financing activities. In 2024 we are obligated to make a total of $25.0 million in quarterly principal payments plus the associated interest on our term loan. We also anticipate paying quarterly cash dividends throughout 2024, approximating $3 million per quarter depending on the number of shares outstanding as of record date. Additional details about our dividends and term loan are provided below.</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2024 and onward, we currently expect the above material cash requirements will remain. See Note 6 and Note 7 to the consolidated financial statements contained in this report for our future cash requirements related to our debt principal repayment and our maturities of lease liabilities.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fund the aforementioned cash requirements with our cash from operations and draw on our revolving credit facility, as needed, to address any short-term funding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Capital expenditures in 2023 totaled $58.5 million. We expect that our capital expenditures in 2024 will be primarily related to:</w:t>
      </w:r>
    </w:p>
    <w:p>
      <w:pPr>
        <w:spacing w:after="0" w:line="22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Rhyz plant expansion to increase capacity and capabilities;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expenditures for computer systems and equipment, software, and application development;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and upgrade of facilities in our various markets.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capital expenditures for the uses listed above will total approximately $40-60 million for 2024. The construction of the new manufacturing plant in Mainland China was substantially completed during 2023; production began in the fourth quarter of 2023. As of December 31, 2023, we had spent approximately $53.9 million on this project, including $9.2 million in 2023.</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Secured Overnight Financing Rate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December 31, 2023 and 2022, we had $120.0 million and $10.0 million of outstanding borrowings under our revolving credit facility, and $385.0 million and $395.0 million on our term loan facility. The carrying value of the debt also reflects debt issuance costs of $2.0 million and $2.5 million as of December 31, 2023 and 2022, respectively, related to the Credit Agreement. The Credit Agreement requires us to maintain a consolidated leverage ratio not exceeding 2.25 to 1.00 and a consolidated interest coverage ratio of no less than 3.00 to 1.00. As of December 31, 2023, we were in compliance with all debt covenants under the Credit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Modification of previous credit agreement.</w:t>
      </w:r>
      <w:r>
        <w:rPr>
          <w:rFonts w:ascii="Times New Roman" w:cs="Times New Roman" w:eastAsia="Times New Roman" w:hAnsi="Times New Roman"/>
          <w:sz w:val="18"/>
          <w:szCs w:val="18"/>
          <w:color w:val="auto"/>
        </w:rPr>
        <w:t xml:space="preserve"> On June 14, 2022, we repaid our outstanding debt under our previous credit agreement, dated as of April 18, 2018, with several financial institutions as lenders and Bank of America, N.A., as administrative agent. We had indebtedness of $70.0 million on our revolver as of December 31, 2021, and $307.5 million on our term loan as of December 31,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As of December 31, 2023,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Stock repurchase plan</w:t>
      </w:r>
      <w:r>
        <w:rPr>
          <w:rFonts w:ascii="Times New Roman" w:cs="Times New Roman" w:eastAsia="Times New Roman" w:hAnsi="Times New Roman"/>
          <w:sz w:val="18"/>
          <w:szCs w:val="18"/>
          <w:color w:val="auto"/>
        </w:rPr>
        <w:t>. In 2018, our board of directors approved a stock repurchase plan authorizing us to repurchase up to $500.0 million of our outstanding shares of Class A common stock on the open market or in private transactions. During 2023, we repurchased approximately 0.6 million shares of our Class A common stock under the plan for $13.0 million. As of December 31, 2023, $162.4 million was available for repurchases under the plan. Our stock repurchases are used primarily to offset dilution from our equity incentive plans and for strategic initiatives.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In February, May, July and October 2023, our board of directors declared quarterly cash dividends of $0.39 per share. These quarterly cash dividends of $19.4 million, $19.5 million, $19.5 million and $19.3 million were paid on March 8, 2023, June 7, 2023, September 6, 2023 and December 6, 2023 to stockholders of record on February 27, 2023, May 26, 2023, August 25, 2023 and November 24, 2023. In February 2024, our board of directors declared a reduced quarterly cash dividend of $0.06 per share to be paid on March 6, 2024 to stockholders of record on February 26, 2024. The reduction of our quarterly dividend is expected to preserve approximately $65.0 million of capital on an annualized basis, better positioning us to allocate additional capital to our growth initiatives to execute on our business strategy.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Cash from foreign subsidiaries</w:t>
      </w:r>
      <w:r>
        <w:rPr>
          <w:rFonts w:ascii="Times New Roman" w:cs="Times New Roman" w:eastAsia="Times New Roman" w:hAnsi="Times New Roman"/>
          <w:sz w:val="18"/>
          <w:szCs w:val="18"/>
          <w:color w:val="auto"/>
        </w:rPr>
        <w:t>. As of December 31, 2023 and 2022, we held $267.8 million and $278.5 million, respectively, in cash and cash equivalents, including current investments. These amounts include $213.7 million and $223.0 million as of December 31, 2023 and 2022, respectively, held in our operations outside of the United States. Substantially all of our non-U.S. cash and cash equivalents are readily convertible into U.S. dollars or other currencies, subject to procedural or other requirements in certain markets, as well as an indefinite-reinvestment designation, as described below.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typically fund the cash requirements of our operations in the United States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December 31, 2023 and 2022, we had $31.8 million and $33.4 million, respectively, in cash denominated in Chinese RMB. We also have experienced delays in repatriating cash from Argentina. As of December 31, 2023 and 2022, we had $17.7 million and $14.9 million, respectively, in intercompany receivable with our Argentina subsidiary. We also have intercompany loan arrangements with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16 to the consolidated financial statements contained in this report for information regarding our contingent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new accounting pronouncements is contained in Note 2 to consolidated financial statements contained in this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 and Exchange 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2018, published inflation indices indicated that the three-year cumulative inflation in Argentina exceeded 100%, and as of July 1, 2018, we elected to adopt highly inflationary accounting for our subsidiary in Argentina. Under highly inflationary accounting, Argentina’s functional currency became the U.S. dollar, and its income statement and balance sheet have been measured in U.S. dollars using both current and historical rates of exchange. The effect of changes in exchange rates on peso-denominated monetary assets and liabilities has been reflected in earnings in Other income (expense), net and was not material. As of December 31, 2023, our Argentina subsidiary had a small net peso monetary position. Net sales of Argentina were less than 2% of our consolidated net sales for 2023, 2022 and 2021.</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December 31, 2023, and 2022, we did not hold non-designated mark-to-market forward derivative contracts to hedge foreign-denominated intercompany positions or third-party foreign debt. As of December 31, 2023 and 2022, we did not hold any forward contracts designated as foreign-currency cash flow hedges. We continue to evaluate our foreign currency hedging policy.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are the weighted-average currency exchange rates of U.S. $1 into local currency for each of our international or foreign markets in which revenue exceeded U.S. $5.0 million for at least one of the quarters listed: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3"/>
              </w:rPr>
              <w:t>4</w:t>
            </w:r>
            <w:r>
              <w:rPr>
                <w:rFonts w:ascii="Times New Roman" w:cs="Times New Roman" w:eastAsia="Times New Roman" w:hAnsi="Times New Roman"/>
                <w:sz w:val="29"/>
                <w:szCs w:val="29"/>
                <w:b w:val="1"/>
                <w:bCs w:val="1"/>
                <w:color w:val="auto"/>
                <w:w w:val="93"/>
                <w:vertAlign w:val="superscript"/>
              </w:rPr>
              <w:t>th</w:t>
            </w:r>
            <w:r>
              <w:rPr>
                <w:rFonts w:ascii="Times New Roman" w:cs="Times New Roman" w:eastAsia="Times New Roman" w:hAnsi="Times New Roman"/>
                <w:sz w:val="18"/>
                <w:szCs w:val="18"/>
                <w:b w:val="1"/>
                <w:bCs w:val="1"/>
                <w:color w:val="auto"/>
                <w:w w:val="93"/>
              </w:rPr>
              <w:t xml:space="preserve"> Quarter</w:t>
            </w:r>
          </w:p>
        </w:tc>
        <w:tc>
          <w:tcPr>
            <w:tcW w:w="12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3</w:t>
            </w:r>
            <w:r>
              <w:rPr>
                <w:rFonts w:ascii="Times New Roman" w:cs="Times New Roman" w:eastAsia="Times New Roman" w:hAnsi="Times New Roman"/>
                <w:sz w:val="29"/>
                <w:szCs w:val="29"/>
                <w:b w:val="1"/>
                <w:bCs w:val="1"/>
                <w:color w:val="auto"/>
                <w:w w:val="93"/>
                <w:vertAlign w:val="superscript"/>
              </w:rPr>
              <w:t>rd</w:t>
            </w:r>
            <w:r>
              <w:rPr>
                <w:rFonts w:ascii="Times New Roman" w:cs="Times New Roman" w:eastAsia="Times New Roman" w:hAnsi="Times New Roman"/>
                <w:sz w:val="18"/>
                <w:szCs w:val="18"/>
                <w:b w:val="1"/>
                <w:bCs w:val="1"/>
                <w:color w:val="auto"/>
                <w:w w:val="93"/>
              </w:rPr>
              <w:t xml:space="preserve"> Quarter</w:t>
            </w:r>
          </w:p>
        </w:tc>
        <w:tc>
          <w:tcPr>
            <w:tcW w:w="1040" w:type="dxa"/>
            <w:vAlign w:val="bottom"/>
            <w:gridSpan w:val="2"/>
          </w:tcPr>
          <w:p>
            <w:pPr>
              <w:jc w:val="center"/>
              <w:ind w:right="300"/>
              <w:spacing w:after="0" w:line="235" w:lineRule="exact"/>
              <w:rPr>
                <w:sz w:val="20"/>
                <w:szCs w:val="20"/>
                <w:color w:val="auto"/>
              </w:rPr>
            </w:pPr>
            <w:r>
              <w:rPr>
                <w:rFonts w:ascii="Times New Roman" w:cs="Times New Roman" w:eastAsia="Times New Roman" w:hAnsi="Times New Roman"/>
                <w:sz w:val="27"/>
                <w:szCs w:val="27"/>
                <w:b w:val="1"/>
                <w:bCs w:val="1"/>
                <w:color w:val="auto"/>
                <w:vertAlign w:val="subscript"/>
              </w:rPr>
              <w:t>2</w:t>
            </w:r>
            <w:r>
              <w:rPr>
                <w:rFonts w:ascii="Times New Roman" w:cs="Times New Roman" w:eastAsia="Times New Roman" w:hAnsi="Times New Roman"/>
                <w:sz w:val="13"/>
                <w:szCs w:val="13"/>
                <w:b w:val="1"/>
                <w:bCs w:val="1"/>
                <w:color w:val="auto"/>
              </w:rPr>
              <w:t>nd</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1</w:t>
            </w:r>
            <w:r>
              <w:rPr>
                <w:rFonts w:ascii="Times New Roman" w:cs="Times New Roman" w:eastAsia="Times New Roman" w:hAnsi="Times New Roman"/>
                <w:sz w:val="29"/>
                <w:szCs w:val="29"/>
                <w:b w:val="1"/>
                <w:bCs w:val="1"/>
                <w:color w:val="auto"/>
                <w:w w:val="95"/>
                <w:vertAlign w:val="superscript"/>
              </w:rPr>
              <w:t>st</w:t>
            </w:r>
            <w:r>
              <w:rPr>
                <w:rFonts w:ascii="Times New Roman" w:cs="Times New Roman" w:eastAsia="Times New Roman" w:hAnsi="Times New Roman"/>
                <w:sz w:val="18"/>
                <w:szCs w:val="18"/>
                <w:b w:val="1"/>
                <w:bCs w:val="1"/>
                <w:color w:val="auto"/>
                <w:w w:val="95"/>
              </w:rPr>
              <w:t xml:space="preserve"> Quarter</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Quarter</w:t>
            </w:r>
          </w:p>
        </w:tc>
        <w:tc>
          <w:tcPr>
            <w:tcW w:w="1220" w:type="dxa"/>
            <w:vAlign w:val="bottom"/>
            <w:gridSpan w:val="3"/>
          </w:tcPr>
          <w:p>
            <w:pPr>
              <w:jc w:val="center"/>
              <w:ind w:right="300"/>
              <w:spacing w:after="0" w:line="235" w:lineRule="exact"/>
              <w:rPr>
                <w:sz w:val="20"/>
                <w:szCs w:val="20"/>
                <w:color w:val="auto"/>
              </w:rPr>
            </w:pPr>
            <w:r>
              <w:rPr>
                <w:rFonts w:ascii="Times New Roman" w:cs="Times New Roman" w:eastAsia="Times New Roman" w:hAnsi="Times New Roman"/>
                <w:sz w:val="27"/>
                <w:szCs w:val="27"/>
                <w:b w:val="1"/>
                <w:bCs w:val="1"/>
                <w:color w:val="auto"/>
                <w:vertAlign w:val="subscript"/>
              </w:rPr>
              <w:t>3</w:t>
            </w:r>
            <w:r>
              <w:rPr>
                <w:rFonts w:ascii="Times New Roman" w:cs="Times New Roman" w:eastAsia="Times New Roman" w:hAnsi="Times New Roman"/>
                <w:sz w:val="13"/>
                <w:szCs w:val="13"/>
                <w:b w:val="1"/>
                <w:bCs w:val="1"/>
                <w:color w:val="auto"/>
              </w:rPr>
              <w:t>rd</w:t>
            </w:r>
          </w:p>
        </w:tc>
        <w:tc>
          <w:tcPr>
            <w:tcW w:w="1000" w:type="dxa"/>
            <w:vAlign w:val="bottom"/>
            <w:gridSpan w:val="2"/>
          </w:tcPr>
          <w:p>
            <w:pPr>
              <w:jc w:val="right"/>
              <w:ind w:right="540"/>
              <w:spacing w:after="0" w:line="235" w:lineRule="exact"/>
              <w:rPr>
                <w:sz w:val="20"/>
                <w:szCs w:val="20"/>
                <w:color w:val="auto"/>
              </w:rPr>
            </w:pPr>
            <w:r>
              <w:rPr>
                <w:rFonts w:ascii="Times New Roman" w:cs="Times New Roman" w:eastAsia="Times New Roman" w:hAnsi="Times New Roman"/>
                <w:sz w:val="27"/>
                <w:szCs w:val="27"/>
                <w:b w:val="1"/>
                <w:bCs w:val="1"/>
                <w:color w:val="auto"/>
                <w:vertAlign w:val="subscript"/>
              </w:rPr>
              <w:t>2</w:t>
            </w:r>
            <w:r>
              <w:rPr>
                <w:rFonts w:ascii="Times New Roman" w:cs="Times New Roman" w:eastAsia="Times New Roman" w:hAnsi="Times New Roman"/>
                <w:sz w:val="13"/>
                <w:szCs w:val="13"/>
                <w:b w:val="1"/>
                <w:bCs w:val="1"/>
                <w:color w:val="auto"/>
              </w:rPr>
              <w:t>nd</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Quarter</w:t>
            </w: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240" w:type="dxa"/>
            <w:vAlign w:val="bottom"/>
            <w:gridSpan w:val="3"/>
            <w:vMerge w:val="continue"/>
          </w:tcPr>
          <w:p>
            <w:pPr>
              <w:spacing w:after="0"/>
              <w:rPr>
                <w:sz w:val="21"/>
                <w:szCs w:val="21"/>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100" w:type="dxa"/>
            <w:vAlign w:val="bottom"/>
            <w:gridSpan w:val="2"/>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896.1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847.7</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915.8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809.1</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Eurozone countries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15,605</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15,229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15,235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15,553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14,536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14,344</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147.6</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1,321.1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1,316.6</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1,358.2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1,342.2</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Vietnam</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24,374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23,926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23,478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24,303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23,081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22,770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risks related to fluctuations in interest rates on our outstanding variable rate debt. As of December 31, 2023, we had $503.0 million outstanding on the term loan, net of unamortized debt issuance cost and outstanding borrowings on our revolving credit facility. Our four interest rate swaps reduce our exposure to interest rate risk on our term loan by $200.0 million as of December 31, 2023. As a result, the total variable debt of $303.0 million was exposed to market risks as of December 31, 2023. A hypothetical one percentage point increase (decrease) in interest rates on our variable rate debt would increase (decrease) our annual interest expense by approximately $3.0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variable rate debt, interest rate changes generally do not affect the fair value of the debt instrument, but do impact future earnings and cash flows, assuming other factors are held constant. We have not entered into and currently do not hold derivatives for trading or speculative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 see Note 14 to the consolidated financial statements contained in this report.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FINANCIAL STATEMENTS AND SUPPLEMENTARY DATA</w:t>
            </w:r>
          </w:p>
        </w:tc>
        <w:tc>
          <w:tcPr>
            <w:tcW w:w="426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1.  Financial Statements. Set forth below is the index to the Financial Statements included in this Item 8:</w:t>
            </w:r>
          </w:p>
        </w:tc>
        <w:tc>
          <w:tcPr>
            <w:tcW w:w="1120" w:type="dxa"/>
            <w:vAlign w:val="bottom"/>
          </w:tcPr>
          <w:p>
            <w:pPr>
              <w:spacing w:after="0"/>
              <w:rPr>
                <w:sz w:val="24"/>
                <w:szCs w:val="24"/>
                <w:color w:val="auto"/>
              </w:rPr>
            </w:pPr>
          </w:p>
        </w:tc>
      </w:tr>
      <w:tr>
        <w:trPr>
          <w:trHeight w:val="459"/>
        </w:trPr>
        <w:tc>
          <w:tcPr>
            <w:tcW w:w="34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3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96"/>
        </w:trPr>
        <w:tc>
          <w:tcPr>
            <w:tcW w:w="44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at December 31, 2023 and 2022</w:t>
            </w:r>
          </w:p>
        </w:tc>
        <w:tc>
          <w:tcPr>
            <w:tcW w:w="568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175"/>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 for the years ended December 31, 2023, 2022 and 2021</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2023, 2022 and 2021</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175"/>
        </w:trPr>
        <w:tc>
          <w:tcPr>
            <w:tcW w:w="778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2023, 2022 and 2021</w:t>
            </w:r>
          </w:p>
        </w:tc>
        <w:tc>
          <w:tcPr>
            <w:tcW w:w="234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2023, 2022 and 2021</w:t>
            </w:r>
          </w:p>
        </w:tc>
        <w:tc>
          <w:tcPr>
            <w:tcW w:w="320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6"/>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(PricewaterhouseCoopers LLP, PCAOB ID 238)</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1"/>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right="30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 Financial statement schedules have been omitted because they are not required or are not applicable, or because the required information is shown in the financial statements or notes thereto.</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264,725</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investments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13,784</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47,360</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346,183</w:t>
            </w:r>
          </w:p>
        </w:tc>
      </w:tr>
      <w:tr>
        <w:trPr>
          <w:trHeight w:val="223"/>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81,198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87,816</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701,871</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759,868</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444,806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90,107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98,734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206,432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66,701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245,443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244,429</w:t>
            </w:r>
          </w:p>
        </w:tc>
      </w:tr>
      <w:tr>
        <w:trPr>
          <w:trHeight w:val="257"/>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1,806,463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1,820,970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53,963</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280,280</w:t>
            </w:r>
          </w:p>
        </w:tc>
      </w:tr>
      <w:tr>
        <w:trPr>
          <w:trHeight w:val="223"/>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328,871</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359,243</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70,943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76,540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377,466</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110,425</w:t>
            </w:r>
          </w:p>
        </w:tc>
      </w:tr>
      <w:tr>
        <w:trPr>
          <w:trHeight w:val="223"/>
        </w:trPr>
        <w:tc>
          <w:tcPr>
            <w:tcW w:w="86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984,495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7 and 16)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Class A common stock – 500 million shares authorized, $0.001 par value, 90.6 million shares issued</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613,278</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Treasury stock, at cost – 41.1 million and 41.1 million shares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(1,570,440)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(1,569,061)</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(86,509)</w:t>
            </w: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1,870,470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1,939,497</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821,968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1,806,463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1,820,970</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 except per share amounts)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1,969,131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2,225,659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2,695,669</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630,915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675,223</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1,357,281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1,594,744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2,020,446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879,634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1,080,153</w:t>
            </w:r>
          </w:p>
        </w:tc>
      </w:tr>
      <w:tr>
        <w:trPr>
          <w:trHeight w:val="216"/>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555,769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654,431</w:t>
            </w:r>
          </w:p>
        </w:tc>
      </w:tr>
      <w:tr>
        <w:trPr>
          <w:trHeight w:val="223"/>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48,494</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51,870</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1,309,013</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1,483,897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1,786,454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233,992</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 (Note 17)</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(21,690)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(21,877)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(1,533)</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88,970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232,459</w:t>
            </w: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(15,808)</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85,193</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104,778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147,266</w:t>
            </w:r>
          </w:p>
        </w:tc>
      </w:tr>
      <w:tr>
        <w:trPr>
          <w:trHeight w:val="209"/>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(000s):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50,193</w:t>
            </w:r>
          </w:p>
        </w:tc>
      </w:tr>
      <w:tr>
        <w:trPr>
          <w:trHeight w:val="216"/>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51,427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net of taxes of $(626), $536, and $429, respectively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(22,918)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(13,476)</w:t>
            </w:r>
          </w:p>
        </w:tc>
      </w:tr>
      <w:tr>
        <w:trPr>
          <w:trHeight w:val="198"/>
        </w:trPr>
        <w:tc>
          <w:tcPr>
            <w:tcW w:w="73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unrealized gains/(losses) on cash flow hedges, net of taxes of $(629), $(3,519) and $(1,166),</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12,748</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4,225</w:t>
            </w:r>
          </w:p>
        </w:tc>
      </w:tr>
      <w:tr>
        <w:trPr>
          <w:trHeight w:val="198"/>
        </w:trPr>
        <w:tc>
          <w:tcPr>
            <w:tcW w:w="732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Less: Reclassification adjustment for realized losses/(gains) in current earnings on cash flow</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hedges, net of taxes of $2,154, $674, and $(34), respectively</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(7,805)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(2,443)</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(13,497)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(12,613)</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(9,128)</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Stock, at</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579,801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(1,461,593)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1,840,740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894,271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147,266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(9,128)</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8)</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(80,420)</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(80,420)</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(0.7</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(1,292)</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15,153</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13,861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23,194</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(76,272)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(76,272)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601,703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1,911,734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912,772</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104,778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104,778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(12,613)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(12,613)</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8)</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(70,045)</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(70,045)</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(1.2</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27,844</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27,052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12,367</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(77,015)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(77,015)</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613,278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(1,569,061)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1,939,497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897,296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(13,497)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(13,497)</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8)</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(13,011)</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(13,011)</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(0.5</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(7,071)</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11,632</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15,646</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(77,622)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(77,622)</w:t>
            </w: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(1,570,440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104,778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147,266</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72,506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76,320</w:t>
            </w: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44,518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48,704</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23,194</w:t>
            </w:r>
          </w:p>
        </w:tc>
      </w:tr>
      <w:tr>
        <w:trPr>
          <w:trHeight w:val="257"/>
        </w:trPr>
        <w:tc>
          <w:tcPr>
            <w:tcW w:w="7320" w:type="dxa"/>
            <w:vAlign w:val="bottom"/>
            <w:gridSpan w:val="2"/>
          </w:tcPr>
          <w:p>
            <w:pPr>
              <w:ind w:left="340"/>
              <w:spacing w:after="0" w:line="256" w:lineRule="exact"/>
              <w:rPr>
                <w:sz w:val="20"/>
                <w:szCs w:val="20"/>
                <w:color w:val="auto"/>
              </w:rPr>
            </w:pPr>
            <w:r>
              <w:rPr>
                <w:rFonts w:ascii="Times New Roman" w:cs="Times New Roman" w:eastAsia="Times New Roman" w:hAnsi="Times New Roman"/>
                <w:sz w:val="18"/>
                <w:szCs w:val="18"/>
                <w:color w:val="auto"/>
              </w:rPr>
              <w:t>Inventory write-down</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88,108</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43,286</w:t>
            </w:r>
          </w:p>
        </w:tc>
        <w:tc>
          <w:tcPr>
            <w:tcW w:w="3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31,300</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(gains)/losses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7,056</w:t>
            </w: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13,026</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fixed assets and other intangibles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31,892</w:t>
            </w: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(gain)/losses on equity investments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(18,077)</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5,821</w:t>
            </w:r>
          </w:p>
        </w:tc>
      </w:tr>
      <w:tr>
        <w:trPr>
          <w:trHeight w:val="216"/>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(11,449)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20,219</w:t>
            </w:r>
          </w:p>
        </w:tc>
      </w:tr>
      <w:tr>
        <w:trPr>
          <w:trHeight w:val="216"/>
        </w:trPr>
        <w:tc>
          <w:tcPr>
            <w:tcW w:w="7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(13,222)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(126,620)</w:t>
            </w:r>
          </w:p>
        </w:tc>
      </w:tr>
      <w:tr>
        <w:trPr>
          <w:trHeight w:val="216"/>
        </w:trPr>
        <w:tc>
          <w:tcPr>
            <w:tcW w:w="73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15,132</w:t>
            </w:r>
          </w:p>
        </w:tc>
      </w:tr>
      <w:tr>
        <w:trPr>
          <w:trHeight w:val="216"/>
        </w:trPr>
        <w:tc>
          <w:tcPr>
            <w:tcW w:w="7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(19,792)</w:t>
            </w:r>
          </w:p>
        </w:tc>
      </w:tr>
      <w:tr>
        <w:trPr>
          <w:trHeight w:val="216"/>
        </w:trPr>
        <w:tc>
          <w:tcPr>
            <w:tcW w:w="73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9,263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(13,279)</w:t>
            </w:r>
          </w:p>
        </w:tc>
      </w:tr>
      <w:tr>
        <w:trPr>
          <w:trHeight w:val="216"/>
        </w:trPr>
        <w:tc>
          <w:tcPr>
            <w:tcW w:w="7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(37,701)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(120,833)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(104,992)</w:t>
            </w:r>
          </w:p>
        </w:tc>
      </w:tr>
      <w:tr>
        <w:trPr>
          <w:trHeight w:val="216"/>
        </w:trPr>
        <w:tc>
          <w:tcPr>
            <w:tcW w:w="73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4,412</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108,062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141,582</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(58,490)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(68,615)</w:t>
            </w:r>
          </w:p>
        </w:tc>
      </w:tr>
      <w:tr>
        <w:trPr>
          <w:trHeight w:val="216"/>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Proceeds on investment sales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15,094</w:t>
            </w:r>
          </w:p>
        </w:tc>
      </w:tr>
      <w:tr>
        <w:trPr>
          <w:trHeight w:val="216"/>
        </w:trPr>
        <w:tc>
          <w:tcPr>
            <w:tcW w:w="7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(13,955)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(16,242)</w:t>
            </w:r>
          </w:p>
        </w:tc>
      </w:tr>
      <w:tr>
        <w:trPr>
          <w:trHeight w:val="223"/>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(77,275)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(18,963)</w:t>
            </w:r>
          </w:p>
        </w:tc>
      </w:tr>
      <w:tr>
        <w:trPr>
          <w:trHeight w:val="223"/>
        </w:trPr>
        <w:tc>
          <w:tcPr>
            <w:tcW w:w="7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32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and taxes paid related to the net shares settlement of</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stock awards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27,052</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13,861</w:t>
            </w:r>
          </w:p>
        </w:tc>
      </w:tr>
      <w:tr>
        <w:trPr>
          <w:trHeight w:val="216"/>
        </w:trPr>
        <w:tc>
          <w:tcPr>
            <w:tcW w:w="7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(77,622)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(77,015)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(76,272)</w:t>
            </w:r>
          </w:p>
        </w:tc>
      </w:tr>
      <w:tr>
        <w:trPr>
          <w:trHeight w:val="216"/>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Repurchase of shares of common stock</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(13,011)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(70,045)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(80,420)</w:t>
            </w:r>
          </w:p>
        </w:tc>
      </w:tr>
      <w:tr>
        <w:trPr>
          <w:trHeight w:val="216"/>
        </w:trPr>
        <w:tc>
          <w:tcPr>
            <w:tcW w:w="7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(1,871)</w:t>
            </w:r>
          </w:p>
        </w:tc>
      </w:tr>
      <w:tr>
        <w:trPr>
          <w:trHeight w:val="216"/>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Payment of debt issuance cost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Payments on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(432,500)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(115,000)</w:t>
            </w:r>
          </w:p>
        </w:tc>
      </w:tr>
      <w:tr>
        <w:trPr>
          <w:trHeight w:val="223"/>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Proceeds from debt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460,000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155,000</w:t>
            </w:r>
          </w:p>
        </w:tc>
      </w:tr>
      <w:tr>
        <w:trPr>
          <w:trHeight w:val="223"/>
        </w:trPr>
        <w:tc>
          <w:tcPr>
            <w:tcW w:w="7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(3,536)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(16,347)</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(11,244)</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(74,868)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(63,090)</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339,593</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402,683</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256,057</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264,725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339,593</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Year ended December 31, 2022 and 2021 have been recast from Inventories, net to comply with current presentation</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Nu Skin Enterprises, Inc. (the “Company”) is a holding company, with Nu Skin being the primary operating unit. Nu Skin develops and distributes premium-quality, innovative beauty and wellness products that are sold worldwide under the Nu Skin, Pharmanex and ageLOC brands and a small number of other products and services. The Company reports revenue from nine segments, consisting of its seven geographic Nu Skin segments—Americas, which includes Canada, Latin America and the United States; Mainland China; Southeast Asia/Pacific, which includes Indonesia, Malaysia, the Philippines, Singapore, Thailand, Vietnam, Australia, New Zealand, and other markets; South Korea; Japan; Europe and Africa, which includes markets in Europe as well as South Africa; and Hong Kong/Taiwan, which also includes Macau—and two Rhyz segments—Manufacturing, which includes manufacturing and packaging subsidiaries it has acquired; and Rhyz other, which includes other investments by its Rhyz business arm (the Company’s subsidiaries operating within each segment are collectively referred to as the “Subsidiaries”).</w:t>
      </w:r>
    </w:p>
    <w:p>
      <w:pPr>
        <w:spacing w:after="0" w:line="188"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the Subsidiaries. All intercompany accounts and transactions are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accounting principles generally accepted in the United States of America (“U.S. GAAP”), required management to make estimates and assumptions that affected the reported amounts of assets and liabilities, and disclosure of contingent assets and liabilities, at the date of the financial statements and the reported amounts of revenue and expenses during the reporting period. Actual results may differ from these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are short-term, highly liquid instruments with original maturities of 90 days or less.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represents amounts owed to us through our operating activities and are presented net of allowance for doubtful accounts. Accounts receivable for core Nu Skin consists primarily of credit card receivables, while accounts receivable for our Rhyz businesses consists primarily of trade receivables from customer sales. For the Company’s trade receivables from its Rhyz customers, the Company performs ongoing credit evaluations of its customers and maintains an allowance for expected credit losses. The allowance for expected credit losses represents the Company’s best estimate based on current and historical information, and reasonable and supportable forecasts of future events and circumstances.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consist primarily of merchandise purchased for resale and are stated at the lower of standard cost or net realizable value, using a standard cost method which approximates the first-in, first-out method. The Company had reserves of its inventory carrying value totaling $83.4 million and $37.3 million as of December 31, 2023 and 2022,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(U.S. dollars in thousands):</w:t>
            </w: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0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0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163,797</w:t>
            </w:r>
          </w:p>
        </w:tc>
        <w:tc>
          <w:tcPr>
            <w:tcW w:w="100" w:type="dxa"/>
            <w:vAlign w:val="bottom"/>
            <w:shd w:val="clear" w:color="auto" w:fill="CCEEFF"/>
          </w:tcPr>
          <w:p>
            <w:pPr>
              <w:spacing w:after="0"/>
              <w:rPr>
                <w:sz w:val="18"/>
                <w:szCs w:val="18"/>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139,845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182,386</w:t>
            </w:r>
          </w:p>
        </w:tc>
      </w:tr>
      <w:tr>
        <w:trPr>
          <w:trHeight w:val="256"/>
        </w:trPr>
        <w:tc>
          <w:tcPr>
            <w:tcW w:w="5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inventory, net</w:t>
            </w:r>
          </w:p>
        </w:tc>
        <w:tc>
          <w:tcPr>
            <w:tcW w:w="3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279,978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060" w:type="dxa"/>
            <w:vAlign w:val="bottom"/>
          </w:tcPr>
          <w:p>
            <w:pPr>
              <w:spacing w:after="0"/>
              <w:rPr>
                <w:sz w:val="24"/>
                <w:szCs w:val="24"/>
                <w:color w:val="auto"/>
              </w:rPr>
            </w:pPr>
          </w:p>
        </w:tc>
        <w:tc>
          <w:tcPr>
            <w:tcW w:w="3620" w:type="dxa"/>
            <w:vAlign w:val="bottom"/>
          </w:tcPr>
          <w:p>
            <w:pPr>
              <w:jc w:val="right"/>
              <w:ind w:right="2908"/>
              <w:spacing w:after="0"/>
              <w:rPr>
                <w:sz w:val="20"/>
                <w:szCs w:val="20"/>
                <w:color w:val="auto"/>
              </w:rPr>
            </w:pPr>
            <w:r>
              <w:rPr>
                <w:rFonts w:ascii="Times New Roman" w:cs="Times New Roman" w:eastAsia="Times New Roman" w:hAnsi="Times New Roman"/>
                <w:sz w:val="14"/>
                <w:szCs w:val="14"/>
                <w:color w:val="auto"/>
              </w:rPr>
              <w:t>67</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0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Reserves of inventories consist of the following (U.S. dollars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00" w:type="dxa"/>
            <w:vAlign w:val="bottom"/>
            <w:shd w:val="clear" w:color="auto" w:fill="CCEEFF"/>
          </w:tcPr>
          <w:p>
            <w:pPr>
              <w:spacing w:after="0"/>
              <w:rPr>
                <w:sz w:val="18"/>
                <w:szCs w:val="18"/>
                <w:color w:val="auto"/>
              </w:rPr>
            </w:pP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Additions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88,108</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43,286</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(41,997)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(26,906)</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37,267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18,643</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2023 and 2022, the Company made the strategic decision to re-balance and narrow their product portfolio, which resulted in an incremental adjustment to the inventory carrying value. This resulted in an incremental reserve of $65.7 million and $26.9 million during the years ended December 31, 2023 and 2022, respectively. The remaining reserve balances as of the end of 2023, 2022 and 2021 related to normal, recurring activity.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Prepaid expense and other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consist of the following (U.S.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charges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income tax</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 and import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rent, insurance and other occupancy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promotion and event cost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other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software license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18,430</w:t>
            </w:r>
          </w:p>
        </w:tc>
      </w:tr>
      <w:tr>
        <w:trPr>
          <w:trHeight w:val="257"/>
        </w:trPr>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prepaid expense and other</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recorded using the straight-line method over the following estimated useful lives: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80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39 years</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5 - 7 years</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80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Shorter of estimated useful life or lease term</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Scanners</w:t>
            </w:r>
          </w:p>
        </w:tc>
        <w:tc>
          <w:tcPr>
            <w:tcW w:w="80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3 - 5 years</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for maintenance and repairs are charged to expense as incurred. When an asset is sold or otherwise disposed of, the cost and associated accumulated depreciation are removed from the accounts and the resulting gain or loss is recognized in the statement of income. Property and equipment are reviewed for impairment whenever events or changes in circumstances indicate that the carrying amount of such assets may not be recoverable. An impairment loss is recognized if the carrying amount of the asset exceeds its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accrued expenses and operating lease liabilities on the consolidated balance sheets. Finance leases are included in other assets, accrued expenses and other liabilities on the consolidated balance sheets.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assets also include any lease payments made and exclude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Company accounts for the lease and non-lease components as a single lease component.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Goodwill is recorded when the cost of acquired businesses exceeds the fair value of the identifiable net assets acquired. Goodwill and intangible assets with indefinite useful lives are not amortized, but are assessed for impairment annually on October 1. In addition, impairment testing is conducted when events occur or circumstances change that would more likely than not reduce the fair value of a reporting unit below its carrying amount. Goodwill and intangible assets with indefinite useful lives would be written down to fair value if considered impaired. Guidance under Accounting Standards Codification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requires an entity to test goodwill for impairment on at least an annual basis. The Company had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must be measured. The Company elected to perform the qualitative assessment during fiscal year 2023 and 2021, and determined that it is not more likely than not the carrying value exceeds the fair value of the reporting units. In fiscal years 2022, a quantitative assessment was performed. Intangible assets with finite useful lives are amortized to their estimated residual values over such finite lives using the straight-line method and reviewed for impairment whenever events or circumstances warrant such a review.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further in Note 20 of the Notes to Consolidated Financial Statements, during the fourth quarter of fiscal year 2021, the Company recognized an $18.2 million goodwill and intangibles impairment charge related to the Grow Tech segment, which was included in Restructuring and impairment expenses in the consolidated statement of income. During fiscal year 2022, the Company recorded a $1.7 million impairment of other intangibles.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completed the annual goodwill and indefinite-lived intangible asset impairment testing as of October 1, 2023, and concluded the qualitative assessment indicated that the fair value of the Company’s reporting units exceeded their carrying value and therefore were not at risk for impairment. If there is continued deterioration of economic conditions it may lead to an impairment. As of the October 1, 2022 quantitative analysis testing date, the fair value of the Manufacturing reporting unit was estimated to be approximately 8% in excess of its carrying amount, and therefore the reporting unit is considered to be at risk of future impairment. The Manufacturing reporting unit’s fair value remains sensitive to significant unfavorable changes in revenue, gross margin and discount rates that could negatively impact future analyses.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holds strategic investments in other companies. These investments are accounted for under the measurement alternative described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(“ASC 321”) for equity investments that do not have readily determinable fair values. These investments are measured at cost, less impairment, if any, plus or minus changes resulting from observable price changes in orderly transactions for identical or similar investments of the same issuer. The Company does not exercise significant influence over these companies. These investments are carried on the consolidated balance sheets within Other Assets. Changes in fair value based on impairments or resulting from observable price changes are recorded in Other Income (expense), net on the consolidated statements of income. See Note 10 – Fair Value and Equity Investments, for further details around the Company’s equity investments.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consist of the following (U.S. dollars in thousands):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noncancelable operating leases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13,872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for life insurance policies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45,041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40,055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Financing, net</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11,170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36,374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39,493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34,920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36,398</w:t>
            </w: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assets</w:t>
            </w:r>
          </w:p>
        </w:tc>
        <w:tc>
          <w:tcPr>
            <w:tcW w:w="36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245,443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244,429</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3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320" w:type="dxa"/>
            <w:vAlign w:val="bottom"/>
            <w:vMerge w:val="continue"/>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(U.S. dollars in thousands):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force commissions and other payments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82,103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taxes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21,245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21,822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other employee expenses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44,335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37,650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payable to vendors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22,752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29,569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23,898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29,376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20,388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27,053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33,473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34,920</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3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260,366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5320" w:type="dxa"/>
            <w:vAlign w:val="bottom"/>
          </w:tcPr>
          <w:p>
            <w:pPr>
              <w:spacing w:after="0"/>
              <w:rPr>
                <w:sz w:val="24"/>
                <w:szCs w:val="24"/>
                <w:color w:val="auto"/>
              </w:rPr>
            </w:pPr>
          </w:p>
        </w:tc>
        <w:tc>
          <w:tcPr>
            <w:tcW w:w="3360" w:type="dxa"/>
            <w:vAlign w:val="bottom"/>
          </w:tcPr>
          <w:p>
            <w:pPr>
              <w:jc w:val="right"/>
              <w:ind w:right="2899"/>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32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consist of the following (U.S.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 for other tax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for deferred compensation plan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44,427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5,978</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other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110,425</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include products and shipping and handling charges, net of estimates for product returns and any related sales incentives. Revenue is measured as the amount of consideration we expect to receive in exchange for transferring products. All revenue is recognized when we satisfy our performance obligations under the contract. The Company recognizes revenue by transferring the promised products to the customer, with revenue recognized at shipping point, the point in time the customer obtains control of the products. The Company recognizes revenue for shipping and handling charges at the time the products are delivered to or picked up by the customer. A reserve for product returns is accrued based on historical experience totaling $4.7 million and $3.4 million as of December 31, 2023 and 2022, respectively. During the years ended December 31, 2023, 2022 and 2021, the Company recorded sales returns of $34.7 million, $31.6 million and $52.1 million, respectively. The majority of the Company’s contracts have a single performance obligation and are short term in nature. Sales taxes and value added taxes in foreign jurisdictions that are collected from customers and remitted to governmental authorities are accounted for on a net basis and therefore are excluded from net sales.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 – Customer Loyalty Programs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balance of deferred revenue related to contract liabilities was $12.6 million and $18.7 million as of December 31, 2023, and 2022, respectively. The contract liabilities impact to revenue for the years ended December 31, 2023, 2022 and 2021 was an increase of $6.1 million, an increase of $3.3 million and a decrease of $3.8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15 - Segment Information for revenue by segment and product line.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may include multiple performance obligations. For such arrangements, the Company allocates revenues to each performance obligation based on its relative standalone selling price. The Company generally determines standalone selling prices based on the prices charged to customers for individual products sales to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are recorded as cost of sales and are expensed as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general and administrative expenses in the accompanying consolidated statements of income. Advertising expense incurred for the years ended December 31, 2023, 2022 and 2021 totaled $18.0 million, $14.5 million and $15.5 million,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expenses are the Company’s most significant expense and are classified as operating expenses. Selling expenses include commissions the Company pays to its Brand Affiliates, as well as salaries, service fees, benefits, bonuses and other labor and unemployment expenses the Company pays to its sales force in Mainland China. Selling expenses do not include amounts the Company pays to its sales force based on their personal purchases; rather, such amounts are reflected as reductions to revenue. The term “Brand Affiliates” refers to members of the Company’s independent sales force in all of the Company’s markets besides Mainland China. In each of the Company’s markets, except Mainland China, Sales Leaders can earn “multi-level” compensation under the Company’s global sales compensation plan, including commissions for product sales to their consumer groups as well as the product sales made through the sales network they have developed and trained. The Company does not pay commissions on sales materials.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of Mainland China, the Company’s Brand Affiliates may make profits by purchasing the products from the Company at a discount and selling them to consumers with a mark-up. The Company does not account for nor pay additional commissions on these mark-ups received by Brand Affiliates. In many markets, the Company also allows individuals who are not members of its sales force, referred to as “preferred customers,” to buy products directly from the Company at a discount. The Company pays commissions on preferred customer purchases to the referring member of its sales force.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are included in general and administrative expenses in the accompanying consolidated statements of income and totaled $22.6 million, $23.3 million and $27.2 million in 2023, 2022 and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These deferred tax assets assume sufficient future earnings will exist for their realization, and are calculated using anticipated tax rates. Valuation allowances are established when necessary to reduce deferred tax assets to the amounts expected to be ultimately realized.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In 2009, we entered into a voluntary program with the IRS called Compliance Assurance Process (“CAP”). Under the CAP program, the IRS audits the tax position of the Company to identify and resolve any tax issues that may arise throughout the tax year. The IRS has developed a new pilot phase called “Bridge Plus.” Under Bridge Plus the taxpayer is required to provide book-to-tax reconciliations, credit utilization and other supporting documentation shortly after their audited financial statement is finalized. The company was selected for Bridge Plus for the 2022, 2023, and 2024 tax years. As of December 31, 2023, all open tax years except 2021 have been audited and are effectively closed to further examination. For the tax year 2021, the Company was in the Bridge phase of the CAP program, pursuant to which the IRS did not accept disclosures, did not conduct reviews and did not provide letters of assurance for the year. There are limited circumstances that tax years in the Bridge phase will be opened for examination. With a few exceptions, we are no longer subject to state and local income tax examination by tax authorities for the years before 2020.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included in other liabilities is as follows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balance at January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due to lapse of statutes of limitations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(2,409)</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Currency adjustments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balance at December 31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2023, the Company had $22.0 million in unrecognized tax benefits of which $22.0 million, if recognized, would affect the effective tax rate. In comparison, at December 31, 2022, the Company had $23.1 million in unrecognized tax benefits of which $23.1 million, if recognized, would affect the effective tax rate. The Company’s unrecognized tax benefits relate to multiple foreign and domestic jurisdictions. Due to potential changes in unrecognized tax benefits from the multiple jurisdictions in which the Company operates, as well as the expiration of various statutes of limitation, it is reasonably possible that the Company’s gross unrecognized tax benefits, net of foreign currency adjustments, may increase within the next 12 months by a range of approximately $2.0 to $3.0 million.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recognized $0.6 million, $5.7 million and $1.6 million, respectively in interest and penalties expenses related to uncertain tax positions. The Company had $13.0 million, $12.4 million and $6.7 million of accrued interest and penalties related to uncertain tax positions at December 31, 2023, 2022 and 2021, respectively. Interest and penalties related to uncertain tax positions are recognized as a component of income tax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(Note 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business operations occurs outside of the United States. The local currency of each of the Company’s Subsidiaries is considered its functional currency, except for the Company’s subsidiaries in Singapore and countries deemed highly inflationary where the U.S. dollar is used.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transaction gains and losses are included in other income (expense) in the consolidated statements of income. Net of tax, the accumulated other comprehensive loss related to the foreign currency translation adjustments are $110.0 million (net of tax of $7.4 million), $102.0 million (net of tax of $8.1 million), and $79.1 million (net of tax of $7.5 million), at December 31, 2023, 2022 and 2021,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a highly inflationary economy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market is considered to have a highly inflationary economy if it has a cumulative inflation rate of approximately 100% or more over a three-year period as well as other qualitative factors including historic inflation rate trends (increasing and decreasing), the capital intensiveness of the operation and other pertinent economic factors. The functional currency in highly inflationary economies is required to be the functional currency of the entity’s parent company, and transactions denominated in the local currency are remeasured to the functional currency. The remeasurement of local currency into U.S. dollars creates foreign currency transaction gains or losses, which the Company includes in its consolidated statements of income.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Argentina’s functional currency became the U.S. dollar, and its income statement and balance sheet have been measured in U.S. dollars using both current and historical rates of exchange. The effect of changes in exchange rates on peso-denominated monetary assets and liabilities has been reflected in earnings in Other expense, net and was not material. As of December 31, 2023, and 2022, Argentina had a small net peso monetary position. Net sales of Argentina were less than 1 percent of our consolidated net sales for the years ended December 31, 2023, 2022 and 2021.</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 of financial instruments including cash and cash equivalents, accounts receivable and accounts payable approximate fair values due to the short-term nature of these instruments. The Company’s current investments as of December 31, 2023 include certificates of deposits and pre-refunded municipal bonds that are classified by management as held-to-maturity as the Company had the positive intent and ability to hold to maturity. The carrying value of these current investments approximate fair values due to the short-term nature of these instruments. As of December 31, 2023 and 2022, the fair value of debt was $505.0 million and $405.0 million, respectively. The fair value of the Company’s debt is estimated using level 2 inputs based on interest rates available for debt with similar terms and remaining maturities.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spacing w:after="0" w:line="183"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permit companies, at their option, to measure many financial instruments and certain other items at fair value. The Company has elected not to apply the fair value option to existing eligible items.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share-based payments, including grants of stock options and restricted stock units, are required to be recognized in the Company’s financial statements based upon their respective grant date fair values. The Black-Scholes option-pricing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expected life of the stock options is based on historical data trended into the future. The risk-free interest rate assumption is based on observed interest rates appropriate for the expected terms of the Company’s stock options. The fair value of the Company’s restricted stock units is based on the closing market price of its stock on the date of grant less the Company’s expected dividend yield. The Company recognizes stock-based compensation net of actual forfeitures over the requisite service period of the award.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compensation expense related to equity compensation plans was $15.6 million, $12.4 million and $23.2 million for the years ended December 31, 2023, 2022 and 2021, respectively. In 2023, 2022 and 2021, these amounts reflect the reversal of $0, $1.3, and $0, respectively, for certain performance-based awards that were no longer expected to vest. For the years ended December 31, 2023, 2022 and 2021, all stock-based compensation expense was recorded within general and administrative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comprehensive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is defined as the change in equity of a business enterprise during a period from transactions and other events and circumstances from non-owner sources, and it includes all changes in equity during a period except those resulting from investments by owners and distributions to owners.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FASB ASC 815, Derivatives and Hedging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credit-risk-related contingent features in derivative instruments.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required by ASC 815, 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FASB’s fair value measurement guidance in ASU 2011-04, the Company made an accounting policy election to measure the credit risk of its derivative financial instruments that are subject to master netting agreements on a net basis by counterparty portfolio.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2023-07,Segment Reporting (Topic 280):Improvements to Reportable Segment Disclosures, expanding segment disclosure requirements. The amendments require enhanced disclosure for certain segment items and required disclosure on how management uses reported measures to assess segment performance. The amendments do not change how segments are determined, aggregated, or how thresholds are applied to determine reportable segments. ASU 2023-07 is effective for the Company’s annual periods beginning January 1, 2024, and for interim periods beginning January 1, 2025, with early adoption permitted. The Company is currently evaluating the potential effect that the updated standard will have on their financial statement disclosures.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January 1, 2025, with early adoption permitted. The Company is currently evaluating the potential effect that the updated standard will have on their financial statement disclosures.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480" w:type="dxa"/>
            <w:vAlign w:val="bottom"/>
            <w:gridSpan w:val="2"/>
          </w:tcPr>
          <w:p>
            <w:pPr>
              <w:jc w:val="right"/>
              <w:ind w:right="6416"/>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are comprised of the following (U.S. dollars in thousands):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4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44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8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42,931</w:t>
            </w:r>
          </w:p>
        </w:tc>
        <w:tc>
          <w:tcPr>
            <w:tcW w:w="100" w:type="dxa"/>
            <w:vAlign w:val="bottom"/>
            <w:shd w:val="clear" w:color="auto" w:fill="CCEEFF"/>
          </w:tcPr>
          <w:p>
            <w:pPr>
              <w:spacing w:after="0"/>
              <w:rPr>
                <w:sz w:val="18"/>
                <w:szCs w:val="18"/>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274,049</w:t>
            </w:r>
          </w:p>
        </w:tc>
      </w:tr>
      <w:tr>
        <w:trPr>
          <w:trHeight w:val="257"/>
        </w:trPr>
        <w:tc>
          <w:tcPr>
            <w:tcW w:w="89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Construction in progress</w:t>
            </w:r>
            <w:r>
              <w:rPr>
                <w:rFonts w:ascii="Times New Roman" w:cs="Times New Roman" w:eastAsia="Times New Roman" w:hAnsi="Times New Roman"/>
                <w:sz w:val="29"/>
                <w:szCs w:val="29"/>
                <w:color w:val="auto"/>
                <w:vertAlign w:val="superscript"/>
              </w:rPr>
              <w:t>(1)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16,808</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64,566</w:t>
            </w: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136,835</w:t>
            </w:r>
          </w:p>
        </w:tc>
      </w:tr>
      <w:tr>
        <w:trPr>
          <w:trHeight w:val="216"/>
        </w:trPr>
        <w:tc>
          <w:tcPr>
            <w:tcW w:w="8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145,934</w:t>
            </w: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114,633</w:t>
            </w:r>
          </w:p>
        </w:tc>
      </w:tr>
      <w:tr>
        <w:trPr>
          <w:trHeight w:val="216"/>
        </w:trPr>
        <w:tc>
          <w:tcPr>
            <w:tcW w:w="8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Scanners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6,438</w:t>
            </w:r>
          </w:p>
        </w:tc>
      </w:tr>
      <w:tr>
        <w:trPr>
          <w:trHeight w:val="223"/>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Vehicles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w:t>
            </w:r>
          </w:p>
        </w:tc>
      </w:tr>
      <w:tr>
        <w:trPr>
          <w:trHeight w:val="216"/>
        </w:trPr>
        <w:tc>
          <w:tcPr>
            <w:tcW w:w="4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787,661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786,992</w:t>
            </w:r>
          </w:p>
        </w:tc>
        <w:tc>
          <w:tcPr>
            <w:tcW w:w="100" w:type="dxa"/>
            <w:vAlign w:val="bottom"/>
            <w:shd w:val="clear" w:color="auto" w:fill="CCEEFF"/>
          </w:tcPr>
          <w:p>
            <w:pPr>
              <w:spacing w:after="0"/>
              <w:rPr>
                <w:sz w:val="18"/>
                <w:szCs w:val="18"/>
                <w:color w:val="auto"/>
              </w:rPr>
            </w:pPr>
          </w:p>
        </w:tc>
      </w:tr>
      <w:tr>
        <w:trPr>
          <w:trHeight w:val="223"/>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(354,696)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(342,186)</w:t>
            </w:r>
          </w:p>
        </w:tc>
      </w:tr>
      <w:tr>
        <w:trPr>
          <w:trHeight w:val="256"/>
        </w:trPr>
        <w:tc>
          <w:tcPr>
            <w:tcW w:w="440" w:type="dxa"/>
            <w:vAlign w:val="bottom"/>
            <w:tcBorders>
              <w:bottom w:val="single" w:sz="8" w:color="CCEEFF"/>
            </w:tcBorders>
            <w:shd w:val="clear" w:color="auto" w:fill="CCEEFF"/>
          </w:tcPr>
          <w:p>
            <w:pPr>
              <w:spacing w:after="0"/>
              <w:rPr>
                <w:sz w:val="22"/>
                <w:szCs w:val="22"/>
                <w:color w:val="auto"/>
              </w:rPr>
            </w:pPr>
          </w:p>
        </w:tc>
        <w:tc>
          <w:tcPr>
            <w:tcW w:w="8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432,965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444,806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in progress includes $8.5 million and $20.5 million as of December 31, 2023 and 2022, respectively, of eligible capitalized internal-use software development costs which will be reclassified to computers and equipment when placed into service.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of property and equipment totaled $57.7 million, $61.0 million and $62.9 million for the years ended December 31, 2023, 2022 and 2021, respectively. The Company recorded impairments of $8.2 million and $13.7 million for the years ended December 31, 2022, and 2021, respectively in connection with our fiscal year 2022 and 2021 restructuring plans, see Note 20 – Restructuring and Severance Charges.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500" w:hanging="492"/>
        <w:spacing w:after="0"/>
        <w:tabs>
          <w:tab w:leader="none" w:pos="5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goodwill allocated to the Company’s reportable segments for the periods ended December 31, 2023 and 2022 (U.S. dollars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32,179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29,261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78,875</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36,939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12,603</w:t>
            </w:r>
          </w:p>
        </w:tc>
      </w:tr>
      <w:tr>
        <w:trPr>
          <w:trHeight w:val="257"/>
        </w:trPr>
        <w:tc>
          <w:tcPr>
            <w:tcW w:w="8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Company’s goodwill is recorded in U.S. dollar functional currency and allocated to the respective segments. Goodwill is not amortized; rather, it is subject to annual impairment tests.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the Rhyz Other segment goodwill during the year ended December 31, 2023 is due to acquisitions. See Note 19 for further discussions of these acquisitions.</w:t>
      </w:r>
    </w:p>
    <w:p>
      <w:pPr>
        <w:spacing w:after="0" w:line="158" w:lineRule="exact"/>
        <w:rPr>
          <w:sz w:val="20"/>
          <w:szCs w:val="20"/>
          <w:color w:val="auto"/>
        </w:rPr>
      </w:pPr>
    </w:p>
    <w:p>
      <w:pPr>
        <w:ind w:left="500" w:hanging="492"/>
        <w:spacing w:after="0"/>
        <w:tabs>
          <w:tab w:leader="none" w:pos="5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following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Carrying Amount at December 31,</w:t>
            </w:r>
          </w:p>
        </w:tc>
      </w:tr>
      <w:tr>
        <w:trPr>
          <w:trHeight w:val="223"/>
        </w:trPr>
        <w:tc>
          <w:tcPr>
            <w:tcW w:w="3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9"/>
                <w:szCs w:val="19"/>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Indefinite life intangible assets: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24,599</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24,599</w:t>
            </w:r>
          </w:p>
        </w:tc>
      </w:tr>
      <w:tr>
        <w:trPr>
          <w:trHeight w:val="439"/>
        </w:trPr>
        <w:tc>
          <w:tcPr>
            <w:tcW w:w="3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c>
          <w:tcPr>
            <w:tcW w:w="238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r>
      <w:tr>
        <w:trPr>
          <w:trHeight w:val="194"/>
        </w:trPr>
        <w:tc>
          <w:tcPr>
            <w:tcW w:w="3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6"/>
                <w:szCs w:val="16"/>
                <w:color w:val="auto"/>
              </w:rPr>
            </w:pPr>
          </w:p>
        </w:tc>
        <w:tc>
          <w:tcPr>
            <w:tcW w:w="140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100" w:type="dxa"/>
            <w:vAlign w:val="bottom"/>
            <w:tcBorders>
              <w:top w:val="single" w:sz="8" w:color="auto"/>
            </w:tcBorders>
            <w:gridSpan w:val="3"/>
          </w:tcPr>
          <w:p>
            <w:pPr>
              <w:jc w:val="right"/>
              <w:ind w:right="4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4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Finite life intangible assets: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Scanner technology</w:t>
            </w:r>
          </w:p>
        </w:tc>
        <w:tc>
          <w:tcPr>
            <w:tcW w:w="1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18 years</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30,322</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27,365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14 years</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force network</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11,598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5,844</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16 years</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23,823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18,055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8 years</w:t>
            </w:r>
          </w:p>
        </w:tc>
      </w:tr>
      <w:tr>
        <w:trPr>
          <w:trHeight w:val="22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9,923</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14,497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8 years</w:t>
            </w:r>
          </w:p>
        </w:tc>
      </w:tr>
      <w:tr>
        <w:trPr>
          <w:trHeight w:val="256"/>
        </w:trPr>
        <w:tc>
          <w:tcPr>
            <w:tcW w:w="3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202,936</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13 years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finite-life intangible assets totaled $11.9 million, $9.7 million and $11.7 million for the years ended December 31, 2023, 2022 and 2021,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85"/>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annual amortization expense for each of the five succeeding fiscal years are as follows (U.S. dollars in thousands):</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9"/>
        </w:trPr>
        <w:tc>
          <w:tcPr>
            <w:tcW w:w="9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8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12,745</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8,340</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8,028</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Indefinite life intangible assets are not amortized, rather they are subject to annual impairment tests. Finite life intangibles are amortized over their useful lives unless circumstances occur that cause the Company to revise such lives or review such assets for impairment. In connection with the Company’s decision to exit the Grow Tech segment, a $3.8 million impairment charge related to other indefinite lived intangibles and a $5.2 million impairment charge related to other finite lived intangibles was recorded in the year ended December 31, 2021, see Note 20 for further discussion restructuring and impairment of the Grow Tech segment. During 2022, the Company recorded a $1.7 million impairment charge for other intangibles associated with our 2022 restructuring. See Note 20 for further discussion.</w:t>
      </w:r>
    </w:p>
    <w:p>
      <w:pPr>
        <w:spacing w:after="0" w:line="183" w:lineRule="exact"/>
        <w:rPr>
          <w:sz w:val="20"/>
          <w:szCs w:val="20"/>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December 31, 2023, the Company was in compliance with all covenants under the Credit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facilities as of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16"/>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77"/>
        </w:trPr>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Facility or Arrangement</w:t>
            </w:r>
          </w:p>
        </w:tc>
        <w:tc>
          <w:tcPr>
            <w:tcW w:w="8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Pr>
          <w:p>
            <w:pPr>
              <w:ind w:left="200"/>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2023</w:t>
            </w:r>
            <w:r>
              <w:rPr>
                <w:rFonts w:ascii="Times New Roman" w:cs="Times New Roman" w:eastAsia="Times New Roman" w:hAnsi="Times New Roman"/>
                <w:sz w:val="14"/>
                <w:szCs w:val="14"/>
                <w:color w:val="auto"/>
              </w:rPr>
              <w:t xml:space="preserve"> (1)(2)</w:t>
            </w:r>
          </w:p>
        </w:tc>
        <w:tc>
          <w:tcPr>
            <w:tcW w:w="60" w:type="dxa"/>
            <w:vAlign w:val="bottom"/>
          </w:tcPr>
          <w:p>
            <w:pPr>
              <w:spacing w:after="0"/>
              <w:rPr>
                <w:sz w:val="24"/>
                <w:szCs w:val="24"/>
                <w:color w:val="auto"/>
              </w:rPr>
            </w:pPr>
          </w:p>
        </w:tc>
        <w:tc>
          <w:tcPr>
            <w:tcW w:w="114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8"/>
                <w:vertAlign w:val="subscript"/>
              </w:rPr>
              <w:t>2022</w:t>
            </w:r>
            <w:r>
              <w:rPr>
                <w:rFonts w:ascii="Times New Roman" w:cs="Times New Roman" w:eastAsia="Times New Roman" w:hAnsi="Times New Roman"/>
                <w:sz w:val="14"/>
                <w:szCs w:val="14"/>
                <w:color w:val="auto"/>
                <w:w w:val="98"/>
              </w:rPr>
              <w:t xml:space="preserve"> (1)(2)</w:t>
            </w:r>
          </w:p>
        </w:tc>
        <w:tc>
          <w:tcPr>
            <w:tcW w:w="10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24"/>
                <w:szCs w:val="24"/>
                <w:color w:val="auto"/>
              </w:rPr>
            </w:pPr>
          </w:p>
        </w:tc>
        <w:tc>
          <w:tcPr>
            <w:tcW w:w="35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Repayment Terms</w:t>
            </w:r>
          </w:p>
        </w:tc>
      </w:tr>
      <w:tr>
        <w:trPr>
          <w:trHeight w:val="194"/>
        </w:trPr>
        <w:tc>
          <w:tcPr>
            <w:tcW w:w="27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 term loan</w:t>
            </w:r>
          </w:p>
        </w:tc>
        <w:tc>
          <w:tcPr>
            <w:tcW w:w="8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w w:val="96"/>
              </w:rPr>
              <w:t>$400.0 million</w:t>
            </w:r>
          </w:p>
        </w:tc>
        <w:tc>
          <w:tcPr>
            <w:tcW w:w="1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w w:val="98"/>
              </w:rPr>
              <w:t>$385.0 million</w:t>
            </w:r>
          </w:p>
        </w:tc>
        <w:tc>
          <w:tcPr>
            <w:tcW w:w="6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$395.0 million</w:t>
            </w:r>
          </w:p>
        </w:tc>
        <w:tc>
          <w:tcPr>
            <w:tcW w:w="10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Variable 30</w:t>
            </w:r>
          </w:p>
        </w:tc>
        <w:tc>
          <w:tcPr>
            <w:tcW w:w="100" w:type="dxa"/>
            <w:vAlign w:val="bottom"/>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21%  of  the  principal  amount  is  payable in</w:t>
            </w:r>
          </w:p>
        </w:tc>
      </w:tr>
      <w:tr>
        <w:trPr>
          <w:trHeight w:val="220"/>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day: 7.46%   increasing quarterly installments over a five-year</w:t>
            </w:r>
          </w:p>
        </w:tc>
      </w:tr>
      <w:tr>
        <w:trPr>
          <w:trHeight w:val="216"/>
        </w:trPr>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that began on September 30, 2022, with</w:t>
            </w:r>
          </w:p>
        </w:tc>
      </w:tr>
      <w:tr>
        <w:trPr>
          <w:trHeight w:val="216"/>
        </w:trPr>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remainder payable at the end of the five-year</w:t>
            </w:r>
          </w:p>
        </w:tc>
      </w:tr>
      <w:tr>
        <w:trPr>
          <w:trHeight w:val="234"/>
        </w:trPr>
        <w:tc>
          <w:tcPr>
            <w:tcW w:w="2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r>
      <w:tr>
        <w:trPr>
          <w:trHeight w:val="216"/>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4760" w:type="dxa"/>
            <w:vAlign w:val="bottom"/>
            <w:gridSpan w:val="3"/>
          </w:tcPr>
          <w:p>
            <w:pPr>
              <w:spacing w:after="0"/>
              <w:rPr>
                <w:sz w:val="18"/>
                <w:szCs w:val="18"/>
                <w:color w:val="auto"/>
              </w:rPr>
            </w:pPr>
          </w:p>
        </w:tc>
      </w:tr>
      <w:tr>
        <w:trPr>
          <w:trHeight w:val="194"/>
        </w:trPr>
        <w:tc>
          <w:tcPr>
            <w:tcW w:w="27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 revolving credit</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$120.0 million</w:t>
            </w:r>
          </w:p>
        </w:tc>
        <w:tc>
          <w:tcPr>
            <w:tcW w:w="1240" w:type="dxa"/>
            <w:vAlign w:val="bottom"/>
            <w:gridSpan w:val="2"/>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$10.0 million</w:t>
            </w:r>
          </w:p>
        </w:tc>
        <w:tc>
          <w:tcPr>
            <w:tcW w:w="4760" w:type="dxa"/>
            <w:vAlign w:val="bottom"/>
            <w:gridSpan w:val="3"/>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Variable 30   Revolving line of credit expires June 14, 2027.</w:t>
            </w:r>
          </w:p>
        </w:tc>
      </w:tr>
      <w:tr>
        <w:trPr>
          <w:trHeight w:val="238"/>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day: 7.46%</w:t>
            </w:r>
          </w:p>
        </w:tc>
        <w:tc>
          <w:tcPr>
            <w:tcW w:w="10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2022, the current portion of the Company’s debt (i.e. becoming due in the next 12 months) included $25.0 million and $15.0 million, respectively, of the balance of its term loan under the Credit Agreement.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debt reflects the amounts stated in the above table, less debt issuance costs of $2.0 million and $2.5 million as of December 31, 2023 and 2022, respectively, related to the Credit Agreement, which are not reflected in this table.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all long-term debt at December 31, 2023, are as follows (U.S. dollars in thousands):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97"/>
        </w:trPr>
        <w:tc>
          <w:tcPr>
            <w:tcW w:w="9900" w:type="dxa"/>
            <w:vAlign w:val="bottom"/>
            <w:tcBorders>
              <w:bottom w:val="single" w:sz="8" w:color="CCEEFF"/>
            </w:tcBorders>
            <w:gridSpan w:val="2"/>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9"/>
                <w:szCs w:val="29"/>
                <w:color w:val="auto"/>
                <w:vertAlign w:val="superscript"/>
              </w:rPr>
              <w:t>(1)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carrying value of the debt reflects the amounts stated in the above table less debt issuance costs of $2.0 million, which is not reflected in this table.</w:t>
      </w:r>
    </w:p>
    <w:p>
      <w:pPr>
        <w:spacing w:after="0" w:line="221" w:lineRule="exact"/>
        <w:rPr>
          <w:sz w:val="20"/>
          <w:szCs w:val="20"/>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finance leases for regional offices, manufacturing facilities, retail centers, distribution centers and certain equipment. The Company’s leases have remaining lease terms of 1 year to 20 years, some of which include options to extend the leases for up to 20 years, and some of which include options to terminate the leases within 1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weighted average remaining lease term was 8.5 and 3.7 years for operating and finance leases, respectively. As of December 31, 2023, the weighted average discount rate was 3.6% and 3.7% for operating and finance leases,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(U.S. 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39,682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48,447</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4,785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48,592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51,827</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(U.S. dollars in thousands):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outflow from finance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outflow from finance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34,026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25,427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570"/>
        </w:trPr>
        <w:tc>
          <w:tcPr>
            <w:tcW w:w="7320" w:type="dxa"/>
            <w:vAlign w:val="bottom"/>
          </w:tcPr>
          <w:p>
            <w:pPr>
              <w:ind w:left="5560"/>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7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Finance</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3,490</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3,038</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106,097</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Finance charges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principal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additional lease liabilities of $0.8 million which have not yet commenced as of December 31, 2023, and as such, have not been recognized on the consolidated balance sheets.</w:t>
      </w:r>
    </w:p>
    <w:p>
      <w:pPr>
        <w:spacing w:after="0" w:line="158"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authorized capital stock consists of 25 million shares of preferred stock, par value $0.001 per share, 500 million shares of Class A common stock, par value $0.001 per share, and 100 million shares of Class B common stock, par value $0.001 per share. As of December 31, 2023 and 2022, there were no preferred or Class B common shares outstanding. Each share of Class A common stock entitles the holder to one vote on matters submitted to a vote of the Company’s stockholders. Stock dividends of Class A common stock may be paid only to holders of Class A common stock. Class A common stock has no conversion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Weighted-average common shares outstanding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weighted-average common shares outstanding for purposes of computing basic and diluted net income per share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awards and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50,525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51,427</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other stock options totaling 1.8 million, 0.1 million and 0.1 million, respectively, were excluded from the calculation of diluted earnings per share because they were anti-dilutive.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Quarterly cash dividends for the years ended December 31, 2023 and 2022 totaled $77.6 million and $77.0 million or $0.39 per share in all quarters of 2023 and $0.385 for all quarters of 2022. In February 2024, the board of directors has declared a quarterly cash dividend of $0.06 per share of Class A common stock to be paid on March 6, 2024 to stockholders of record on February 26,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Repurchases of common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2018, the Company’s board of directors approved a stock repurchase plan with an authorization amount of $500 million. The repurchases are used primarily for strategic initiatives and to offset dilution from the Company’s equity incentive plans. During the years ended December 31, 2023, 2022 and 2021, the Company purchased 0.6 million, 1.7 million and 1.6 million shares under the 2018 plan for $13.0 million, $70.0 million and $80.4 million, respectively. At December 31, 2023, $162.4 million was available for repurchases under the 2018 stock repurchase plan.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Company had the following stock-based employee compensation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2010, the Company’s board of directors approved the Nu Skin Enterprises, Inc. 2010 Omnibus Incentive Plan (the “2010 Omnibus Incentive Plan”). This plan was approved by the Company’s stockholders at the Company’s 2010 Annual Meeting of Stockholders held in May 2010. The 2010 Omnibus Incentive Plan provides for granting of a variety of equity-based awards including stock options, stock appreciation rights, restricted stock, restricted stock units, other share-based awards, performance cash, performance shares and performance units to executives, other employees, independent consultants and directors of the Company and its subsidiaries. Options granted under the 2010 Omnibus Incentive Plan are generally non-qualified stock options, but the 2010 Omnibus Incentive Plan permits some stock options granted to qualify as “incentive stock options” under the U.S. Internal Revenue Code. The exercise price of a stock option generally is equal to the fair market value of the Company’s common stock on the stock option grant date. The contractual term of a stock option granted under the 2010 Omnibus Incentive Plan is seven years. Currently, all shares issued upon the exercise of stock options are from the Company’s treasury shares. Subject to certain adjustments, 7.0 million shares were authorized for issuance under the 2010 Omnibus Incentive Plan. On June 3, 2013, the Company’s stockholders approved an Amended and Restated 2010 Omnibus Incentive Plan, which among other things increased the number of shares available for awards by 3.2 million shares. On May 24, 2016, the Company’s stockholders approved a Second Amended and Restated 2010 Omnibus Incentive Plan, which among other things increased the number of shares available for awards by 3.8 million shares. On June 3, 2020, the Company’s stockholders approved a Third Amended and Restated 2010 Omnibus Incentive Plan, which among other things increased the number of shares available for awards by 5.9 million shares.</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stock option awards was estimated using the Black-Scholes option-pricing model with the following assumptions and weighted-average fair values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 of grants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16.10</w:t>
            </w:r>
          </w:p>
        </w:tc>
      </w:tr>
      <w:tr>
        <w:trPr>
          <w:trHeight w:val="256"/>
        </w:trPr>
        <w:tc>
          <w:tcPr>
            <w:tcW w:w="9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Risk-free interest rate</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7"/>
        </w:trPr>
        <w:tc>
          <w:tcPr>
            <w:tcW w:w="9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Dividend yield</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7"/>
        </w:trPr>
        <w:tc>
          <w:tcPr>
            <w:tcW w:w="9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Expected volatility</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57"/>
        </w:trPr>
        <w:tc>
          <w:tcPr>
            <w:tcW w:w="9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Expected life in months</w:t>
            </w:r>
            <w:r>
              <w:rPr>
                <w:rFonts w:ascii="Times New Roman" w:cs="Times New Roman" w:eastAsia="Times New Roman" w:hAnsi="Times New Roman"/>
                <w:sz w:val="29"/>
                <w:szCs w:val="29"/>
                <w:color w:val="auto"/>
                <w:vertAlign w:val="superscript"/>
              </w:rPr>
              <w:t>(4)</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 months</w:t>
            </w:r>
          </w:p>
        </w:tc>
      </w:tr>
    </w:tbl>
    <w:p>
      <w:pPr>
        <w:spacing w:after="0" w:line="198" w:lineRule="exact"/>
        <w:rPr>
          <w:sz w:val="20"/>
          <w:szCs w:val="20"/>
          <w:color w:val="auto"/>
        </w:rPr>
      </w:pPr>
    </w:p>
    <w:p>
      <w:pPr>
        <w:ind w:left="340" w:hanging="332"/>
        <w:spacing w:after="0" w:line="261"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upon the rate on a zero-coupon U.S. Treasury bill, for periods within the contractual life of the option, in effect at the time of the grant.</w:t>
      </w: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yield is based on the average of historical stock prices and actual dividends paid.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based on the historical volatility of the Company’s stock price, over a period similar to the expected life of the option.</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the option is based on the historical employee exercise behavior, the vesting terms of the respective option, and a contractual life of either seven or ten years.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Options under the plans as of December 31, 2023 and changes during the year ended December 31, 2023 were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 xml:space="preserve">Term </w:t>
            </w:r>
            <w:r>
              <w:rPr>
                <w:rFonts w:ascii="Times New Roman" w:cs="Times New Roman" w:eastAsia="Times New Roman" w:hAnsi="Times New Roman"/>
                <w:sz w:val="18"/>
                <w:szCs w:val="18"/>
                <w:color w:val="auto"/>
                <w:w w:val="98"/>
              </w:rPr>
              <w:t>(in 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activity – service based</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37.69</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Forfeited/cancelled/expired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40.78</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activity – performance based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Forfeited/cancelled/expired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46.75</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39.67</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activity – all options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40.04</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Forfeited/cancelled/expired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45.63</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39.67</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the last trading day of the respective years and the exercise price, multiplied by the number of in-the-money options) that would have been received by the option holders had all option holders exercised their options on December 31, 2023. This amount varies based on the fair market value of the Company’s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proceeds, tax benefits and intrinsic value related to total stock options exercised during 2023, 2022 and 2021, were as follows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9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stock options exercised</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Tax benefit / (expense) realized for stock options exercised</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8,402</w:t>
            </w:r>
          </w:p>
        </w:tc>
      </w:tr>
      <w:tr>
        <w:trPr>
          <w:trHeight w:val="571"/>
        </w:trPr>
        <w:tc>
          <w:tcPr>
            <w:tcW w:w="4900" w:type="dxa"/>
            <w:vAlign w:val="bottom"/>
          </w:tcPr>
          <w:p>
            <w:pPr>
              <w:spacing w:after="0"/>
              <w:rPr>
                <w:sz w:val="24"/>
                <w:szCs w:val="24"/>
                <w:color w:val="auto"/>
              </w:rPr>
            </w:pPr>
          </w:p>
        </w:tc>
        <w:tc>
          <w:tcPr>
            <w:tcW w:w="2420" w:type="dxa"/>
            <w:vAlign w:val="bottom"/>
          </w:tcPr>
          <w:p>
            <w:pPr>
              <w:jc w:val="right"/>
              <w:ind w:right="1548"/>
              <w:spacing w:after="0"/>
              <w:rPr>
                <w:sz w:val="20"/>
                <w:szCs w:val="20"/>
                <w:color w:val="auto"/>
              </w:rPr>
            </w:pPr>
            <w:r>
              <w:rPr>
                <w:rFonts w:ascii="Times New Roman" w:cs="Times New Roman" w:eastAsia="Times New Roman" w:hAnsi="Times New Roman"/>
                <w:sz w:val="14"/>
                <w:szCs w:val="14"/>
                <w:color w:val="auto"/>
              </w:rPr>
              <w:t>81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9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Nonvested restricted stock awards as of December 31, 2023 and changes during the year ended December 31, 2023 were as follows: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46.56</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performance share units as of December 31, 2023 and changes during the year ended December 31,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43.70</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40.09</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Stock-based compensation expense is recognized on a straight-line basis, except for performance-based awards for which expense is recognized using a graded-attribution method if the results are materially different than the straight-line method. The Company recognized no expense related to service condition stock options in 2023, 2022 and 2021; and recognized $14.4 million, $14.3 million and $15.4 million of expense related to service condition restricted stock units in 2023, 2022 and 2021, respectively. For performance stock options and performance stock units, an expense is recorded each period for the estimated expense associated with the projected achievement of the performance-based targets. The Company recognized none, $2.0 million of income and $7.8 million of expense related to performance stock options in 2023, 2022 and 2021, respectively; and $1.2 million expense, none and none related to performance stock units in 2023, 2022 and 2021, respectively. The amount in 2022 reflects the reversal of stock compensation for awards no longer expected to vest.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no unrecognized stock-based compensation expense related to nonvested stock option awards. As of December 31, 2023, there was $26.8 million of unrecognized stock-based compensation expense related to nonvested restricted stock awards. That cost is expected to be recognized over a weighted-average period of 2.5 years.</w:t>
      </w:r>
    </w:p>
    <w:p>
      <w:pPr>
        <w:spacing w:after="0" w:line="172" w:lineRule="exact"/>
        <w:rPr>
          <w:sz w:val="20"/>
          <w:szCs w:val="20"/>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and Equity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 of financial instruments including cash and cash equivalents, accounts receivable and accounts payable approximate fair values due to the short-term nature of these instruments. Fair value estimates are made at a specific point in time, based on relevant market information.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(liabilities):</w:t>
            </w:r>
          </w:p>
        </w:tc>
        <w:tc>
          <w:tcPr>
            <w:tcW w:w="1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6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42,916</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42,916</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asset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12,689</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45,041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45,041</w:t>
            </w: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(6,300)</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(6,300)</w:t>
            </w:r>
          </w:p>
        </w:tc>
      </w:tr>
      <w:tr>
        <w:trPr>
          <w:trHeight w:val="257"/>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42,916</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55,356</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asset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19,738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19,738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40,055</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(6,364)</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(6,364)</w:t>
            </w:r>
          </w:p>
        </w:tc>
      </w:tr>
      <w:tr>
        <w:trPr>
          <w:trHeight w:val="257"/>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determine the fair value of each class of assets and liabilities recorded at fair value in the consolidated balance sheets: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equivalents and current investments: </w:t>
      </w:r>
      <w:r>
        <w:rPr>
          <w:rFonts w:ascii="Times New Roman" w:cs="Times New Roman" w:eastAsia="Times New Roman" w:hAnsi="Times New Roman"/>
          <w:sz w:val="18"/>
          <w:szCs w:val="18"/>
          <w:color w:val="auto"/>
        </w:rPr>
        <w:t>Cash equivalents and current investments primarily consist of highly rated money market funds with maturities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three months or less, and are purchased daily at par value with specified yield rates. Due to the high ratings and short-term nature of the funds, the Company considers all cash equivalents and current investments as Level 1. Current investments include $4.0 million and $4.9 million as of December 31, 2023 and 2022, respectively, that is restricted for the Company’s voluntary participation in a consumer protection cooperative in South Korea, along with investments in corporate securities.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Life insurance contracts: </w:t>
      </w:r>
      <w:r>
        <w:rPr>
          <w:rFonts w:ascii="Times New Roman" w:cs="Times New Roman" w:eastAsia="Times New Roman" w:hAnsi="Times New Roman"/>
          <w:sz w:val="18"/>
          <w:szCs w:val="18"/>
          <w:color w:val="auto"/>
        </w:rPr>
        <w:t>ASC 820 preserves practicability exceptions to fair value measurements provided by other applicable provisions of U.S.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 as disclosed in Note 13, “Deferred Compensation Plan.”</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asset and liability: </w:t>
      </w:r>
      <w:r>
        <w:rPr>
          <w:rFonts w:ascii="Times New Roman" w:cs="Times New Roman" w:eastAsia="Times New Roman" w:hAnsi="Times New Roman"/>
          <w:sz w:val="18"/>
          <w:szCs w:val="18"/>
          <w:color w:val="auto"/>
        </w:rPr>
        <w:t>Derivative financial instruments are measured at fair value based on observable market information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valuation methods. See Note 14, “Derivative Financial Instruments” for more information on derivative financial instruments.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Contingent consideration represents the obligations incurred in connection with acquisitions. The estimate of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life insurance contracts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jc w:val="center"/>
              <w:ind w:right="1570"/>
              <w:spacing w:after="0"/>
              <w:rPr>
                <w:sz w:val="20"/>
                <w:szCs w:val="20"/>
                <w:color w:val="auto"/>
              </w:rPr>
            </w:pPr>
            <w:r>
              <w:rPr>
                <w:rFonts w:ascii="Times New Roman" w:cs="Times New Roman" w:eastAsia="Times New Roman" w:hAnsi="Times New Roman"/>
                <w:sz w:val="18"/>
                <w:szCs w:val="18"/>
                <w:color w:val="auto"/>
                <w:w w:val="99"/>
              </w:rPr>
              <w:t>Beginning balance at January 1</w:t>
            </w:r>
          </w:p>
        </w:tc>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jc w:val="center"/>
              <w:ind w:right="1550"/>
              <w:spacing w:after="0"/>
              <w:rPr>
                <w:sz w:val="20"/>
                <w:szCs w:val="20"/>
                <w:color w:val="auto"/>
              </w:rPr>
            </w:pPr>
            <w:r>
              <w:rPr>
                <w:rFonts w:ascii="Times New Roman" w:cs="Times New Roman" w:eastAsia="Times New Roman" w:hAnsi="Times New Roman"/>
                <w:sz w:val="18"/>
                <w:szCs w:val="18"/>
                <w:color w:val="auto"/>
                <w:w w:val="99"/>
              </w:rPr>
              <w:t>Actual return on plan assets</w:t>
            </w: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settlements</w:t>
            </w:r>
          </w:p>
        </w:tc>
        <w:tc>
          <w:tcPr>
            <w:tcW w:w="4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rPr>
              <w:t>Ending balance at December 31</w:t>
            </w:r>
          </w:p>
        </w:tc>
        <w:tc>
          <w:tcPr>
            <w:tcW w:w="50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45,041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40,055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760" w:type="dxa"/>
            <w:vAlign w:val="bottom"/>
            <w:vMerge w:val="restart"/>
          </w:tcPr>
          <w:p>
            <w:pPr>
              <w:jc w:val="right"/>
              <w:ind w:right="2899"/>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92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92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contingent consideration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3,977</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December 31</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$28.1 million as of December 31, 2023 and 2022. During the year ended December 31, 2021, the Company recognized $18.1 million of upward fair value adjustments, based on the third quarter of 2021 valuation of additional equity issued by the investee which was deemed to be an observable transaction of a similar investment under ASC 321. The gain was recorded within Other expense, net on the consolidated statement of income. The upward fair value adjustment represents a nonrecurring fair value measurement based on observable price changes and is classified as a level 2 fair value measurement.</w:t>
      </w:r>
    </w:p>
    <w:p>
      <w:pPr>
        <w:spacing w:after="0" w:line="185" w:lineRule="exact"/>
        <w:rPr>
          <w:sz w:val="20"/>
          <w:szCs w:val="20"/>
          <w:color w:val="auto"/>
        </w:rPr>
      </w:pPr>
    </w:p>
    <w:p>
      <w:pPr>
        <w:ind w:left="500" w:hanging="492"/>
        <w:spacing w:after="0"/>
        <w:tabs>
          <w:tab w:leader="none" w:pos="5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Consolidated income before provision for income taxes consists of the following for the years ended December 31, 2023, 2022 and 2021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24,411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45,371</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64,559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187,088</w:t>
            </w:r>
          </w:p>
        </w:tc>
      </w:tr>
      <w:tr>
        <w:trPr>
          <w:trHeight w:val="257"/>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88,970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current and deferred taxes for the years ended December 31, 2023, 2022 and 2021 consists of the following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77,393</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78,851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3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(18,039)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(65,733)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shd w:val="clear" w:color="auto" w:fill="CCEEFF"/>
          </w:tcPr>
          <w:p>
            <w:pPr>
              <w:spacing w:after="0"/>
              <w:rPr>
                <w:sz w:val="19"/>
                <w:szCs w:val="19"/>
                <w:color w:val="auto"/>
              </w:rPr>
            </w:pPr>
          </w:p>
        </w:tc>
        <w:tc>
          <w:tcPr>
            <w:tcW w:w="35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85,193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580" w:type="dxa"/>
            <w:vAlign w:val="bottom"/>
            <w:vMerge w:val="restart"/>
          </w:tcPr>
          <w:p>
            <w:pPr>
              <w:jc w:val="right"/>
              <w:ind w:right="1536"/>
              <w:spacing w:after="0"/>
              <w:rPr>
                <w:sz w:val="20"/>
                <w:szCs w:val="20"/>
                <w:color w:val="auto"/>
              </w:rPr>
            </w:pPr>
            <w:r>
              <w:rPr>
                <w:rFonts w:ascii="Times New Roman" w:cs="Times New Roman" w:eastAsia="Times New Roman" w:hAnsi="Times New Roman"/>
                <w:sz w:val="14"/>
                <w:szCs w:val="14"/>
                <w:color w:val="auto"/>
              </w:rPr>
              <w:t>84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7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74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principal components of deferred taxes are as follows (U.S. dollars in thousands):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10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differences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41,127</w:t>
            </w:r>
          </w:p>
        </w:tc>
      </w:tr>
      <w:tr>
        <w:trPr>
          <w:trHeight w:val="216"/>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tax credit and other foreign benefits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51,273</w:t>
            </w:r>
          </w:p>
        </w:tc>
      </w:tr>
      <w:tr>
        <w:trPr>
          <w:trHeight w:val="216"/>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5,981</w:t>
            </w:r>
          </w:p>
        </w:tc>
      </w:tr>
      <w:tr>
        <w:trPr>
          <w:trHeight w:val="216"/>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not deductible until paid</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37,181</w:t>
            </w:r>
          </w:p>
        </w:tc>
      </w:tr>
      <w:tr>
        <w:trPr>
          <w:trHeight w:val="216"/>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12,773</w:t>
            </w:r>
          </w:p>
        </w:tc>
      </w:tr>
      <w:tr>
        <w:trPr>
          <w:trHeight w:val="216"/>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26,406</w:t>
            </w:r>
          </w:p>
        </w:tc>
      </w:tr>
      <w:tr>
        <w:trPr>
          <w:trHeight w:val="216"/>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R&amp;D credit carryforward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1,795</w:t>
            </w:r>
          </w:p>
        </w:tc>
      </w:tr>
      <w:tr>
        <w:trPr>
          <w:trHeight w:val="223"/>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86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205,530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3,225</w:t>
            </w:r>
          </w:p>
        </w:tc>
      </w:tr>
      <w:tr>
        <w:trPr>
          <w:trHeight w:val="216"/>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15,375</w:t>
            </w:r>
          </w:p>
        </w:tc>
      </w:tr>
      <w:tr>
        <w:trPr>
          <w:trHeight w:val="216"/>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 step-up</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4,446</w:t>
            </w:r>
          </w:p>
        </w:tc>
      </w:tr>
      <w:tr>
        <w:trPr>
          <w:trHeight w:val="216"/>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Overhead allocation to inventory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3,504</w:t>
            </w:r>
          </w:p>
        </w:tc>
      </w:tr>
      <w:tr>
        <w:trPr>
          <w:trHeight w:val="216"/>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21,211</w:t>
            </w:r>
          </w:p>
        </w:tc>
      </w:tr>
      <w:tr>
        <w:trPr>
          <w:trHeight w:val="223"/>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6,129</w:t>
            </w:r>
          </w:p>
        </w:tc>
      </w:tr>
      <w:tr>
        <w:trPr>
          <w:trHeight w:val="223"/>
        </w:trPr>
        <w:tc>
          <w:tcPr>
            <w:tcW w:w="86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(47,142)</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(33,557)</w:t>
            </w:r>
          </w:p>
        </w:tc>
      </w:tr>
      <w:tr>
        <w:trPr>
          <w:trHeight w:val="256"/>
        </w:trPr>
        <w:tc>
          <w:tcPr>
            <w:tcW w:w="8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net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105,007</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the Company had foreign operating loss carryforwards of $46.7 million for tax purposes, which will be available to offset future taxable income. If not used, $34.9 million of carryforwards will expire between 2024 and 2033, while $11.8 million do not expire. Tax effected, the foreign operating losses are $19.7 million. A valuation allowance has been placed on foreign operating loss carryforwards of $19.7 million. In addition, a valuation allowance of $25.1 million has been recorded on a portion of the foreign tax credit carryforwards which will expire between 2028 and 2031, and all of the R&amp;D credit carryforward of $2.3 million which will expire between 2036 and 2042.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the tax law ordering approach when determining when excess tax benefits have been realized.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Valuation allowances have been recognized for a portion of the foreign tax credit, the foreign net operating loss carryforwards, and the R&amp;D credit carryforward. During 2023, the Company incurred restructuring charges that primarily affected their U.S. earnings. These additional expenses in the U.S. reduced the Company’s ability to utilize foreign tax credits. As a result, the Company recorded an additional $6.1 million valuation allowance against the Company’s foreign tax credits. The remaining valuation allowances were recognized for assets which it is more likely than not some portion or all of the deferred tax asset will not be realized. In making such determination, the Company considers all available positive and negative evidence, including future reversals of existing taxable temporary difference, projected future taxable income, tax planning strategies and recent financial operations. When the Company determines that there is sufficient positive evidence to utilize the remaining foreign tax credits, the foreign net operating losses, or the R&amp;D credit carryforward, the valuation allowance will be released which would reduce the provision for income taxes.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tax asset valuation adjustments for the years ended December 31, 2023, 2022 and 2021 are as follows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8"/>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cost and expenses</w:t>
            </w:r>
          </w:p>
        </w:tc>
        <w:tc>
          <w:tcPr>
            <w:tcW w:w="240" w:type="dxa"/>
            <w:vAlign w:val="bottom"/>
          </w:tcPr>
          <w:p>
            <w:pPr>
              <w:spacing w:after="0"/>
              <w:rPr>
                <w:sz w:val="22"/>
                <w:szCs w:val="22"/>
                <w:color w:val="auto"/>
              </w:rPr>
            </w:pPr>
          </w:p>
        </w:tc>
        <w:tc>
          <w:tcPr>
            <w:tcW w:w="1220" w:type="dxa"/>
            <w:vAlign w:val="bottom"/>
            <w:gridSpan w:val="3"/>
          </w:tcPr>
          <w:p>
            <w:pPr>
              <w:jc w:val="right"/>
              <w:ind w:right="105"/>
              <w:spacing w:after="0" w:line="256" w:lineRule="exact"/>
              <w:rPr>
                <w:sz w:val="20"/>
                <w:szCs w:val="20"/>
                <w:color w:val="auto"/>
              </w:rPr>
            </w:pPr>
            <w:r>
              <w:rPr>
                <w:rFonts w:ascii="Times New Roman" w:cs="Times New Roman" w:eastAsia="Times New Roman" w:hAnsi="Times New Roman"/>
                <w:sz w:val="18"/>
                <w:szCs w:val="18"/>
                <w:color w:val="auto"/>
              </w:rPr>
              <w:t>13,183</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2"/>
                <w:szCs w:val="22"/>
                <w:color w:val="auto"/>
              </w:rPr>
            </w:pPr>
          </w:p>
        </w:tc>
        <w:tc>
          <w:tcPr>
            <w:tcW w:w="1220" w:type="dxa"/>
            <w:vAlign w:val="bottom"/>
            <w:gridSpan w:val="3"/>
          </w:tcPr>
          <w:p>
            <w:pPr>
              <w:jc w:val="right"/>
              <w:ind w:right="105"/>
              <w:spacing w:after="0" w:line="256" w:lineRule="exact"/>
              <w:rPr>
                <w:sz w:val="20"/>
                <w:szCs w:val="20"/>
                <w:color w:val="auto"/>
              </w:rPr>
            </w:pPr>
            <w:r>
              <w:rPr>
                <w:rFonts w:ascii="Times New Roman" w:cs="Times New Roman" w:eastAsia="Times New Roman" w:hAnsi="Times New Roman"/>
                <w:sz w:val="18"/>
                <w:szCs w:val="18"/>
                <w:color w:val="auto"/>
              </w:rPr>
              <w:t>3,231</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2"/>
                <w:szCs w:val="22"/>
                <w:color w:val="auto"/>
              </w:rPr>
            </w:pPr>
          </w:p>
        </w:tc>
        <w:tc>
          <w:tcPr>
            <w:tcW w:w="1080" w:type="dxa"/>
            <w:vAlign w:val="bottom"/>
            <w:gridSpan w:val="2"/>
          </w:tcPr>
          <w:p>
            <w:pPr>
              <w:jc w:val="right"/>
              <w:ind w:right="60"/>
              <w:spacing w:after="0" w:line="256" w:lineRule="exact"/>
              <w:rPr>
                <w:sz w:val="20"/>
                <w:szCs w:val="20"/>
                <w:color w:val="auto"/>
              </w:rPr>
            </w:pPr>
            <w:r>
              <w:rPr>
                <w:rFonts w:ascii="Times New Roman" w:cs="Times New Roman" w:eastAsia="Times New Roman" w:hAnsi="Times New Roman"/>
                <w:sz w:val="18"/>
                <w:szCs w:val="18"/>
                <w:color w:val="auto"/>
              </w:rPr>
              <w:t>12,674</w:t>
            </w:r>
            <w:r>
              <w:rPr>
                <w:rFonts w:ascii="Times New Roman" w:cs="Times New Roman" w:eastAsia="Times New Roman" w:hAnsi="Times New Roman"/>
                <w:sz w:val="29"/>
                <w:szCs w:val="29"/>
                <w:color w:val="auto"/>
                <w:vertAlign w:val="superscript"/>
              </w:rPr>
              <w:t>(6)</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Decreases</w:t>
            </w:r>
          </w:p>
        </w:tc>
        <w:tc>
          <w:tcPr>
            <w:tcW w:w="2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3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91"/>
              </w:rPr>
              <w:t>(2)</w:t>
            </w:r>
          </w:p>
        </w:tc>
        <w:tc>
          <w:tcPr>
            <w:tcW w:w="2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(50,315)</w:t>
            </w:r>
          </w:p>
        </w:tc>
        <w:tc>
          <w:tcPr>
            <w:tcW w:w="3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91"/>
              </w:rPr>
              <w:t>(5)</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68"/>
        </w:trPr>
        <w:tc>
          <w:tcPr>
            <w:tcW w:w="70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80" w:type="dxa"/>
            <w:vAlign w:val="bottom"/>
            <w:gridSpan w:val="2"/>
            <w:shd w:val="clear" w:color="auto" w:fill="CCEEFF"/>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6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22"/>
                <w:szCs w:val="22"/>
                <w:color w:val="auto"/>
              </w:rPr>
            </w:pPr>
          </w:p>
        </w:tc>
        <w:tc>
          <w:tcPr>
            <w:tcW w:w="1220" w:type="dxa"/>
            <w:vAlign w:val="bottom"/>
            <w:gridSpan w:val="3"/>
          </w:tcPr>
          <w:p>
            <w:pPr>
              <w:jc w:val="right"/>
              <w:ind w:right="105"/>
              <w:spacing w:after="0" w:line="256" w:lineRule="exact"/>
              <w:rPr>
                <w:sz w:val="20"/>
                <w:szCs w:val="20"/>
                <w:color w:val="auto"/>
              </w:rPr>
            </w:pPr>
            <w:r>
              <w:rPr>
                <w:rFonts w:ascii="Times New Roman" w:cs="Times New Roman" w:eastAsia="Times New Roman" w:hAnsi="Times New Roman"/>
                <w:sz w:val="18"/>
                <w:szCs w:val="18"/>
                <w:color w:val="auto"/>
              </w:rPr>
              <w:t>2,227</w:t>
            </w:r>
            <w:r>
              <w:rPr>
                <w:rFonts w:ascii="Times New Roman" w:cs="Times New Roman" w:eastAsia="Times New Roman" w:hAnsi="Times New Roman"/>
                <w:sz w:val="29"/>
                <w:szCs w:val="29"/>
                <w:color w:val="auto"/>
                <w:vertAlign w:val="superscript"/>
              </w:rPr>
              <w:t>(3)</w:t>
            </w:r>
          </w:p>
        </w:tc>
        <w:tc>
          <w:tcPr>
            <w:tcW w:w="220" w:type="dxa"/>
            <w:vAlign w:val="bottom"/>
          </w:tcPr>
          <w:p>
            <w:pPr>
              <w:spacing w:after="0"/>
              <w:rPr>
                <w:sz w:val="22"/>
                <w:szCs w:val="22"/>
                <w:color w:val="auto"/>
              </w:rPr>
            </w:pPr>
          </w:p>
        </w:tc>
        <w:tc>
          <w:tcPr>
            <w:tcW w:w="1220" w:type="dxa"/>
            <w:vAlign w:val="bottom"/>
            <w:gridSpan w:val="3"/>
          </w:tcPr>
          <w:p>
            <w:pPr>
              <w:jc w:val="right"/>
              <w:ind w:right="105"/>
              <w:spacing w:after="0" w:line="256" w:lineRule="exact"/>
              <w:rPr>
                <w:sz w:val="20"/>
                <w:szCs w:val="20"/>
                <w:color w:val="auto"/>
              </w:rPr>
            </w:pPr>
            <w:r>
              <w:rPr>
                <w:rFonts w:ascii="Times New Roman" w:cs="Times New Roman" w:eastAsia="Times New Roman" w:hAnsi="Times New Roman"/>
                <w:sz w:val="18"/>
                <w:szCs w:val="18"/>
                <w:color w:val="auto"/>
              </w:rPr>
              <w:t>455</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1080" w:type="dxa"/>
            <w:vAlign w:val="bottom"/>
            <w:gridSpan w:val="2"/>
          </w:tcPr>
          <w:p>
            <w:pPr>
              <w:jc w:val="right"/>
              <w:ind w:right="60"/>
              <w:spacing w:after="0" w:line="256" w:lineRule="exact"/>
              <w:rPr>
                <w:sz w:val="20"/>
                <w:szCs w:val="20"/>
                <w:color w:val="auto"/>
              </w:rPr>
            </w:pPr>
            <w:r>
              <w:rPr>
                <w:rFonts w:ascii="Times New Roman" w:cs="Times New Roman" w:eastAsia="Times New Roman" w:hAnsi="Times New Roman"/>
                <w:sz w:val="18"/>
                <w:szCs w:val="18"/>
                <w:color w:val="auto"/>
              </w:rPr>
              <w:t>172</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57"/>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47,142</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80,186</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valuation is due primarily to net operating losses in foreign markets and the $6.1 million that was recorded on the foreign tax credit carryforward.</w:t>
      </w: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was due to expiration of foreign net operating losses.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currency effects of translating valuation allowances at current rates of exchange.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valuation is primarily due to net operating losses in foreign markets.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was due to utilization of $18.1 million of foreign tax credits and the valuation allowance release of $32.2 million foreign tax credits.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valuation is primarily due to $11.9 million that was recorded on the foreign tax credit carryforward due to the disposal of the Company’s Grow Tech segment. The additional amount is due to net operating losses in foreign markets.</w:t>
      </w: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decreases in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deferred taxes, net on a jurisdiction basis are as follows (U.S. dollars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noncurrent deferred tax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regular audits by federal, state and foreign tax authorities. These audits may result in proposed assessments that may result in additional tax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tax rate for the years ended December 31, 2023, 2022 and 2021 compared to the statutory U.S. Federal tax rate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080" w:type="dxa"/>
            <w:vAlign w:val="bottom"/>
            <w:tcBorders>
              <w:bottom w:val="single" w:sz="8" w:color="auto"/>
            </w:tcBorders>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49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statutory rate</w:t>
            </w:r>
          </w:p>
        </w:tc>
        <w:tc>
          <w:tcPr>
            <w:tcW w:w="2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 from equity award</w:t>
            </w:r>
          </w:p>
        </w:tc>
        <w:tc>
          <w:tcPr>
            <w:tcW w:w="3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5.04%</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3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Executive salary limitation</w:t>
            </w:r>
          </w:p>
        </w:tc>
        <w:tc>
          <w:tcPr>
            <w:tcW w:w="3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w:t>
            </w:r>
          </w:p>
        </w:tc>
        <w:tc>
          <w:tcPr>
            <w:tcW w:w="3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7.34%</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3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0.68%</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income taxed at different rates</w:t>
            </w:r>
          </w:p>
        </w:tc>
        <w:tc>
          <w:tcPr>
            <w:tcW w:w="3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12.70%</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Foreign withholding taxes</w:t>
            </w:r>
          </w:p>
        </w:tc>
        <w:tc>
          <w:tcPr>
            <w:tcW w:w="3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13.31%</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(0.73)%</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reserve for uncertain tax positions</w:t>
            </w:r>
          </w:p>
        </w:tc>
        <w:tc>
          <w:tcPr>
            <w:tcW w:w="3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recognized foreign tax credit &amp; others</w:t>
            </w:r>
          </w:p>
        </w:tc>
        <w:tc>
          <w:tcPr>
            <w:tcW w:w="3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24.66%</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(56.17)%</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Foreign-Derived Intangible Income (FDII)</w:t>
            </w:r>
          </w:p>
        </w:tc>
        <w:tc>
          <w:tcPr>
            <w:tcW w:w="3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(14.11)%</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0.58%</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0.44%</w:t>
            </w:r>
          </w:p>
        </w:tc>
      </w:tr>
      <w:tr>
        <w:trPr>
          <w:trHeight w:val="27"/>
        </w:trPr>
        <w:tc>
          <w:tcPr>
            <w:tcW w:w="49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490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67.66%</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(17.77)%</w:t>
            </w: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36.65%</w:t>
            </w:r>
          </w:p>
        </w:tc>
      </w:tr>
      <w:tr>
        <w:trPr>
          <w:trHeight w:val="564"/>
        </w:trPr>
        <w:tc>
          <w:tcPr>
            <w:tcW w:w="490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jc w:val="right"/>
              <w:ind w:right="1312"/>
              <w:spacing w:after="0"/>
              <w:rPr>
                <w:sz w:val="20"/>
                <w:szCs w:val="20"/>
                <w:color w:val="auto"/>
              </w:rPr>
            </w:pPr>
            <w:r>
              <w:rPr>
                <w:rFonts w:ascii="Times New Roman" w:cs="Times New Roman" w:eastAsia="Times New Roman" w:hAnsi="Times New Roman"/>
                <w:sz w:val="14"/>
                <w:szCs w:val="14"/>
                <w:color w:val="auto"/>
              </w:rPr>
              <w:t>86</w:t>
            </w:r>
          </w:p>
        </w:tc>
        <w:tc>
          <w:tcPr>
            <w:tcW w:w="108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44"/>
        </w:trPr>
        <w:tc>
          <w:tcPr>
            <w:tcW w:w="490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the Company’s effective tax rate for 2023 was primarily due to the Company incurring restructuring charges that primarily affected their U.S. earnings. These additional expenses in the U.S. reduced the Company’s ability to utilize foreign tax credits. The decrease in the effective tax rate for 2022 was primarily due to the Company making an election to change its capitalization policy for tax purposes related to certain direct and indirect costs for inventory and self-constructed assets under Internal Revenue Code (“IRC”) Section 263A. This method change allows the Company to utilize a portion of its tax attributes related to foreign tax credits in the United States that were previously fully reserved.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cumulative amount of undistributed earnings of the Company’s non-U.S. Subsidiaries held for indefinite reinvestment is approximately $60.0 million, at December 31, 2023. If this amount were repatriated to the United States, the amount of incremental taxes would be approximately $6.0 million.</w:t>
      </w:r>
    </w:p>
    <w:p>
      <w:pPr>
        <w:spacing w:after="0" w:line="158" w:lineRule="exact"/>
        <w:rPr>
          <w:sz w:val="20"/>
          <w:szCs w:val="20"/>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401(k) defined-contribution plan which permits participating employees to defer up to a maximum of 100% of their compensation, subject to limitations established by the IRS. Employees age 18 and older are eligible to contribute to the plan starting the first day of employment. After completing at least one day of service, employees are eligible to receive matching contributions from the Company. In 2023, 2022, and 2021 the Company provided matching contributions of up to 4% of employees’ compensation each year. The Company’s matching contributions cliff vest after two years of service. The Company recorded compensation expense of $3.6 million, $3.8 million and $4.8 million for the years ended December 31, 2023, 2022 and 2021, respectively, related to its contributions to the plan. The Company may make additional discretionary contributions to the plan of up to 10% of employees’ base pay. The Company’s discretionary contributions vest 20% per year for an employee’s first five years of service. For the years ended December 31, 2023, 2022 and 2021, the Company did not make any additional discretionary contributions.</w:t>
      </w:r>
    </w:p>
    <w:p>
      <w:pPr>
        <w:spacing w:after="0" w:line="188" w:lineRule="exact"/>
        <w:rPr>
          <w:sz w:val="20"/>
          <w:szCs w:val="20"/>
          <w:color w:val="auto"/>
        </w:rPr>
      </w:pPr>
    </w:p>
    <w:p>
      <w:pPr>
        <w:ind w:left="500" w:hanging="492"/>
        <w:spacing w:after="0"/>
        <w:tabs>
          <w:tab w:leader="none" w:pos="5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Compensation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deferred compensation plan for select management personnel, highly compensated employees, and members of the Company’s board of directors. Under this plan, the Company may make discretionary contributions to participants’ deferred compensation accounts; prior to 2021, the Company historically contributed 10% of base salary for participants above a specified job level. In addition, each participant has the option to defer a portion of their compensation up to a maximum of 80% of their base salary and 100% of their bonuses or director fees. Participant contributions are immediately vested. Company contributions made on or prior to December 31, 2020 will vest 50% after ten years of service and 5% each year of service thereafter. In addition, any unvested company contributions will fully vest on the earlier of: (a) the participant attaining 60 years of age; and (b) death or disability.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January 1, 2021, the Company amended its deferred compensation plan. Under the revision, the Company shall make matching contributions up to 5% of base salary for participants above a specified job level. The revision continues to authorize the Company to make discretionary contributions to participants’ deferred compensation accounts. In view of the opportunity to receive a 5% match, the Company reduced its discretionary contributions to 5% of base salary each year, though the Company is not obligated to make these contributions. Under the amendment, the amounts contributed by the Company, adjusted for earnings and losses thereon, will vest 20% per year over five years, subject to acceleration upon the occurrence of certain events, including the completion of at least ten years of employment above a specified job level. All amounts a participant elects to defer, adjusted for earnings and losses thereon, are 100% vested at all times.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compensation expense of $2.8 million, $2.3 million and $4.0 million for the years ended December 31, 2023, 2022 and 2021, respectively, related to its contributions to the plan. The total long-term deferred compensation liability under the deferred compensation plan was $49.2 million and $44.4 million for the years ended December 31, 2023 and 2022, respectively, related to its contributions to the plan and is included in other long-term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benefits under the deferred compensation plan are unsecured obligations of the Company. The Company has contributed assets to a “rabbi trust” for the payment of benefits under the deferred compensation plan. As the assets of the trust are available to satisfy the claims of general creditors if the Company becomes insolvent, the amounts held in the trust are accounted for as an investment on the Company’s consolidated balance sheets of $45.0 million and $40.1 million for the years ended December 31, 2023 and 2022, respectively.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500" w:hanging="492"/>
        <w:spacing w:after="0"/>
        <w:tabs>
          <w:tab w:leader="none" w:pos="5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Objective of Using Derivatives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 of Interest Rate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2023, such derivatives were used to hedge the variable cash flows associated with existing variable-rate debt.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$9.0 million will be reclassified as a reduction to interest expense.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four outstanding interest rate derivatives that were designated as cash flow hedges of interest rate risk with a total notional amount of $200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 of Derivative Instruments on the Balance Sheet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Fair Values of</w:t>
            </w:r>
          </w:p>
        </w:tc>
      </w:tr>
      <w:tr>
        <w:trPr>
          <w:trHeight w:val="245"/>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Derivative Instruments</w:t>
            </w:r>
          </w:p>
        </w:tc>
      </w:tr>
      <w:tr>
        <w:trPr>
          <w:trHeight w:val="223"/>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r>
      <w:tr>
        <w:trPr>
          <w:trHeight w:val="223"/>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120" w:type="dxa"/>
            <w:vAlign w:val="bottom"/>
          </w:tcPr>
          <w:p>
            <w:pPr>
              <w:spacing w:after="0"/>
              <w:rPr>
                <w:sz w:val="19"/>
                <w:szCs w:val="19"/>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Location</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 Asset</w:t>
            </w:r>
          </w:p>
        </w:tc>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3"/>
              </w:rPr>
              <w:t>8,955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00" w:type="dxa"/>
            <w:vAlign w:val="bottom"/>
            <w:shd w:val="clear" w:color="auto" w:fill="CCEEFF"/>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 Asset</w:t>
            </w:r>
          </w:p>
        </w:tc>
        <w:tc>
          <w:tcPr>
            <w:tcW w:w="120" w:type="dxa"/>
            <w:vAlign w:val="bottom"/>
          </w:tcPr>
          <w:p>
            <w:pPr>
              <w:spacing w:after="0"/>
              <w:rPr>
                <w:sz w:val="20"/>
                <w:szCs w:val="20"/>
                <w:color w:val="auto"/>
              </w:rPr>
            </w:pPr>
          </w:p>
        </w:tc>
        <w:tc>
          <w:tcPr>
            <w:tcW w:w="42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3,734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10,582</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Cash Flow Hedge Accounting on Accumulated Other Comprehensive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effect of cash flow hedge accounting on Accumulated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 of Gain</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8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Recognized in OCI on Derivatives</w:t>
            </w:r>
          </w:p>
        </w:tc>
      </w:tr>
      <w:tr>
        <w:trPr>
          <w:trHeight w:val="223"/>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gridSpan w:val="7"/>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top w:val="single" w:sz="8" w:color="auto"/>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shd w:val="clear" w:color="auto" w:fill="CCEEFF"/>
          </w:tcPr>
          <w:p>
            <w:pPr>
              <w:spacing w:after="0"/>
              <w:rPr>
                <w:sz w:val="18"/>
                <w:szCs w:val="18"/>
                <w:color w:val="auto"/>
              </w:rPr>
            </w:pPr>
          </w:p>
        </w:tc>
      </w:tr>
      <w:tr>
        <w:trPr>
          <w:trHeight w:val="410"/>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7"/>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r>
      <w:tr>
        <w:trPr>
          <w:trHeight w:val="245"/>
        </w:trPr>
        <w:tc>
          <w:tcPr>
            <w:tcW w:w="3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8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 Comprehensive Loss into Income</w:t>
            </w:r>
          </w:p>
        </w:tc>
      </w:tr>
      <w:tr>
        <w:trPr>
          <w:trHeight w:val="223"/>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gridSpan w:val="7"/>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3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Derivatives in Cash Flow Hedging</w:t>
            </w:r>
          </w:p>
        </w:tc>
        <w:tc>
          <w:tcPr>
            <w:tcW w:w="1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120" w:type="dxa"/>
            <w:vAlign w:val="bottom"/>
          </w:tcPr>
          <w:p>
            <w:pPr>
              <w:spacing w:after="0"/>
              <w:rPr>
                <w:sz w:val="21"/>
                <w:szCs w:val="21"/>
                <w:color w:val="auto"/>
              </w:rPr>
            </w:pPr>
          </w:p>
        </w:tc>
        <w:tc>
          <w:tcPr>
            <w:tcW w:w="358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Income Statement Location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spacing w:after="0"/>
              <w:rPr>
                <w:sz w:val="18"/>
                <w:szCs w:val="18"/>
                <w:color w:val="auto"/>
              </w:rPr>
            </w:pPr>
          </w:p>
        </w:tc>
        <w:tc>
          <w:tcPr>
            <w:tcW w:w="3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500" w:hanging="492"/>
        <w:spacing w:after="0"/>
        <w:tabs>
          <w:tab w:leader="none" w:pos="5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reports revenue from nine segments, consisting of its seven geographic Nu Skin segments—Americas, Mainland China, Southeast Asia/Pacific, South Korea, Japan, Europe &amp; Africa, and Hong Kong/Taiwan—and two Rhyz segments—Manufacturing and Rhyz other. The Nu Skin other category includes miscellaneous corporate revenue and related adjustments. The Rhyz other segment includes other investments by our Rhyz business arm. These segments reflect the way the chief operating decision maker evaluates the Company’s business performance and allocates resources. Reported revenue includes only the revenue generated by sales to external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quarter of 2023, the Company adjusted how it allocates certain corporate overhead costs to the segments. The prior-year segment information has been recast to comply with current presentation. Consolidated financial information is not affected.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June 2023, the Company closed its Israel market. As a result the Europe, Middle East and Africa (“EMEA”) segment has been renamed Europe &amp; Africa.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“Summary of Significant Accounting Policies.” The Company evaluates the performance of its segments based on revenue and segment contribution. Each segment records direct expenses related to its employees and its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 by Segment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508,537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547,755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360,389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568,774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344,411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336,651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268,707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354,252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224,896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266,216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204,275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283,200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157,197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162,611</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 Skin Other</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1,752,522</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2,072,371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2,523,112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Manufacturing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149,458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172,120</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35,214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1,969,131</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2,225,659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2,695,669</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segment had $56.5 million, $69.2 million and $84.5 million of intersegment revenue for the years ended December 31, 2023, 2022 and 2021, respectively. Intersegment revenue is eliminated in the consolidated financial statements and in the table above.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2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Segment Contribution</w:t>
            </w: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3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97,298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103,067</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72,362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151,645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75,902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72,774</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78,811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110,328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51,620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65,167</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15,959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34,846</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34,065</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 contribution</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424,536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571,892</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18,346</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Rhyz contribution</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(8,243)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16,533</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contribution</w:t>
            </w:r>
          </w:p>
        </w:tc>
        <w:tc>
          <w:tcPr>
            <w:tcW w:w="3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368,043</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421,926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(319,775)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(311,079)</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(354,433)</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48,268</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(21,690)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(21,877)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3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21,492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24,594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13,838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16,206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13,344</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70,923</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72,506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40" w:type="dxa"/>
            <w:vAlign w:val="bottom"/>
            <w:vMerge w:val="restart"/>
          </w:tcPr>
          <w:p>
            <w:pPr>
              <w:jc w:val="right"/>
              <w:ind w:right="1535"/>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24,382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17,061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29,452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14,022</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59,056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68,615</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Major Market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major market is defined as one with total revenue greater than 10% of consolidated total revenue. Based on this criteria, the Company has identified four major markets: Mainland China, South Korea, United States, and Japan. There are approximately 45 other markets, each of which individually is less than 10%. No single customer accounted for 10% or more of net sales for the periods presented. Sales are recorded in the jurisdiction in which the transactions occurred: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3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537,081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298,079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360,389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568,774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236,099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268,707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354,252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207,833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224,896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266,216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others</w:t>
            </w: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834,586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966,174</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1,969,131</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2,225,659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2,695,669</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 by Product Line</w:t>
            </w:r>
          </w:p>
        </w:tc>
        <w:tc>
          <w:tcPr>
            <w:tcW w:w="3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740" w:type="dxa"/>
            <w:vAlign w:val="bottom"/>
            <w:vMerge w:val="continue"/>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3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w:t>
            </w: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Wellness</w:t>
            </w: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886,093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992,338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1,062,549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163,607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190,461</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1,969,131</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2,225,659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2,695,669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580" w:type="dxa"/>
            <w:vAlign w:val="bottom"/>
            <w:vMerge w:val="restart"/>
          </w:tcPr>
          <w:p>
            <w:pPr>
              <w:jc w:val="right"/>
              <w:ind w:right="1548"/>
              <w:spacing w:after="0"/>
              <w:rPr>
                <w:sz w:val="20"/>
                <w:szCs w:val="20"/>
                <w:color w:val="auto"/>
              </w:rPr>
            </w:pPr>
            <w:r>
              <w:rPr>
                <w:rFonts w:ascii="Times New Roman" w:cs="Times New Roman" w:eastAsia="Times New Roman" w:hAnsi="Times New Roman"/>
                <w:sz w:val="14"/>
                <w:szCs w:val="14"/>
                <w:color w:val="auto"/>
              </w:rPr>
              <w:t>91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7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74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 by Major Market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 market is defined as a market with long-lived assets greater than 10% of consolidated long-lived assets and also includes the Company’s country of domicile (the United States). Long-lived assets in Mainland China consist primarily of property, plant and equipment related to manufacturing, distribution facilities and the Mainland China headquarters. Long-lived assets in the United States consist primarily of property, plant and equipment, including the Company’s corporate offices and distribution facilities. Long-lived assets by major market are set forth below for the periods ended December 31, 2023, 2022 and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335,020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132,148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149,124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30,867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25,364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13,322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18,011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23,929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33,291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47,687</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534,242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557,799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581,124</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hanging="492"/>
        <w:spacing w:after="0"/>
        <w:tabs>
          <w:tab w:leader="none" w:pos="5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The Company is subject to loss contingencies, including various legal and regulatory proceedings, asserted and potential claims that arise in the ordinary course of business. An estimated loss from such contingencies is recognized as a charge to income if it is probable that a liability has been incurred and the amount of the loss can be reasonably estimated.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w:t>
      </w:r>
    </w:p>
    <w:p>
      <w:pPr>
        <w:ind w:firstLine="8"/>
        <w:spacing w:after="0" w:line="260" w:lineRule="auto"/>
        <w:tabs>
          <w:tab w:leader="none" w:pos="2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spacing w:after="0" w:line="177" w:lineRule="exact"/>
        <w:rPr>
          <w:sz w:val="20"/>
          <w:szCs w:val="20"/>
          <w:color w:val="auto"/>
        </w:rPr>
      </w:pPr>
    </w:p>
    <w:p>
      <w:pPr>
        <w:ind w:left="500" w:hanging="492"/>
        <w:spacing w:after="0"/>
        <w:tabs>
          <w:tab w:leader="none" w:pos="5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 Net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net was $21.7 million, $21.9 million and $1.5 million of expense in 2023, 2022 and 2021, respectively. Other income (expense), net includes $25.6 million, $13.5 million and $11.0 million in interest expense during 2023, 2022 and 2021, respectively.</w:t>
      </w:r>
    </w:p>
    <w:p>
      <w:pPr>
        <w:spacing w:after="0" w:line="158" w:lineRule="exact"/>
        <w:rPr>
          <w:sz w:val="20"/>
          <w:szCs w:val="20"/>
          <w:color w:val="auto"/>
        </w:rPr>
      </w:pPr>
    </w:p>
    <w:p>
      <w:pPr>
        <w:ind w:left="500" w:hanging="492"/>
        <w:spacing w:after="0"/>
        <w:tabs>
          <w:tab w:leader="none" w:pos="5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paid for interest totaled $33.3 million, $14.5 million and $8.6 million for the years ended December 31, 2023, 2022 and 2021, respectively. Cash paid for income taxes totaled $32.4 million, $42.1 million and $96.0 million for the years ended December 31, 2023, 2022 and 2021,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500" w:hanging="492"/>
        <w:spacing w:after="0"/>
        <w:tabs>
          <w:tab w:leader="none" w:pos="5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the Company acquired 60 percent of LifeDNA, Inc. (“LifeDNA”), a DNA assessment company. Consideration paid included $4.0 million of cash, along with the conversion of a previous $3.0 million Simple Agreement for Future Equity (“SAFE”), and a $0.2 million convertible note. The acquisition enables the Company to continue to expand its digital tools. The Company allocated the fair value of $12.0 million to the assets acquired and liabilities assumed at estimated fair values. The estimated fair value of assets acquired included $7.3 million of intangible assets, $1.7 million of cash, $0.1 million of current assets, $0.9 million of accrued liabilities and also resulted in a deferred tax liability of $0.9 million. The excess purchase price over the aggregate fair value of assets acquired less liabilities assumed of $4.7 million was recorded as goodwill. The goodwill recognized is attributable primarily to expected synergies. None of the goodwill is expected to be deductible for income tax purposes. The intangible assets acquired comprised $0.6 million of customer relationships, $1.7 million of technology, $1.0 million of tradenames and $4.1 million of other intangibles. The intangibles were assigned useful lives of 7 years for the technology, tradenames and other intangibles, and 2 years for the customer relationships. All the goodwill was assigned to our Rhyz Other segment. The numbers above are stated net of measurement period adjustments recorded during the fourth quarter of 2023 of $1.1 million to deferred tax liability and goodwill. The allocation of the fair value of assets acquired and liabilities assumed for the acquisition was finalized during the three months ended December 31, 2023.</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2023, the Company acquired 100 percent ownership in Beauty Biosciences, LLC (“BeautyBio”), making BeautyBio a wholly owned subsidiary of the Company. The acquisition expands the Company’s product and device offerings within its Rhyz segment. The purchase price for BeautyBio was $75.0 million, net of cash acquired of $1.5 million, all payable in cash. The Company allocated the gross purchase price of $76.5 million to the assets acquired and liabilities assumed at estimated fair values. The estimated fair value of assets acquired included $43.0 million of intangible assets, $1.5 million of cash, $3.5 million of accounts receivable, $10.3 million of inventory, $0.8 million of prepaid and other assets, $1.0 million of fixed assets, $1.2 million of an ROU operating lease asset and corresponding lease liability, $2.5 million of accounts payable and accrued liabilities and also resulted in a deferred tax liability of $0.7 million. The excess purchase price over the aggregate fair value of assets acquired less liabilities assumed of $19.6 million was recorded as goodwill. The goodwill recognized is attributable primarily to expected synergies. None of the goodwill is expected to be deductible for income tax purposes. The intangible assets acquired comprised $18.4 million of customer relationships, $2.3 million of technology, $20.9 million of tradenames and $1.4 million of other intangibles. The intangibles were assigned useful lives of approximately 19 years for the technology and tradenames, approximately 9 years for the customer relationships and 3 years for the other intangibles. All the goodwill was assigned to our Rhyz Other segment. The numbers above are stated net of measurement period adjustments recorded during the fourth quarter of 2023 of $(1.2) million to accounts receivable, $(0.7) million of inventory, $(0.5) million of accrued liabilities, $0.7 million of deferred tax liability, $(0.3) of intangible assets and $2.4 million of goodwill. As of December 31, 2023, the allocation of the purchase price for the acquisition of BeautyBio is not yet finalized and is subject to adjustments as the Company completes the valuation analysis for this acquisition.</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results of LifeDNA and BeautyBio are included in the Rhyz other segment from the date of acquisition. For the year ended December 31, 2023, the Company included $10.6 million of revenue from these acquisitions. The unaudited pro forma revenue for the Company, including LifeDNA and BeautyBio, as if the acquisitions occurred on January 1, 2021, would have been $1,978.8 million and $2,254.2 million and $2,719.8 million for the years ended December 31, 2023, 2022 and 2021, respectively.</w:t>
      </w:r>
    </w:p>
    <w:p>
      <w:pPr>
        <w:spacing w:after="0" w:line="176" w:lineRule="exact"/>
        <w:rPr>
          <w:sz w:val="20"/>
          <w:szCs w:val="20"/>
          <w:color w:val="auto"/>
        </w:rPr>
      </w:pPr>
    </w:p>
    <w:p>
      <w:pPr>
        <w:ind w:left="500" w:hanging="492"/>
        <w:spacing w:after="0"/>
        <w:tabs>
          <w:tab w:leader="none" w:pos="5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Severance Charges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2021, the Company determined to exit the Grow Tech segment to better align its resources on key strategic initiatives to achieve the future growth objectives and priorities of the core Nu Skin business. The Grow Tech segment was pursuing the commercialization of controlled-environment agriculture for use in the agriculture feed industry. This segment operated as part of the Company’s Rhyz strategic investment arm. As a result of the restructuring program, the Company recorded a non-cash charge of $38.5 million in 2021, including $9.2 million for impairment of goodwill, $9.0 million for impairment of intangibles, $13.7 million of fixed asset impairments and $6.6 million for inventory write-off, and $20.0 million of cash charges, including $6.5 million for employee severance and $13.5 million for other related cash charges with our restructuring. The restructuring charges were recorded in the Grow Tech segment. During 2022, the Company incurred $5.0 million in incremental cash charges associated with the exit activities and legal settlements. During 2022, the Company made cash payments of $20.0 million, leaving a restructuring accrual of $5.0 million as of December 31, 2022. The Company paid this amount during 2023, leaving no restructuring accrual related to our exit of the Grow Tech segment as of December 31, 2023.</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third quarter of 2022, the Company adopted a strategic plan (“2022 Plan”) to focus resources on the Company’s strategic priorities and optimize future growth and profitability. The global program includes workforce reductions and footprint optimization. The Company incurred total charges under the program of approximately $53.3 million, with $40.8 million in cash charges of severance and lease termination cost and approximately $12.5 million of non-cash charges of impairment of fixed assets, acceleration of depreciation and impairment of other intangibles related to the footprint optimization. During 2022, the Company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2022, the Company made cash payments of $21.0 million related to this global program, leaving an ending restructuring accrual of $11.7 million. During 2023, the Company incurred charges to be settled in cash of $4.0 million in severance charges, $1.9 million in lease termination cost, and $2.2 million in other associated cost, and non-cash charges of $1.7 million in accelerated depreciation. In 2023, the Company made cash payments of $19.8 million, leaving no restructuring accrual related to this plan as of December 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expense by segment – 2022 Plan</w:t>
            </w: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44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4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4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4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4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4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4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4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43,494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220" w:type="dxa"/>
            <w:vAlign w:val="bottom"/>
            <w:vMerge w:val="restart"/>
          </w:tcPr>
          <w:p>
            <w:pPr>
              <w:jc w:val="right"/>
              <w:ind w:right="2896"/>
              <w:spacing w:after="0"/>
              <w:rPr>
                <w:sz w:val="20"/>
                <w:szCs w:val="20"/>
                <w:color w:val="auto"/>
              </w:rPr>
            </w:pPr>
            <w:r>
              <w:rPr>
                <w:rFonts w:ascii="Times New Roman" w:cs="Times New Roman" w:eastAsia="Times New Roman" w:hAnsi="Times New Roman"/>
                <w:sz w:val="14"/>
                <w:szCs w:val="14"/>
                <w:color w:val="auto"/>
              </w:rPr>
              <w:t>94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4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6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2023, the Company adopted another strategic plan (“2023 Plan”) to focus resources on the Company’s global priorities and optimize future growth and profitability. The global program includes workforce reductions. The Company estimates total charges under the program will approximate $15–$25 million in cash charges of severance. The Company expects to substantially complete the program during the first half of 2024. During the fourth quarter of 2023 the Company incurred charges to be settled in cash of $10.0 million in severance charges. During the fourth quarter of 2023, the Company made cash payments of $0.3 million, leaving an ending restructuring accrual of $9.7 million.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expense by segment – 2023 Plan</w:t>
            </w:r>
          </w:p>
        </w:tc>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1"/>
                <w:szCs w:val="21"/>
                <w:color w:val="auto"/>
              </w:rPr>
            </w:pPr>
          </w:p>
        </w:tc>
        <w:tc>
          <w:tcPr>
            <w:tcW w:w="6780" w:type="dxa"/>
            <w:vAlign w:val="bottom"/>
            <w:gridSpan w:val="4"/>
          </w:tcPr>
          <w:p>
            <w:pPr>
              <w:ind w:left="5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432"/>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5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5400" w:type="dxa"/>
            <w:vAlign w:val="bottom"/>
            <w:gridSpan w:val="2"/>
            <w:shd w:val="clear" w:color="auto" w:fill="CCEEFF"/>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5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5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5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5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5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5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5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5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400" w:type="dxa"/>
            <w:vAlign w:val="bottom"/>
            <w:gridSpan w:val="2"/>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5220" w:type="dxa"/>
            <w:vAlign w:val="bottom"/>
            <w:vMerge w:val="restart"/>
          </w:tcPr>
          <w:p>
            <w:pPr>
              <w:jc w:val="right"/>
              <w:ind w:right="3895"/>
              <w:spacing w:after="0"/>
              <w:rPr>
                <w:sz w:val="20"/>
                <w:szCs w:val="20"/>
                <w:color w:val="auto"/>
              </w:rPr>
            </w:pPr>
            <w:r>
              <w:rPr>
                <w:rFonts w:ascii="Times New Roman" w:cs="Times New Roman" w:eastAsia="Times New Roman" w:hAnsi="Times New Roman"/>
                <w:sz w:val="14"/>
                <w:szCs w:val="14"/>
                <w:color w:val="auto"/>
              </w:rPr>
              <w:t>95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46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6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Nu Skin Enterprises,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Nu Skin Enterprises, Inc. and its subsidiaries (the “Company”) as of December 31, 2023 and 2022, and the related consolidated statements of income, of comprehensive income, of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has excluded LifeDNA, Inc. and Beauty Biosciences, LLC from its assessment of internal control over financial reporting as of December 31, 2023 because they were acquired by the Company in purchase business combinations during 2023. We have also excluded LifeDNA, Inc. and Beauty Biosciences, LLC from our audit of internal control over financial reporting. LifeDNA, Inc. and Beauty Biosciences, LLC are consolidated subsidiaries whose total assets and total revenues excluded from management’s assessment and our audit of internal control over financial reporting collectively represent 1.0% and 0.5%, respectively, of the related consolidated financial statement amounts as of and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2 and 11 to the consolidated financial statements, the Company recorded a provision for income taxes of $18 million for the year ended December 31, 2023 and reported $105 million in deferred tax assets net of a valuation allowance of $47 million and $53 million in deferred tax liabilities. The Company also reported uncertain tax positions of $22 million as of December 31, 2023. The Company pays income taxes in many foreign jurisdictions based on the profits realized in those jurisdictions, which can be significantly impacted by terms of intercompany transactions between the Company and its foreign affiliates. The Company takes an asset and liability approach for financial accounting and reporting of income taxes. Deferred tax assets and liabilities are created in this process and are calculated using anticipated tax rates and are then netted by jurisdiction. Management establishes valuation allowances when necessary to reduce deferred tax assets to the amounts expected to be ultimately realized. The Company has recorded unrecognized tax benefits related to multiple foreign and domestic jurisdictions. As disclosed by management, potential changes in unrecognized tax benefits can arise from the multiple jurisdictions in which the Company operates, as well as the expiration of various statutes of limitation and possible completion of tax examinations.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income taxes is a critical audit matter are (i) the significant judgment by management when developing the provision for income taxes, deferred tax assets and the liability for unrecognized tax benefits, which in turn, led to significant auditor judgment, subjectivity and effort in performing audit procedures and evaluating audit evidence relating to these account balances and tax positions; and (ii) the audit effort included the involvement of professionals with specialized skill and knowledge.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income taxes. These procedures also included, among others, (i) testing the accuracy of the global income tax provision, including the rate reconciliation, return to provision adjustments, and permanent and temporary differences; (ii) evaluating management’s assessment of the realizability of deferred tax assets on a jurisdictional basis; (iii) evaluating the identification of reserves for uncertain tax positions and the reasonableness of the “more likely than not determination” in consideration of the expiration of various statutes of limitations, changes in tax law and regulations, terms of intercompany agreements, and issuance of tax rulings and settlements with tax authorities. Professionals with specialized skill and knowledge were used to assist in the evaluation of the reasonableness of management’s estimates and application of local and international income tax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1994, which includes periods before the Company became subject to SEC reporting requirements.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supervision and with the participation of our management, including our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Chief Financial Officer, we evaluated the effectiveness of the design and operation of our disclosure controls and procedures (as such term is defined in Rule 13a-15(e) under the Securities Exchange Act of 1934, as amended (the “Exchange Act”)). Disclosure controls and procedures are the controls and other procedures that we designed to ensure that we record, process, summarize and report in a timely manner the information we must disclose in reports that we file with or submit to the Securities and Exchange Commission under the Exchange Act, and they include, without limitation, controls and procedures designed to ensure that such information is accumulated and communicated to our management, including our Chief Executive Officer and Chief Financial Officer, as appropriate to allow timely decisions regarding required disclosure. Based on this evaluation, our Chief Executive Officer and our Chief Financial Officer concluded that our disclosure controls and procedures were effective as of December 31, 2023.</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 establishing and maintaining adequate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over financial reporting. Internal control over financial reporting is defined in Rule 13a-15(f) under the Exchange Act as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directors;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assessed, as of December 31, 2023, the effectiveness of our internal control over financial reporting. This assessment was based on criteria established in the framework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(2013) issued by the Committee of Sponsoring Organizations of the Treadway Commission. Based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our management concluded that our internal control over financial reporting was effective as of December 31,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PricewaterhouseCoopers LLP, an independent registered public accounting firm, as stated in their report which appears herein.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and June 15, 2023, we completed the acquisitions of LifeDNA, Inc. and Beauty Biosciences, LLC, respectively. As permitted by guidance published by the Staff of the SEC, we have excluded LifeDNA, Inc. and Beauty Biosciences, LLC from our assessment of internal control over financial reporting as of December 31, 2023. LifeDNA, Inc. and Beauty Biosciences, LLC are consolidated subsidiaries whose total assets and total revenues excluded from management’s assessment collectively represent 1.0% and 0.5%, respectively, of the related consolidated financial statement amounts as of and for the year ended December 31, 2023.</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was no change during the fiscal quarter ended December 31, 2023 in our internal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financial reporting (as such term is defined in Rule 13a-15(f) under the Exchange Act) that materially affected, or is reasonably likely to materially affect, our internal control over financial reporting.</w:t>
      </w:r>
    </w:p>
    <w:p>
      <w:pPr>
        <w:spacing w:after="0" w:line="17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u w:val="single" w:color="auto"/>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Items 10, 11, 12, 13 and 14 of Part III will be included in an amendment to this Annual Report on Form 10-K or incorporated by reference to our Definitive Proxy Statement for our 2024 Annual Meeting of Stockholders to be filed with the Securities and Exchange Commission within 120 days after our fiscal year end, except for certain information required by Item 10 with respect to our executive officers which is set forth under Item 1. Business of this Annual Report on Form 10-K.</w:t>
      </w:r>
    </w:p>
    <w:p>
      <w:pPr>
        <w:spacing w:after="0" w:line="1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part of this Form 10-K:</w:t>
      </w:r>
    </w:p>
    <w:p>
      <w:pPr>
        <w:spacing w:after="0" w:line="225"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See Index to Consolidated Financial Statements under Item 8 of Part II.</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 xml:space="preserve"> N/A</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xml:space="preserve"> References to the “Company” shall mean Nu Skin Enterprises, Inc. Unless otherwise noted, the SEC file number for exhibits incorporated by reference is 001-12421.</w:t>
      </w:r>
    </w:p>
    <w:p>
      <w:pPr>
        <w:spacing w:after="0" w:line="181" w:lineRule="exact"/>
        <w:rPr>
          <w:sz w:val="20"/>
          <w:szCs w:val="20"/>
          <w:color w:val="auto"/>
        </w:rPr>
      </w:pPr>
    </w:p>
    <w:p>
      <w:pPr>
        <w:jc w:val="both"/>
        <w:ind w:left="680" w:hanging="674"/>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02">
        <w:r>
          <w:rPr>
            <w:rFonts w:ascii="Times New Roman" w:cs="Times New Roman" w:eastAsia="Times New Roman" w:hAnsi="Times New Roman"/>
            <w:sz w:val="18"/>
            <w:szCs w:val="18"/>
            <w:u w:val="single" w:color="auto"/>
            <w:color w:val="0000EE"/>
          </w:rPr>
          <w:t>Amended and Restated Certificate of Incorporation of the Company (incorporated by reference to Exhibit 3.1 to the Company’s Registration</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Statement on Form S-1 filed September 16, 1996, file no. 333-12073).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jc w:val="both"/>
        <w:ind w:left="680" w:hanging="674"/>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04">
        <w:r>
          <w:rPr>
            <w:rFonts w:ascii="Times New Roman" w:cs="Times New Roman" w:eastAsia="Times New Roman" w:hAnsi="Times New Roman"/>
            <w:sz w:val="18"/>
            <w:szCs w:val="18"/>
            <w:u w:val="single" w:color="auto"/>
            <w:color w:val="0000EE"/>
          </w:rPr>
          <w:t>Certificate of Amendment to the Amended and Restated Certificate of Incorporation (incorporated by reference to Exhibit 3.2 to the Company’s</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Annual Report on Form 10-K for the year ended December 31, 2009, filed March 1,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jc w:val="both"/>
        <w:ind w:left="680" w:hanging="674"/>
        <w:spacing w:after="0" w:line="266"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106">
        <w:r>
          <w:rPr>
            <w:rFonts w:ascii="Times New Roman" w:cs="Times New Roman" w:eastAsia="Times New Roman" w:hAnsi="Times New Roman"/>
            <w:sz w:val="18"/>
            <w:szCs w:val="18"/>
            <w:u w:val="single" w:color="auto"/>
            <w:color w:val="0000EE"/>
          </w:rPr>
          <w:t>Certificate of Designation, Preferences and Relative Participating, Optional and Other Special Rights of Preferred Stock and Qualifications,</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Limitations and Restrictions Thereof (incorporated by reference to Exhibit 3.3 to the Company’s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December 31, 2004, filed March 15, 2005).</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EE"/>
        </w:rPr>
      </w:pPr>
    </w:p>
    <w:p>
      <w:pPr>
        <w:jc w:val="both"/>
        <w:ind w:left="680" w:hanging="674"/>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108">
        <w:r>
          <w:rPr>
            <w:rFonts w:ascii="Times New Roman" w:cs="Times New Roman" w:eastAsia="Times New Roman" w:hAnsi="Times New Roman"/>
            <w:sz w:val="18"/>
            <w:szCs w:val="18"/>
            <w:u w:val="single" w:color="auto"/>
            <w:color w:val="0000EE"/>
          </w:rPr>
          <w:t>Fifth Amended and Restated Bylaws of Nu Skin Enterprises, Inc. (incorporated by reference to Exhibit 3.1 to the Company’s Current Report on</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Form 8-K filed February 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jc w:val="both"/>
        <w:ind w:left="680" w:hanging="674"/>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10">
        <w:r>
          <w:rPr>
            <w:rFonts w:ascii="Times New Roman" w:cs="Times New Roman" w:eastAsia="Times New Roman" w:hAnsi="Times New Roman"/>
            <w:sz w:val="18"/>
            <w:szCs w:val="18"/>
            <w:u w:val="single" w:color="auto"/>
            <w:color w:val="0000EE"/>
          </w:rPr>
          <w:t>Specimen Form of Stock Certificate for Class A Common Stock (incorporated by reference to Exhibit 4.1 to the Company’s Annual Report on</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Form 10-K for the year ended December 31, 2022, filed February 16,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0000EE"/>
        </w:rPr>
        <w:t>Description of the Registrant’s Securities Registered Under Section 12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13">
        <w:r>
          <w:rPr>
            <w:rFonts w:ascii="Times New Roman" w:cs="Times New Roman" w:eastAsia="Times New Roman" w:hAnsi="Times New Roman"/>
            <w:sz w:val="18"/>
            <w:szCs w:val="18"/>
            <w:u w:val="single" w:color="auto"/>
            <w:color w:val="0000EE"/>
          </w:rPr>
          <w:t>Amended and Restated Credit Agreement among the Company, various financial institutions, and Bank of America, N.A. as administrative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jc w:val="center"/>
        <w:ind w:right="20"/>
        <w:spacing w:after="0"/>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dated as of June 14, 2022 (incorporated by reference to Exhibit 10.1 to the Company’s Current Report on Form 8-K filed June 17, 2022).</w:t>
        </w:r>
      </w:hyperlink>
    </w:p>
    <w:p>
      <w:pPr>
        <w:spacing w:after="0" w:line="207" w:lineRule="exact"/>
        <w:rPr>
          <w:sz w:val="20"/>
          <w:szCs w:val="20"/>
          <w:color w:val="auto"/>
        </w:rPr>
      </w:pPr>
    </w:p>
    <w:p>
      <w:pPr>
        <w:jc w:val="both"/>
        <w:ind w:left="680" w:hanging="679"/>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15">
        <w:r>
          <w:rPr>
            <w:rFonts w:ascii="Times New Roman" w:cs="Times New Roman" w:eastAsia="Times New Roman" w:hAnsi="Times New Roman"/>
            <w:sz w:val="18"/>
            <w:szCs w:val="18"/>
            <w:u w:val="single" w:color="auto"/>
            <w:color w:val="0000EE"/>
          </w:rPr>
          <w:t>Second Amended and Restated Nu Skin Enterprises, Inc. 2010 Omnibus Incentive Plan (“Second Amended and Restated 2010 Plan”)</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(incorporated by reference to Exhibit 10.1 to the Company’s Current Report on Form 8-K filed May 24,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jc w:val="both"/>
        <w:ind w:left="680" w:right="20" w:hanging="679"/>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17">
        <w:r>
          <w:rPr>
            <w:rFonts w:ascii="Times New Roman" w:cs="Times New Roman" w:eastAsia="Times New Roman" w:hAnsi="Times New Roman"/>
            <w:sz w:val="18"/>
            <w:szCs w:val="18"/>
            <w:u w:val="single" w:color="auto"/>
            <w:color w:val="0000EE"/>
          </w:rPr>
          <w:t>Form of Second Amended and Restated 2010 Plan Performance Stock Option Grant Agreement (incorporated by reference to Exhibit 10.13 to the</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Company’s Annual Report on Form 10-K for the year ended December 31, 2019, filed February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jc w:val="both"/>
        <w:ind w:left="680" w:hanging="679"/>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19">
        <w:r>
          <w:rPr>
            <w:rFonts w:ascii="Times New Roman" w:cs="Times New Roman" w:eastAsia="Times New Roman" w:hAnsi="Times New Roman"/>
            <w:sz w:val="18"/>
            <w:szCs w:val="18"/>
            <w:u w:val="single" w:color="auto"/>
            <w:color w:val="0000EE"/>
          </w:rPr>
          <w:t>Third Amended and Restated 2010 Omnibus Incentive Plan (incorporated by reference to Exhibit 99.1 to the Company’s Registration Statement</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on Form S-8 filed June 3, 2020, file no. 333-238908).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u w:val="single" w:color="auto"/>
          <w:color w:val="0000EE"/>
        </w:rPr>
        <w:t>Form of Third Amended and Restated 2010 Plan Restricted Stock Unit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u w:val="single" w:color="auto"/>
          <w:color w:val="0000EE"/>
        </w:rPr>
        <w:t>Form of Third Amended and Restated 2010 Plan Performance Restricted Stock Unit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ind w:left="680" w:right="20" w:hanging="679"/>
        <w:spacing w:after="0" w:line="282" w:lineRule="auto"/>
        <w:tabs>
          <w:tab w:leader="none" w:pos="6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23">
        <w:r>
          <w:rPr>
            <w:rFonts w:ascii="Times New Roman" w:cs="Times New Roman" w:eastAsia="Times New Roman" w:hAnsi="Times New Roman"/>
            <w:sz w:val="18"/>
            <w:szCs w:val="18"/>
            <w:u w:val="single" w:color="auto"/>
            <w:color w:val="0000EE"/>
          </w:rPr>
          <w:t>Form of Third Amended and Restated 2010 Plan Director Restricted Stock Unit Grant Agreement (incorporated by reference to Exhibit 10.13 to</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the Company’s Annual Report on Form 10-K for the year ended December 31, 2022, filed February 16,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780" w:hanging="779"/>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26">
        <w:r>
          <w:rPr>
            <w:rFonts w:ascii="Times New Roman" w:cs="Times New Roman" w:eastAsia="Times New Roman" w:hAnsi="Times New Roman"/>
            <w:sz w:val="18"/>
            <w:szCs w:val="18"/>
            <w:u w:val="single" w:color="auto"/>
            <w:color w:val="0000EE"/>
          </w:rPr>
          <w:t>Form of Third Amended and Restated 2010 Plan Performance Stock Option Grant Agreement (incorporated by reference to Exhibit 10.14 to the</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Company’s Annual Report on Form 10-K for the year ended December 31, 2020, filed February 11,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780" w:hanging="779"/>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28">
        <w:r>
          <w:rPr>
            <w:rFonts w:ascii="Times New Roman" w:cs="Times New Roman" w:eastAsia="Times New Roman" w:hAnsi="Times New Roman"/>
            <w:sz w:val="18"/>
            <w:szCs w:val="18"/>
            <w:u w:val="single" w:color="auto"/>
            <w:color w:val="0000EE"/>
          </w:rPr>
          <w:t>Nu Skin Enterprises, Inc. Amended and Restated 2009 Key Employee Death Benefit Plan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Company’s Quarterly Report on Form 10-Q for the quarterly period ended June 30, 2023, filed August 2,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780" w:hanging="779"/>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30">
        <w:r>
          <w:rPr>
            <w:rFonts w:ascii="Times New Roman" w:cs="Times New Roman" w:eastAsia="Times New Roman" w:hAnsi="Times New Roman"/>
            <w:sz w:val="18"/>
            <w:szCs w:val="18"/>
            <w:u w:val="single" w:color="auto"/>
            <w:color w:val="0000EE"/>
          </w:rPr>
          <w:t>Fourth Amended and Restated Nu Skin Enterprises, Inc. Deferred Compensation Plan, effective as of January 1, 2022 (incorporated by reference</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to Exhibit 10.18 to the Company’s Annual Report on Form 10-K for the year ended December 31, 2021, filed February 16,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780" w:right="20" w:hanging="779"/>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32">
        <w:r>
          <w:rPr>
            <w:rFonts w:ascii="Times New Roman" w:cs="Times New Roman" w:eastAsia="Times New Roman" w:hAnsi="Times New Roman"/>
            <w:sz w:val="18"/>
            <w:szCs w:val="18"/>
            <w:u w:val="single" w:color="auto"/>
            <w:color w:val="0000EE"/>
          </w:rPr>
          <w:t>Amendment 1 to Fourth Amended and Restated Nu Skin Enterprises, Inc. Deferred Compensation Plan (incorporated by reference to Exhibit</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10.2 to the Company’s Quarterly Report on Form 10-Q for the quarterly period ended June 30, 2023, filed August 2,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780" w:hanging="779"/>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34">
        <w:r>
          <w:rPr>
            <w:rFonts w:ascii="Times New Roman" w:cs="Times New Roman" w:eastAsia="Times New Roman" w:hAnsi="Times New Roman"/>
            <w:sz w:val="18"/>
            <w:szCs w:val="18"/>
            <w:u w:val="single" w:color="auto"/>
            <w:color w:val="0000EE"/>
          </w:rPr>
          <w:t>Form of Indemnification Agreement between the Company and its Executive Officers and Directors (incorporated by reference to Exhibit 10.1</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to the Company’s Quarterly Report on Form 10-Q for the quarterly period ended September 30, 2016, filed November 4,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7"/>
          <w:szCs w:val="17"/>
          <w:u w:val="single" w:color="auto"/>
          <w:color w:val="0000EE"/>
        </w:rPr>
        <w:t>Nu Skin Enterprises, Inc. Executive Severance Policy, amended and restated effective as of January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780" w:hanging="779"/>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37">
        <w:r>
          <w:rPr>
            <w:rFonts w:ascii="Times New Roman" w:cs="Times New Roman" w:eastAsia="Times New Roman" w:hAnsi="Times New Roman"/>
            <w:sz w:val="18"/>
            <w:szCs w:val="18"/>
            <w:u w:val="single" w:color="auto"/>
            <w:color w:val="0000EE"/>
          </w:rPr>
          <w:t>Employment Agreement between the Company and Joseph Y. Chang, effective as of October 15, 2020 (incorporated by reference to Exhibit 10.1</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to the Company’s Current Report on Form 8-K filed October 20,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780" w:right="20" w:hanging="76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by Ryan S. Napierski, Chief Executive Officer, pursuant to Rule 13a-14(a) of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780" w:hanging="76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by James D. Thomas, Chief Financial Officer, pursuant to Rule 13a-14(a) of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780" w:right="20" w:hanging="76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by Ryan S. Napierski, Chief Executive Officer, pursuant to Section 1350, Chapter 63 of Title 18,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780" w:hanging="76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by James D. Thomas, Chief Financial Officer, pursuant to Section 1350, Chapter 63 of Title 18,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u w:val="single" w:color="auto"/>
          <w:color w:val="0000EE"/>
        </w:rPr>
        <w:t>Nu Skin Enterprises, Inc. Executive Officer Incentive 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780" w:hanging="768"/>
        <w:spacing w:after="0" w:line="282" w:lineRule="auto"/>
        <w:rPr>
          <w:sz w:val="20"/>
          <w:szCs w:val="20"/>
          <w:color w:val="auto"/>
        </w:rPr>
      </w:pPr>
      <w:r>
        <w:rPr>
          <w:rFonts w:ascii="Times New Roman" w:cs="Times New Roman" w:eastAsia="Times New Roman" w:hAnsi="Times New Roman"/>
          <w:sz w:val="18"/>
          <w:szCs w:val="18"/>
          <w:color w:val="auto"/>
        </w:rPr>
        <w:t>*101.INS 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7"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15"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14, 2024.</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14, 2024.</w:t>
      </w:r>
    </w:p>
    <w:p>
      <w:pPr>
        <w:sectPr>
          <w:pgSz w:w="11900" w:h="16838" w:orient="portrait"/>
          <w:cols w:equalWidth="0" w:num="1">
            <w:col w:w="11240"/>
          </w:cols>
          <w:pgMar w:left="320" w:top="115" w:right="339" w:bottom="1440" w:gutter="0" w:footer="0" w:header="0"/>
        </w:sectPr>
      </w:pPr>
    </w:p>
    <w:p>
      <w:pPr>
        <w:spacing w:after="0" w:line="15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2829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J.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J. Lund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D. Thomas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Emma S.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Emma S. Battle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W.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W. Campbell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D. Lipman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D. Lipman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Laura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Nathanson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R. Pisano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R. Pisano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Zheqing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Zheqing Shen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Edwina D. Woodbury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Edwina D. Woodbury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Capacity in Which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703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37033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of the Board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29" w:lineRule="exact"/>
        <w:rPr>
          <w:sz w:val="20"/>
          <w:szCs w:val="20"/>
          <w:color w:val="auto"/>
        </w:rPr>
      </w:pPr>
    </w:p>
    <w:p>
      <w:pPr>
        <w:sectPr>
          <w:pgSz w:w="11900" w:h="16838" w:orient="portrait"/>
          <w:cols w:equalWidth="0" w:num="2">
            <w:col w:w="4680" w:space="720"/>
            <w:col w:w="5840"/>
          </w:cols>
          <w:pgMar w:left="320" w:top="115" w:right="339" w:bottom="1440" w:gutter="0" w:footer="0" w:header="0"/>
          <w:type w:val="continuous"/>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5" w:name="page106"/>
    <w:bookmarkEnd w:id="105"/>
    <w:p>
      <w:pPr>
        <w:ind w:left="10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REGISTERED UNDER SECTION 12 OF THE</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December 31, 2023, Nu Skin Enterprises, Inc. (the “Company”) has one class of securities registered under Section 12 of the Securities Exchange Act of 1934, as amended (the “Exchange Act”): Class A Common Stock. This class of securities has a par value of $0.001 per share. The Company’s certificate of incorporation authorizes 500 million shares of this class, and as of January 31, 2024, 49,420,882 shares were outstanding, held by a total of approximately 210 holders of record.</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Company’s certificate of incorporation also authorizes 25 million shares of preferred stock and 100 million shares of Class B common stock, both with a par value of $0.001 per share, but these classes of securities are not registered under Section 12 of the Exchange Act, nor were any shares of these classes outstanding as of January 31, 2024. As used in this Exhibit 4.2, the term “common stock” refers, collectively, to our Class A Common Stock and our Class B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below does not purport to be complete and is qualified in its entirety by reference to the terms of our certificate of incorporation and our bylaws, each of which is incorporated by reference as an exhibit to the Annual Report on Form 10-K of which this Exhibit 4.2 is a part. We encourage you to read our certificate of incorporation, our bylaws and the applicable provisions of the Delaware General Corporation Law for additional information.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share of our Class A Common Stock entitles the holder to one vote on each matter submitted to a vote of our stockholders, including the election of directors. Each share of our Class B Common Stock entitles the holder to ten votes on each matter submitted to a vote of our stockholders, including the election of directors. There is no cumulative voting. With respect to corporate changes, including liquidations, reorganizations, recapitalizations, mergers, consolidations and sales of substantially all of our assets, the approval of 66 2/3% of the outstanding voting power is required to authorize or approve the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receive dividends if, as and when the dividends are declared by our board of directors out of assets legally available for the dividends after payment of dividends required to be paid on shares of preferred stock,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liquidation, after payment of the debts and other liabilities of our Company and after making provision for the holders of our preferred stock, if any, our remaining assets will be distributable ratably among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Mergers and Other Business Combinations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merger or consolidation of our Company, holders of our common stock are entitled to receive equal per-share payments or distributions. We may not dispose of all or any substantial part of our assets to, or merge or consolidate with, any person, entity or group (as the term “group” is defined in Rule 13d-5 of the Exchange Act) that beneficially owns, in the aggregate, 10% or more of our outstanding common stock without the affirmative vote of the holders, other than a related person, of not less than 66 2/3% of the voting power. For the sole purpose of determining the 66 2/3% vote, a related person will also include the seller or sellers from whom the related person acquired, during the preceding six months, at least 5% of the outstanding shares of common stock pursuant to one or more agreements or other arrangements and not through a brokers’ transaction, but only if the seller or sellers have beneficial ownership of shares of common stock having a fair market value in excess of $10 million in the aggregate at the time of the proposed disposition, merger, or consolidation. Notwithstanding the foregoing, neither our Company nor any of our subsidiaries shall be a related person. This 66 2/3% voting requirement is not applicable, however, if:</w:t>
      </w:r>
    </w:p>
    <w:p>
      <w:pPr>
        <w:spacing w:after="0" w:line="188" w:lineRule="exact"/>
        <w:rPr>
          <w:sz w:val="20"/>
          <w:szCs w:val="20"/>
          <w:color w:val="auto"/>
        </w:rPr>
      </w:pPr>
    </w:p>
    <w:p>
      <w:pPr>
        <w:ind w:left="660" w:right="8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 is approved by a vote of not less than a majority of our directors who are neither affiliated nor associated with the related person or the seller of shares to the related person as described above; or</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transaction pursuant to which the holders of common stock are entitled to receive cash, property, securities or other consideration, the cash or fair market value of the property, securities or other consideration to be received per share in the transaction is not less than the higher of:</w:t>
      </w:r>
    </w:p>
    <w:p>
      <w:pPr>
        <w:spacing w:after="0" w:line="176" w:lineRule="exact"/>
        <w:rPr>
          <w:sz w:val="20"/>
          <w:szCs w:val="20"/>
          <w:color w:val="auto"/>
        </w:rPr>
      </w:pPr>
    </w:p>
    <w:p>
      <w:pPr>
        <w:ind w:left="1300" w:right="320" w:hanging="320"/>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price per share paid by the related person for any of its holdings of common stock within the two-year period immediately prior to the announcement of the proposed transaction; or</w:t>
      </w:r>
    </w:p>
    <w:p>
      <w:pPr>
        <w:spacing w:after="0" w:line="161" w:lineRule="exact"/>
        <w:rPr>
          <w:rFonts w:ascii="Times New Roman" w:cs="Times New Roman" w:eastAsia="Times New Roman" w:hAnsi="Times New Roman"/>
          <w:sz w:val="18"/>
          <w:szCs w:val="18"/>
          <w:color w:val="auto"/>
        </w:rPr>
      </w:pPr>
    </w:p>
    <w:p>
      <w:pPr>
        <w:ind w:left="1300" w:right="700" w:hanging="320"/>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closing sale price during the 30-day period immediately preceding that date or during the 30-day period immediately preceding the date on which the related person became a related person, whichever is higher.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 Shareowner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traded on the New York Stock Exchange under the trading symbol “NUS.”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is authorized, subject to the limitations prescribed by the Delaware General Corporation Law or the rules of the New York Stock Exchange or other organizations on whose systems our stock may be quoted or listed, to:</w:t>
      </w:r>
    </w:p>
    <w:p>
      <w:pPr>
        <w:spacing w:after="0" w:line="162"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shares of preferred stock in one or more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from time to time the number of shares to be included in each series;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rights, powers, preferences and privileges of the shares of each wholly unissued series and any qualifications, limitations or restrictions on such shares;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number of shares of each series, without any further vote or action by the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both"/>
        <w:spacing w:after="0" w:line="266" w:lineRule="auto"/>
        <w:rPr>
          <w:sz w:val="20"/>
          <w:szCs w:val="20"/>
          <w:color w:val="auto"/>
        </w:rPr>
      </w:pPr>
      <w:r>
        <w:rPr>
          <w:rFonts w:ascii="Times New Roman" w:cs="Times New Roman" w:eastAsia="Times New Roman" w:hAnsi="Times New Roman"/>
          <w:sz w:val="18"/>
          <w:szCs w:val="18"/>
          <w:color w:val="auto"/>
        </w:rPr>
        <w:t>The approval of the holders of at least 66 2/3% of the combined voting power of the outstanding shares of common stock, however, is required for the issuance of shares of preferred stock that have the right to vote for the election of directors under ordinary circumstances or to elect 50% or more of the directors under any circumstances.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Depending upon the terms of the preferred stock established by our board of directors, any or all series of preferred stock could have preference over the common stock with respect to dividends and other distributions and upon liquidation of our Company or could have voting or conversion rights that could adversely affect the holders of the outstanding common stock. In addition, the preferred stock could delay, defer or prevent a change of control of our Company. We have no present plans to issue any shares of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Special meetings of stockholders may be called only by the board of directors pursuant to a resolution adopted by the affirmative vote of a majority of the board, the chairman of the board of directors, or the president. Except as otherwise required by law, stockholders are not entitled to request or call a special meeting of the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 and Business Proposals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stockholders are required to provide advance notice of nominations of directors to be made at, and of business proposed to be brought before, a meeting of the stockholders. The failure to deliver proper notice within the periods specified in our bylaws will result in the denial of the stockholder of the right to make any nominations or propose any action at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are subject to the provisions of Section 203 of the Delaware General Corporation Law. This law prevents many Delaware corporations, including those whose securities are listed on the New York Stock Exchange, from engaging, under specific circumstances, in a business combination with an interested stockholder for three years following the date that the stockholder became an interested stockholder, unless the business combination or interested stockholder is approved in a prescribed manner. An interested stockholder is a stockholder who, together with affiliates and associates, within the prior three years did own 15% or more of the corporation’s outstanding voting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 provisions of Section 203 of the Delaware General Corporation Law with an express provision in its original certificate of incorporation or an express provision in its certificate of incorporation or bylaws resulting from a stockholders’ amendment approved by at least a majority of the outstanding voting shares. We have not opted out of the provisions of Section 203.</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2010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Restricted Stock Unit Agreement, Participant’s award information (the “Award Summary”), which can be accessed on the Fidelity website (currently www.fidelity.com) or the website of any other stock plan administrator selected by the Company in the future, and the Appendix for Participant’s country contained in this agreement, if any, (collectively, this “Agreement”) set forth the terms and conditions of the Restricted Stock Units granted to Participant under the Third Amended and Restated Nu Skin Enterprises, Inc. 2010 Omnibus Incentive Plan (the “Plan”). In the event of a conflict between (i) the terms and conditions of the Plan; and (ii) the terms and conditions of this Agreement, the terms and conditions of the Plan shall prevail. Unless otherwise defined herein, the capitalized terms in this Agreement shall have the same defined meaning assigned to them in the Plan.</w:t>
      </w:r>
    </w:p>
    <w:p>
      <w:pPr>
        <w:spacing w:after="0" w:line="183" w:lineRule="exact"/>
        <w:rPr>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Restricted Stock Units.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 Grant of Restricted Stock Units. </w:t>
      </w:r>
      <w:r>
        <w:rPr>
          <w:rFonts w:ascii="Times New Roman" w:cs="Times New Roman" w:eastAsia="Times New Roman" w:hAnsi="Times New Roman"/>
          <w:sz w:val="18"/>
          <w:szCs w:val="18"/>
          <w:color w:val="auto"/>
        </w:rPr>
        <w:t>Effective as of the date of grant specified in the Award Summary (the “Grant Date”), the Company grants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 award of the number of Restricted Stock Units as set forth in the Award Summary. Each Restricted Stock Unit is a bookkeeping entry representing the Company’s unfunded promise to deliver one Share on the terms provided herein and in the Plan.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Vesting of Restricted Stock Units. </w:t>
      </w:r>
      <w:r>
        <w:rPr>
          <w:rFonts w:ascii="Times New Roman" w:cs="Times New Roman" w:eastAsia="Times New Roman" w:hAnsi="Times New Roman"/>
          <w:sz w:val="18"/>
          <w:szCs w:val="18"/>
          <w:color w:val="auto"/>
        </w:rPr>
        <w:t>The Restricted Stock Units shall vest on the dates (the “Vesting Dates”) and in the amounts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set forth in the Award Summary, except as otherwise provided in this Agreement, including pursuant to Sections 1.3 and 4.</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Termination of Continuous Service. </w:t>
      </w:r>
      <w:r>
        <w:rPr>
          <w:rFonts w:ascii="Times New Roman" w:cs="Times New Roman" w:eastAsia="Times New Roman" w:hAnsi="Times New Roman"/>
          <w:sz w:val="18"/>
          <w:szCs w:val="18"/>
          <w:color w:val="auto"/>
        </w:rPr>
        <w:t>In the event Participant’s Continuous Service (as defined below) is terminated for any reason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vesting of the Restricted Stock Units, the Restricted Stock Units granted hereunder shall terminate to the extent they are not vested as of the termination of Participant’s Continuous Service, as determined in accordance with Section 9(h) below, and Participant shall not have any right to receive any Shares subject to such unvested Restricted Stock Units.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“Continuous Service” means that Participant’s service with the Company or a Subsidiary, whether as an Employee, Director, or Consultant, is not interrupted or terminated. Participant’s Continuous Service shall not be deemed to have terminated merely because of a change in the capacity in which Participant renders service to the Company or a Subsidiary as an Employee, Consultant, or Director, or a change in the entity for which Participant renders such service, provided that there is no interruption or termination of Participant’s Continuous Service. For example, a change in status from an Employee of the Company to a Consultant of a Subsidiary or a Director will not constitute an interruption of Continuous Service. Subject to the requirements of applicable law, the Committee, in its sole discretion, shall determine whether Continuous Service shall be considered interrupted in the case of any leave of absence approved by the Company or a Subsidiary, including sick leave, military leave or any other personal leave.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9" w:name="page110"/>
    <w:bookmarkEnd w:id="109"/>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1.4 Settlement of Restricted Stock Units. </w:t>
      </w:r>
      <w:r>
        <w:rPr>
          <w:rFonts w:ascii="Times New Roman" w:cs="Times New Roman" w:eastAsia="Times New Roman" w:hAnsi="Times New Roman"/>
          <w:sz w:val="18"/>
          <w:szCs w:val="18"/>
          <w:color w:val="auto"/>
        </w:rPr>
        <w:t>Subject to the terms of the Plan and this Agreement, Restricted Stock Units shall be settled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Participant has satisfied any Tax-Related Items pursuant to Section 8 below. Shares will be issued to Participant within 70 days following the applicable Vesting Date unless subject to the terms of the Company’s deferred compensation plan; provided, however, that if the Participant is subject to taxation in the U.S. (a “U.S. Taxpayer”), the Restricted Stock Units vest pursuant to Section 1.6 below and the Restricted Stock Units are considered “non-qualified deferred compensation” subject to Section 409A of the Code (“Code Section 409A,” and such compensation, “Deferred Compensation”), the Shares will be issued in accordance with the following schedule: (i) if the termination event giving rise to the vesting acceleration occurs prior to the Change in Control and the Change in Control constitutes a “change in control event” (within the meaning of U.S. Treasury Regulation 1.409A-3(i)(5)(i)) (a “409A CIC”), the Shares will be issued on the date of the Change in Control, and if the Change in Control does not constitute a 409A CIC, the Shares will be issued on the date that is six months following the Participant’s “separation from service” (within the meaning of Code Section 409A) (a “Separation from Service”); (ii) if the termination event giving rise to the vesting acceleration occurs on or following the Change in Control and the Change in Control constitutes a 409A CIC, then the Shares will be issued within 30 days following the Participant’s Separation from Service, and if the Change in Control is not a 409A CIC, then the Shares will be issued on the date that is six months following the Participant’s Separation from Service.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for purposes of complying with Code Section 409A, if the Participant is a U.S. Taxpayer, the Restricted Stock Units are considered Deferred Compensation and the Restricted Stock Units are to be settled in connection with a termination contemplated under Section 1.6 below, the Company and the Participant shall take all steps necessary (including with regard to any post-termination services by the Participant) to ensure that a termination contemplated under Section 1.6 constitutes a Separation from Service. In addition, if the Restricted Stock Units are Deferred Compensation, the Restricted Stock Units are settled upon the Participant’s Separation from Service and the Participant is a “specified employee,” within the meaning of Code Section 409A, on the date the Participant experiences a Separation from Service, then the Shares will be issued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1.5 Stockholder Rights. </w:t>
      </w:r>
      <w:r>
        <w:rPr>
          <w:rFonts w:ascii="Times New Roman" w:cs="Times New Roman" w:eastAsia="Times New Roman" w:hAnsi="Times New Roman"/>
          <w:sz w:val="18"/>
          <w:szCs w:val="18"/>
          <w:color w:val="auto"/>
        </w:rPr>
        <w:t>Unless and until Shares are issued by the Company after the Vesting Date, Participant shall have none of the rights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privileges of a shareholder of the Company (including voting, dividend and liquidation rights) with respect to the Shares covered by the Restricted Stock Units.</w:t>
      </w:r>
    </w:p>
    <w:p>
      <w:pPr>
        <w:spacing w:after="0" w:line="3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 Change in Control. </w:t>
      </w:r>
      <w:r>
        <w:rPr>
          <w:rFonts w:ascii="Times New Roman" w:cs="Times New Roman" w:eastAsia="Times New Roman" w:hAnsi="Times New Roman"/>
          <w:sz w:val="18"/>
          <w:szCs w:val="18"/>
          <w:color w:val="auto"/>
        </w:rPr>
        <w:t>Notwithstanding any provision in this Agreement to the contrary, if, within six months prior to and in connection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or within two years following such Change in Control, Participant’s employment is terminated (i) by the Company and its Subsidiaries without Cause, or (ii) by Participant for Good Reason, the vesting of the Restricted Stock Units governed by this Agreement shall be accelerated such that all such Restricted Stock Units shall be deemed to be vested in full immediately prior to the termination of Participant’s employment.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shall mean that Participant has engaged in any one of the following:</w:t>
      </w:r>
    </w:p>
    <w:p>
      <w:pPr>
        <w:spacing w:after="0" w:line="225" w:lineRule="exact"/>
        <w:rPr>
          <w:sz w:val="20"/>
          <w:szCs w:val="20"/>
          <w:color w:val="auto"/>
        </w:rPr>
      </w:pPr>
    </w:p>
    <w:p>
      <w:pPr>
        <w:ind w:left="660" w:hanging="4"/>
        <w:spacing w:after="0" w:line="282" w:lineRule="auto"/>
        <w:tabs>
          <w:tab w:leader="none" w:pos="14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Participant of the Company’s Employee Covenants Agreement, other employee covenants or any employment agreement, which breach is not cured within any applicable cure period set forth in the respective document;</w:t>
      </w:r>
    </w:p>
    <w:p>
      <w:pPr>
        <w:spacing w:after="0" w:line="161" w:lineRule="exact"/>
        <w:rPr>
          <w:rFonts w:ascii="Times New Roman" w:cs="Times New Roman" w:eastAsia="Times New Roman" w:hAnsi="Times New Roman"/>
          <w:sz w:val="18"/>
          <w:szCs w:val="18"/>
          <w:color w:val="auto"/>
        </w:rPr>
      </w:pPr>
    </w:p>
    <w:p>
      <w:pPr>
        <w:ind w:left="1680" w:hanging="1024"/>
        <w:spacing w:after="0"/>
        <w:tabs>
          <w:tab w:leader="none" w:pos="1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willful violation by Participant of any material law or regulation applicable to the business of the Company or any of its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left="660" w:hanging="4"/>
        <w:spacing w:after="0" w:line="282" w:lineRule="auto"/>
        <w:tabs>
          <w:tab w:leader="none" w:pos="145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conviction of, or a plea of guilty or nolo contendere to, a felony or any willful perpetration of common law fraud (or analogous violation of law in a jurisdiction outside the United States); or</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33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willful misconduct by Participant that is materially injurious to the financial condition or business reputation of, or is otherwise materially injurious to, the Company or any of its Subsidiaries.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the foregoing, in determining whether a “material breach” has occurred, or whether there has been a willful violation of a “material” law or regulation, the standard shall be a breach or violation that is, or will reasonably likely be, materially injurious to the financial condition or business reputation of, or is, or will reasonably likely be, otherwise materially injurious to, the Company or any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Reason” shall mean the occurrence any of the following events that result in a material negative change to Participant:</w:t>
      </w:r>
    </w:p>
    <w:p>
      <w:pPr>
        <w:spacing w:after="0" w:line="225" w:lineRule="exact"/>
        <w:rPr>
          <w:sz w:val="20"/>
          <w:szCs w:val="20"/>
          <w:color w:val="auto"/>
        </w:rPr>
      </w:pPr>
    </w:p>
    <w:p>
      <w:pPr>
        <w:ind w:left="660" w:hanging="4"/>
        <w:spacing w:after="0" w:line="282" w:lineRule="auto"/>
        <w:tabs>
          <w:tab w:leader="none" w:pos="139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material reduction in the scope of Participant’s duties and responsibilities or the level of management to which Participant reports;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31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reduction in base salary (other than an across-the-board reduction of not more than 10% applicable to all similarly situated employees);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152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material reduction in Participant’s benefits in the aggregate (in terms of benefit levels) from those provided to Participant under any employee benefit plan, program and practice in which Participant participates;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56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relocation of Participant’s principal place of employment of more than 50 miles from Participant’s primary residence;</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49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have a successor entity specifically assume this Agreement or any employment agreement within 10 business days after a Change in Control; or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1340" w:hanging="684"/>
        <w:spacing w:after="0"/>
        <w:tabs>
          <w:tab w:leader="none" w:pos="1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a successor entity of this Agreement or any employment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Good Reason shall only be found to exist if Participant, not later than 90 days after the initial occurrence of an event deemed to give rise to a right to terminate for Good Reason, has provided 30 days written notice to the Company prior to Participant’s resignation indicating and describing the event resulting in such Good Reason, and the Company does not cure such event (other than the event in clause vi), which shall not be subject to cure) within 90 days following the receipt of such notice from Participant.</w:t>
      </w:r>
    </w:p>
    <w:p>
      <w:pPr>
        <w:spacing w:after="0" w:line="176" w:lineRule="exact"/>
        <w:rPr>
          <w:sz w:val="20"/>
          <w:szCs w:val="20"/>
          <w:color w:val="auto"/>
        </w:rPr>
      </w:pPr>
    </w:p>
    <w:p>
      <w:pPr>
        <w:jc w:val="both"/>
        <w:ind w:firstLine="8"/>
        <w:spacing w:after="0" w:line="254" w:lineRule="auto"/>
        <w:tabs>
          <w:tab w:leader="none" w:pos="598"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Participant represents that Participant has received and carefully read a copy of the Prospectus for the Plan,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Company’s most recent Annual Report to Stockholders. Participant hereby acknowledges that Participant is aware of the risks associated with the Shares and that there can be no assurance the price of the Shares will not decrease in the future. Participant hereby acknowledges no representations or statements have been made to Participant concerning the value or potential value of the Shares. Participant acknowledges that Participant has relied only on information contained in the Prospectus and has received no representations, written or oral, from the Company or its employees, attorneys or agents, other than those contained in the Prospectus or this Agreement. Participant acknowledges that the Company has made no representations or recommendations, and is not providing any tax, legal or financial advice,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88"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845"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Participant shall not transfer, assign, sell, encumber, pledge, grant a security interest in or otherwise dispose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 subject to this Agreement in any manner other than by the laws of descent or distribution. Any such transfer, assignment, sale, encumbrance, pledge, security interest or disposition shall be void.</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Forfeiture. </w:t>
      </w:r>
      <w:r>
        <w:rPr>
          <w:rFonts w:ascii="Times New Roman" w:cs="Times New Roman" w:eastAsia="Times New Roman" w:hAnsi="Times New Roman"/>
          <w:sz w:val="18"/>
          <w:szCs w:val="18"/>
          <w:color w:val="auto"/>
        </w:rPr>
        <w:t>If, at any time during Participant’s Continuous Service or at any time during the 12-month period following termination of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Service, Participant engages in conduct that constitutes Cause (as defined above), then at the election of the Committee, (a) this Agreement and all unvested Restricted Stock Units granted hereunder shall terminate, and (b) Participant shall return to the Company for cancellation all Shares held by Participant plus pay the Company the amount of any proceeds received from the sale of any Shares, to the extent such Shares were issued pursuant to Restricted Stock Units granted under this Agreement that vested (i) during the 12-month period immediately preceding the Cause, or (ii) on the date of or at any time after such Cause.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forfeiture provisions of this Section 4 shall be applied by the Committee, at its discretion, to the maximum extent permitted under applicable laws. Further, these provisions are in addition to, and not in lieu of, any recoupment requirements under the Sarbanes-Oxley Act or under other applicable laws, rules, regulations or stock exchange listing standards, including, without limitation, Section 954 of the Dodd-Frank Wall Street Reform and Consumer Protection Act of 2010 or Section 10D of the U.S. Securities Exchange Act of 1934, as amended, and shall apply notwithstanding anything to the contrary in this Agreement or in the Plan.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if Participant is or becomes subject to the Nu Skin Enterprises, Inc. Executive Officer Incentive Compensation Recovery Policy (the “Recovery Policy”), Participant agrees that any Restricted Stock Units granted hereunder may be terminated, any Shares held by Participant shall be returned to the Company, and any proceeds from the sale of such Shares shall be paid by Participant to the Company, to the extent the Company determines such actions are necessary to satisfy a recoupment requirement under the Recovery Policy.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 expressly agrees that the Company may take such actions as are necessary or appropriate to effectuate the foregoing provisions of this Section 4 (as applicable to Participant) or applicable law without further consent or action being required by Participant. For purposes of the foregoing and as a condition to the grant, Participant expressly and explicitly authorizes the Company to issue instructions, on Participant’s behalf, to Fidelity (or any other stock plan service provider engaged by the Company to administer awards granted under the Plan) to re-convey, transfer or otherwise return any Shares held by Participant and/or other amounts to the Company.</w:t>
      </w:r>
    </w:p>
    <w:p>
      <w:pPr>
        <w:spacing w:after="0" w:line="179" w:lineRule="exact"/>
        <w:rPr>
          <w:sz w:val="20"/>
          <w:szCs w:val="20"/>
          <w:color w:val="auto"/>
        </w:rPr>
      </w:pPr>
    </w:p>
    <w:p>
      <w:pPr>
        <w:jc w:val="both"/>
        <w:ind w:firstLine="8"/>
        <w:spacing w:after="0" w:line="268" w:lineRule="auto"/>
        <w:tabs>
          <w:tab w:leader="none" w:pos="634"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This Agreement incorporates by reference all of the terms and conditions of the Plan, as presently existing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amended. Participant expressly acknowledges and agrees that the terms and provisions of this Agreement are subject in all respects to the provisions of the Plan. Participant also expressly:</w:t>
      </w:r>
    </w:p>
    <w:p>
      <w:pPr>
        <w:spacing w:after="0" w:line="174" w:lineRule="exact"/>
        <w:rPr>
          <w:rFonts w:ascii="Times New Roman" w:cs="Times New Roman" w:eastAsia="Times New Roman" w:hAnsi="Times New Roman"/>
          <w:sz w:val="18"/>
          <w:szCs w:val="18"/>
          <w:b w:val="1"/>
          <w:bCs w:val="1"/>
          <w:color w:val="auto"/>
        </w:rPr>
      </w:pPr>
    </w:p>
    <w:p>
      <w:pPr>
        <w:ind w:left="660" w:right="20" w:hanging="4"/>
        <w:spacing w:after="0" w:line="282" w:lineRule="auto"/>
        <w:tabs>
          <w:tab w:leader="none" w:pos="140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receipt of the Plan and represents that Participant is familiar with the provisions of the Plan, and that Participant enters into this Agreement subject to all of the provisions of the Plan;</w:t>
      </w:r>
    </w:p>
    <w:p>
      <w:pPr>
        <w:spacing w:after="0" w:line="161"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that the Committee has been granted complete authority to administer the Plan in its sole discretion, and agrees to accept all decisions related to the Plan and all interpretations of the Plan made by the Committee as final and conclusive upon Participant and upon all persons at any time claiming any interest through Participant in the Restricted Stock Units or the Shares subject to this Agreement;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150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understands that the establishment of the Plan and the existence of this Agreement are not sufficient, in and of themselves, to exempt Participant from the requirements of Section 16(b) of the Exchange Act and any rules or regulations promulgated thereunder, and that Participant (to the extent Section 16(b) applies to Participant) shall not be exempt from such requirements pursuant to Rule 16b-3 unless and until Participant shall comply with all applicable requirements of Rule 16b-3, including without limitation, the possible requirement that Participant must not sell or otherwise dispose of any Shares acquired pursuant to Restricted Stock Units unless and until a period of at least six months shall have elapsed between the Grant Date and the date upon which Participant desires to sell or otherwise dispose of such Shares.</w:t>
      </w:r>
    </w:p>
    <w:p>
      <w:pPr>
        <w:spacing w:after="0" w:line="184" w:lineRule="exact"/>
        <w:rPr>
          <w:rFonts w:ascii="Times New Roman" w:cs="Times New Roman" w:eastAsia="Times New Roman" w:hAnsi="Times New Roman"/>
          <w:sz w:val="18"/>
          <w:szCs w:val="18"/>
          <w:color w:val="auto"/>
        </w:rPr>
      </w:pPr>
    </w:p>
    <w:p>
      <w:pPr>
        <w:jc w:val="both"/>
        <w:ind w:firstLine="8"/>
        <w:spacing w:after="0" w:line="262" w:lineRule="auto"/>
        <w:tabs>
          <w:tab w:leader="none" w:pos="720" w:val="left"/>
        </w:tabs>
        <w:numPr>
          <w:ilvl w:val="0"/>
          <w:numId w:val="84"/>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333333"/>
        </w:rPr>
        <w:t xml:space="preserve">Representations and Warranties. </w:t>
      </w:r>
      <w:r>
        <w:rPr>
          <w:rFonts w:ascii="Times New Roman" w:cs="Times New Roman" w:eastAsia="Times New Roman" w:hAnsi="Times New Roman"/>
          <w:sz w:val="18"/>
          <w:szCs w:val="18"/>
          <w:color w:val="333333"/>
        </w:rPr>
        <w:t>As a condition to the receipt of any Shares upon vesting of the Restricted Stock Units, the Company may</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color w:val="333333"/>
        </w:rPr>
        <w:t>require Participant to make any representations and warranties to the Company that legal counsel to the Company may determine to be required or advisable under any applicable law or regulation, including without limitation, representations and warranties that the Shares are being acquired only for investment and without any present intention or view to sell or distribute any such Shares.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both"/>
        <w:ind w:firstLine="8"/>
        <w:spacing w:after="0" w:line="254" w:lineRule="auto"/>
        <w:tabs>
          <w:tab w:leader="none" w:pos="801"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and Regulations. </w:t>
      </w:r>
      <w:r>
        <w:rPr>
          <w:rFonts w:ascii="Times New Roman" w:cs="Times New Roman" w:eastAsia="Times New Roman" w:hAnsi="Times New Roman"/>
          <w:sz w:val="18"/>
          <w:szCs w:val="18"/>
          <w:color w:val="auto"/>
        </w:rPr>
        <w:t>Notwithstanding any other provision of the Plan or this Agreement, unless there is an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any registration, qualification or other legal requirement applicable to the Shares, the Company shall not be required to deliver any Shares issuable upon settlement of the Restricted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71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Responsibility for Taxes. </w:t>
      </w:r>
      <w:r>
        <w:rPr>
          <w:rFonts w:ascii="Times New Roman" w:cs="Times New Roman" w:eastAsia="Times New Roman" w:hAnsi="Times New Roman"/>
          <w:sz w:val="18"/>
          <w:szCs w:val="18"/>
          <w:color w:val="auto"/>
        </w:rPr>
        <w:t>Participant acknowledges that, regardless of any action taken by the Company or, if different, Participant’s 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“Employer”), the ultimate liability for all income tax, social insurance, payroll tax, fringe benefits tax, payment on account or other tax-related items related to Participant’s participation in the Plan and legally applicable to Participant or deemed by the Company or the Employer in its discretion to be an appropriate charge to Participant even if legally applicable to the Company or the Employer (“Tax-Related Items”), is and remains Participant’s responsibility and may exceed the amount, if any, actually withheld by the Company or the Employer. Participant further acknowledges that the Company and the Employer (a) make no representations or undertakings regarding the treatment of any Tax-Related Items in connection with any aspect of the Restricted Stock Units, including, but not limited to, the grant, vesting or settlement of the Restricted Stock Units, the subsequent sale of any Shares acquired at settlement and the receipt of any dividends; and (b)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any relevant taxable or tax withholding event, as applicable, Participant agrees to make adequate arrangements satisfactory to the Company and/or the Employer to satisfy all Tax-Related Items.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Full payment of the Tax-Related Items shall be made by any of the following, or a combination thereof, subject to the Committee’s or Company’s right to eliminate, prior to vesting, any of the following as permissible payment methods: (i) in cash or cash equivalents (including certified check, bank check or wire transfer of immediately available funds); (ii) by tendering previously acquired Shares (either actually or by attestation) valued at their then-Fair Market Value; (iii) by withholding Shares otherwise issuable in connection with the vesting of the RSUs; (iv) through same-day voluntary or involuntary (on Participant’s behalf pursuant to this authorization) sales through a broker if permitted by the Company’s Securities Trading Policy; (v) withholding from Participant’s wages or other cash compensation paid to Participant by the Company and/or the Employer; or (vi) any combination of any of the foregoing. In the absence of Participant’s timely election or in the event Section 16(b) applies to Participant, the Company will withhold in Shares upon the relevant taxable or tax withholding event, as applicable. In the event that such withholding in Shares is problematic under applicable tax or securities law or has materially adverse accounting consequences, the Participant authorizes and directs the Company and/or the Employer, or their respective agents, at their discretion, to satisfy any applicable withholding obligation with regard to all Tax-Related Items by one or a combination of the methods above.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both"/>
        <w:spacing w:after="0" w:line="254" w:lineRule="auto"/>
        <w:rPr>
          <w:sz w:val="20"/>
          <w:szCs w:val="20"/>
          <w:color w:val="auto"/>
        </w:rPr>
      </w:pPr>
      <w:r>
        <w:rPr>
          <w:rFonts w:ascii="Times New Roman" w:cs="Times New Roman" w:eastAsia="Times New Roman" w:hAnsi="Times New Roman"/>
          <w:sz w:val="18"/>
          <w:szCs w:val="18"/>
          <w:color w:val="auto"/>
        </w:rPr>
        <w:t>Depending on the withholding method, the Company and/or the Employer may withhold or account for Tax-Related Items by considering applicable withholding rates in Participant’s jurisdiction(s) (up to the rate that will not cause an adverse accounting consequence or cost, including pursuant to ASC Topic 718, as applicable). If the Company and/or the Employer withhold more than the amount necessary to satisfy the liability for Tax-Related Items, Participant may receive a refund of any over-withheld amount in cash and will have no entitlement to the equivalent Shares, or if not refunded, Participant may be able to seek a refund from the applicable tax authorities. If the Company and/or the Employer withhold less than the amount necessary to satisfy the liability for Tax-Related Items, Participant may be required to pay additional Tax-Related Items directly to the applicable tax authorities or to the Company and/or the Employer.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76" w:lineRule="exact"/>
        <w:rPr>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In accepting the Restricted Stock Units, Participant acknowledges, understands and agrees that:</w:t>
      </w:r>
    </w:p>
    <w:p>
      <w:pPr>
        <w:spacing w:after="0" w:line="229" w:lineRule="exact"/>
        <w:rPr>
          <w:rFonts w:ascii="Times New Roman" w:cs="Times New Roman" w:eastAsia="Times New Roman" w:hAnsi="Times New Roman"/>
          <w:sz w:val="18"/>
          <w:szCs w:val="18"/>
          <w:b w:val="1"/>
          <w:bCs w:val="1"/>
          <w:color w:val="auto"/>
        </w:rPr>
      </w:pPr>
    </w:p>
    <w:p>
      <w:pPr>
        <w:ind w:left="660" w:hanging="4"/>
        <w:spacing w:after="0" w:line="282" w:lineRule="auto"/>
        <w:tabs>
          <w:tab w:leader="none" w:pos="137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modified,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jc w:val="both"/>
        <w:ind w:left="660" w:right="20" w:hanging="4"/>
        <w:spacing w:after="0" w:line="282" w:lineRule="auto"/>
        <w:tabs>
          <w:tab w:leader="none" w:pos="133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Restricted Stock Units is exceptional, voluntary and occasional and does not create any contractual or other right to receive future awards of Restricted Stock Units, or benefits in lieu of Restricted Stock Units even if Restricted Stock Units have been awarded in the past;</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127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in the Plan shall confer upon Participant any right to continue in the employment or service of the Employer, the Company or any Subsidiary or be interpreted as forming or amending an employment or services contract with the Employer, the Company or any Subsidiary and shall not interfere with or restrict any way the ability of the Employer, the Company or any Subsidiary, as applicable, to terminate Participant’s employment or service relationship, if any;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left="4" w:hanging="4"/>
        <w:spacing w:after="0" w:line="282" w:lineRule="auto"/>
        <w:tabs>
          <w:tab w:leader="none" w:pos="72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Restricted Stock Units or other grants, if any, will be at the sole discretion of the Committee and/or Company;</w:t>
      </w:r>
    </w:p>
    <w:p>
      <w:pPr>
        <w:spacing w:after="0" w:line="161" w:lineRule="exact"/>
        <w:rPr>
          <w:rFonts w:ascii="Times New Roman" w:cs="Times New Roman" w:eastAsia="Times New Roman" w:hAnsi="Times New Roman"/>
          <w:sz w:val="18"/>
          <w:szCs w:val="18"/>
          <w:color w:val="auto"/>
        </w:rPr>
      </w:pPr>
    </w:p>
    <w:p>
      <w:pPr>
        <w:ind w:left="704" w:hanging="704"/>
        <w:spacing w:after="0"/>
        <w:tabs>
          <w:tab w:leader="none" w:pos="70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participation in the Plan is voluntary;</w:t>
      </w:r>
    </w:p>
    <w:p>
      <w:pPr>
        <w:spacing w:after="0" w:line="225"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indeterminable and unpredictable;</w:t>
      </w:r>
    </w:p>
    <w:p>
      <w:pPr>
        <w:spacing w:after="0" w:line="225"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82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Restricted Stock Units and the Shares subject to the Restricted Stock Units, and the income and value of same, are not granted as consideration for, or in connection with, the service Participant may provide as a director of any entity of the Company;</w:t>
      </w:r>
    </w:p>
    <w:p>
      <w:pPr>
        <w:spacing w:after="0" w:line="175" w:lineRule="exact"/>
        <w:rPr>
          <w:rFonts w:ascii="Times New Roman" w:cs="Times New Roman" w:eastAsia="Times New Roman" w:hAnsi="Times New Roman"/>
          <w:sz w:val="18"/>
          <w:szCs w:val="18"/>
          <w:color w:val="auto"/>
        </w:rPr>
      </w:pPr>
    </w:p>
    <w:p>
      <w:pPr>
        <w:jc w:val="both"/>
        <w:ind w:left="4" w:hanging="4"/>
        <w:spacing w:after="0" w:line="254" w:lineRule="auto"/>
        <w:tabs>
          <w:tab w:leader="none" w:pos="69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Participant’s Continuous Service (as defined above) (for any reason whatsoever, whether or not later to be found invalid or in breach of employment laws in the jurisdiction where Participant is employed or the terms of Participant’s employment agreement, if any), unless otherwise determined by the Company, Participant’s right to vest in the Restricted Stock Units under the Plan, if any, will terminate as of the date Participant is no longer actively rendering services and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 the Committee shall have the exclusive discretion to determine when Participant is no longer providing Continuous Service for purposes of this Agreement, including whether Participant may still be considered to be providing active service while on a leave of absence;</w:t>
      </w:r>
    </w:p>
    <w:p>
      <w:pPr>
        <w:spacing w:after="0" w:line="191"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75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and the Shares subject to Restricted Stock Units, and the income and value of same, are not part of normal or expected compensation or salary for any purpose, including, but not limited to, calculation of any severance, resignation, termination, redundancy, dismissal, end-of-service payments, holiday pay, bonuses, long-service awards, leave-related pay, pension or retirement or welfare benefits or similar mandatory payments;</w:t>
      </w:r>
    </w:p>
    <w:p>
      <w:pPr>
        <w:spacing w:after="0" w:line="179" w:lineRule="exact"/>
        <w:rPr>
          <w:rFonts w:ascii="Times New Roman" w:cs="Times New Roman" w:eastAsia="Times New Roman" w:hAnsi="Times New Roman"/>
          <w:sz w:val="18"/>
          <w:szCs w:val="18"/>
          <w:color w:val="auto"/>
        </w:rPr>
      </w:pPr>
    </w:p>
    <w:p>
      <w:pPr>
        <w:ind w:left="4" w:right="20" w:hanging="4"/>
        <w:spacing w:after="0" w:line="282" w:lineRule="auto"/>
        <w:tabs>
          <w:tab w:leader="none" w:pos="59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and the Shares subject to Restricted Stock Units, and the income and value of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ind w:left="4" w:hanging="4"/>
        <w:spacing w:after="0" w:line="282" w:lineRule="auto"/>
        <w:tabs>
          <w:tab w:leader="none" w:pos="63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are an extraordinary item that does not constitute compensation of any kind for service of any kind rendered to the Company or to the Employer, and Restricted Stock Units are outside of the scope of Participant’s employment agreement, if any;</w:t>
      </w:r>
    </w:p>
    <w:p>
      <w:pPr>
        <w:spacing w:after="0" w:line="160"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no claim or entitlement to compensation or damages shall arise from forfeiture of Restricted Stock Units resulting from termination of Participant’s Continuous Service (for any reason whatsoever, whether or not later found to be invalid or in breach of employment laws in the jurisdiction where Participant is employed or the terms of Participant’s employment agreement, if any); and</w:t>
      </w:r>
    </w:p>
    <w:p>
      <w:pPr>
        <w:spacing w:after="0" w:line="34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16" w:name="page117"/>
    <w:bookmarkEnd w:id="116"/>
    <w:p>
      <w:pPr>
        <w:jc w:val="both"/>
        <w:ind w:left="660" w:hanging="4"/>
        <w:spacing w:after="0" w:line="266" w:lineRule="auto"/>
        <w:tabs>
          <w:tab w:leader="none" w:pos="131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Employer nor any Subsidiary of the Company shall be liable for any foreign exchange rate fluctuation between Participant’s local currency and the United States Dollar that may affect the value of Restricted Stock Units or of any amounts due to Participant pursuant to the settlement of the Restricted Stock Units or the subsequent sale of any Shares acquired upon settlement.</w:t>
      </w:r>
    </w:p>
    <w:p>
      <w:pPr>
        <w:spacing w:after="0" w:line="171" w:lineRule="exact"/>
        <w:rPr>
          <w:rFonts w:ascii="Times New Roman" w:cs="Times New Roman" w:eastAsia="Times New Roman" w:hAnsi="Times New Roman"/>
          <w:sz w:val="18"/>
          <w:szCs w:val="18"/>
          <w:color w:val="auto"/>
        </w:rPr>
      </w:pPr>
    </w:p>
    <w:p>
      <w:pPr>
        <w:jc w:val="both"/>
        <w:ind w:firstLine="8"/>
        <w:spacing w:after="0" w:line="262" w:lineRule="auto"/>
        <w:tabs>
          <w:tab w:leader="none" w:pos="62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Data Privacy Notice and Consent.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or other form, of Participant’s personal data, as described in this Agreement and any other Restricted Stock Unit grant materials by and among, as applicable, the Employer, the Company and Subsidiaries for the exclusive purpose of implementing, administering and managing Participant’s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Employer, the Company and Subsidiaries may hold certain personal information about Participant, including, but not limited to, Participant’s name, home address, email address, telephone number, date of birth, social security number, passport information, social insurance number or other identification number, salary, nationality, job title, any Shares or directorships held in the Company, details of all Restricted Stock Units or any other entitlement to Shares or other equivalent benefits awarded, canceled, purchased, exercised, vested, unvested or outstanding in Participant’s favor (“Data”), for the exclusive purpose of implementing, administering and managing the Plan.</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 be affected; the only consequence of refusing or withdrawing Participant’s consent is that the Company may not be able to grant Restricted Stock Units or other equity awards to Participant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Upon request of the Company or the Employer, Participant agrees to provide an executed data privacy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he or she will not be able to participate in the Plan if Participant fails to provide any such consent or agreement as requested by the Company and/or the Employer.</w:t>
      </w:r>
    </w:p>
    <w:p>
      <w:pPr>
        <w:spacing w:after="0" w:line="179" w:lineRule="exact"/>
        <w:rPr>
          <w:sz w:val="20"/>
          <w:szCs w:val="20"/>
          <w:color w:val="auto"/>
        </w:rPr>
      </w:pPr>
    </w:p>
    <w:p>
      <w:pPr>
        <w:ind w:left="680" w:hanging="672"/>
        <w:spacing w:after="0"/>
        <w:tabs>
          <w:tab w:leader="none" w:pos="6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 Notices. </w:t>
      </w:r>
      <w:r>
        <w:rPr>
          <w:rFonts w:ascii="Times New Roman" w:cs="Times New Roman" w:eastAsia="Times New Roman" w:hAnsi="Times New Roman"/>
          <w:sz w:val="18"/>
          <w:szCs w:val="18"/>
          <w:color w:val="auto"/>
        </w:rPr>
        <w:t>Any notice required to be given under this Agreement shall be in writing and shall be deemed effective upon personal delivery or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in the sender’s local mail, registered or certified, postage prepaid and properly addressed to the party entitled to such notice at the latest address on file or at such other address as such party may designate by ten days advance written notice under this Section to all other parties to this Agreement.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 Waiver. </w:t>
      </w:r>
      <w:r>
        <w:rPr>
          <w:rFonts w:ascii="Times New Roman" w:cs="Times New Roman" w:eastAsia="Times New Roman" w:hAnsi="Times New Roman"/>
          <w:sz w:val="18"/>
          <w:szCs w:val="18"/>
          <w:color w:val="auto"/>
        </w:rPr>
        <w:t>The failure of the Company in any instance to exercise any rights under this Agreement, including the forfeiture rights under Section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constitute a waiver of any other rights that may subsequently arise under the provisions of this Agreement or any other agreement between the Company and Participant. Participant acknowledges that no waiver by the Company of any breach of any provision of this Agreement shall operate or be construed as a waiver of any other provision of this Agreement, or of any subsequent breach by Participant or any other Participant, whether of like or different nature.</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11.3 Imposition of Other Requirements &amp; Participant Undertaking. </w:t>
      </w:r>
      <w:r>
        <w:rPr>
          <w:rFonts w:ascii="Times New Roman" w:cs="Times New Roman" w:eastAsia="Times New Roman" w:hAnsi="Times New Roman"/>
          <w:sz w:val="18"/>
          <w:szCs w:val="18"/>
          <w:color w:val="auto"/>
        </w:rPr>
        <w:t>The Company reserves the right to impose other requirements on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on the Restricted Stock Units and on any Shares acquired under the Plan, to the extent the Company determines it is necessary or advisable for legal or administrative reasons. Participant hereby agrees to take whatever additional action and execute whatever additional documents the Company may deem necessary or advisable in order to carry out the foregoing or one or more of the obligations or restrictions imposed on either Participant or the Shares pursuant to the provisions of this Agreement.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 Entire Contract. </w:t>
      </w:r>
      <w:r>
        <w:rPr>
          <w:rFonts w:ascii="Times New Roman" w:cs="Times New Roman" w:eastAsia="Times New Roman" w:hAnsi="Times New Roman"/>
          <w:sz w:val="18"/>
          <w:szCs w:val="18"/>
          <w:color w:val="auto"/>
        </w:rPr>
        <w:t>This Agreement and the Plan constitute the entire understanding and agreement of the parties with respect to the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This Agreement is made pursuant to, and incorporates by reference, the provisions of the Plan and shall in all respects be construed in conformity with the terms of the Plan.</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 Language. </w:t>
      </w:r>
      <w:r>
        <w:rPr>
          <w:rFonts w:ascii="Times New Roman" w:cs="Times New Roman" w:eastAsia="Times New Roman" w:hAnsi="Times New Roman"/>
          <w:sz w:val="18"/>
          <w:szCs w:val="18"/>
          <w:color w:val="auto"/>
        </w:rPr>
        <w:t>Participant acknowledges that he or she is sufficiently proficient in English, or, alternatively, Participant acknowledges that he or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seek appropriate assistance to understand the terms and conditions in this Agreement. Furthermore,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 Electronic Delivery and Acceptance. </w:t>
      </w:r>
      <w:r>
        <w:rPr>
          <w:rFonts w:ascii="Times New Roman" w:cs="Times New Roman" w:eastAsia="Times New Roman" w:hAnsi="Times New Roman"/>
          <w:sz w:val="18"/>
          <w:szCs w:val="18"/>
          <w:color w:val="auto"/>
        </w:rPr>
        <w:t>The Company may, in its sole discretion, decide to deliver any documents related to current or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11.7 Successors and Assigns. </w:t>
      </w:r>
      <w:r>
        <w:rPr>
          <w:rFonts w:ascii="Times New Roman" w:cs="Times New Roman" w:eastAsia="Times New Roman" w:hAnsi="Times New Roman"/>
          <w:sz w:val="18"/>
          <w:szCs w:val="18"/>
          <w:color w:val="auto"/>
        </w:rPr>
        <w:t>The provisions of this Agreement shall inure to the benefit of, and be binding upon, the Company and its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and upon Participant, Participant’s permitted assigns and the legal representatives, heirs and legatees of Participant’s estate, whether or not any such person shall have become a party to this Agreement and have agreed in writing to join herein and be bound by the terms hereof. Participant may not assign this Agreement other than by the laws of descent and distribution.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11.8 Severability. </w:t>
      </w:r>
      <w:r>
        <w:rPr>
          <w:rFonts w:ascii="Times New Roman" w:cs="Times New Roman" w:eastAsia="Times New Roman" w:hAnsi="Times New Roman"/>
          <w:sz w:val="18"/>
          <w:szCs w:val="18"/>
          <w:color w:val="auto"/>
        </w:rPr>
        <w:t>In the event that any provision in this Agreement will be held invalid or unenforceable, such provision will be severable from,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invalidity or unenforceability will not be construed to have any effect on, the remaining provisions of this Agreement.</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11.9 Governing Law and Choice of Venue. </w:t>
      </w:r>
      <w:r>
        <w:rPr>
          <w:rFonts w:ascii="Times New Roman" w:cs="Times New Roman" w:eastAsia="Times New Roman" w:hAnsi="Times New Roman"/>
          <w:sz w:val="18"/>
          <w:szCs w:val="18"/>
          <w:color w:val="auto"/>
        </w:rPr>
        <w:t>The Restricted Stock Units and the provisions of this Agreement shall be governed by, and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Utah, United States, without regard to the conflict of law provisions, as provided in the Plan. For purposes of litigating any dispute that arises under this Agreement or this grant of Restricted Stock Units, the parties hereby submit to and consent to the jurisdiction of the State of Utah, agree that such litigation shall be conducted in the courts of Utah County, Utah, or the federal courts of the United States for the District of Utah, where this grant is made and/or to be performed.</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11.10 Appendix. </w:t>
      </w:r>
      <w:r>
        <w:rPr>
          <w:rFonts w:ascii="Times New Roman" w:cs="Times New Roman" w:eastAsia="Times New Roman" w:hAnsi="Times New Roman"/>
          <w:sz w:val="18"/>
          <w:szCs w:val="18"/>
          <w:color w:val="auto"/>
        </w:rPr>
        <w:t>Notwithstanding any provisions in this Agreement, the Restricted Stock Units shall be subject to any special terms and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any Appendix to this Agreement for Participant’s country. Moreover, if Participant relocates to one of the countries included in the Appendix, the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11.11 Insider Trading Restrictions/Market Abuse Laws</w:t>
      </w:r>
      <w:r>
        <w:rPr>
          <w:rFonts w:ascii="Times New Roman" w:cs="Times New Roman" w:eastAsia="Times New Roman" w:hAnsi="Times New Roman"/>
          <w:sz w:val="18"/>
          <w:szCs w:val="18"/>
          <w:color w:val="auto"/>
        </w:rPr>
        <w:t>. Participant acknowledges that, depending on Participant’s country, broker’s country,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Shares are listed, Participant may be subject to insider trading and/or market abuse laws which may affect Participant’s ability to accept, acquire, sell or otherwise dispose of Shares, rights to such shares (e.g., Restricted Stock Units) or rights linked to the value of Shares under the Plan during such times as Participant is considered to have “material nonpublic information” or “inside information” regarding the Company (as defined by the laws or regulations in the relevant jurisdiction). Local insider trading laws and regulations may prohibit the cancellation or amendment of orders Participant places before Participant possessed inside information. Furthermore, Participant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Participant acknowledges that it is his or her responsibility to comply with any applicable restrictions, and that Participant should speak to his or her personal advisor on this matter.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11.12 Exchange Control Tax and Foreign Asset/Account Reporting Requirements</w:t>
      </w:r>
      <w:r>
        <w:rPr>
          <w:rFonts w:ascii="Times New Roman" w:cs="Times New Roman" w:eastAsia="Times New Roman" w:hAnsi="Times New Roman"/>
          <w:sz w:val="18"/>
          <w:szCs w:val="18"/>
          <w:color w:val="auto"/>
        </w:rPr>
        <w:t>. Participant acknowledges that there may be exchange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foreign asset and/or account reporting requirements which may affect Participant’s ability to acquire or hold Shares acquired under the Plan or cash received from participating in the Plan (including from any dividends paid on Shares acquired under the Plan) in a brokerage, bank account or legal entity outside Participant’s country. Participant may be required to report such accounts, balances, assets and/or the related transactions to the tax or other authorities in his or her country. Participant also may be required to repatriate sale proceeds or other funds received as a result of Participant’s participation in the Plan to his or her country through a designated bank or broker within a certain time after receipt. Participant acknowledges that it is Participant’s responsibility to be compliant with such regulations and Participant should consult his or her personal legal advisor for any details. Participant agrees to take any and all actions, and consents to any and all actions taken by the Company or the Employer as may be required to allow the Company or the Employer to comply with local laws, rules and regulations in Participant’s country of residence (and country of employment, if different). Finally, Participant agrees to take any and all actions as may be required to comply with Participant’s personal legal and tax obligations under local laws, rules and regulations in Participant’s country of residence (and country of employment, if different).</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11.13 Section 409A</w:t>
      </w:r>
      <w:r>
        <w:rPr>
          <w:rFonts w:ascii="Times New Roman" w:cs="Times New Roman" w:eastAsia="Times New Roman" w:hAnsi="Times New Roman"/>
          <w:sz w:val="18"/>
          <w:szCs w:val="18"/>
          <w:color w:val="auto"/>
        </w:rPr>
        <w:t>. The Restricted Stock Units and issuance of Shares thereunder are intended to comply with Code Section 409A and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Regulations relating thereto so as not to subject the Participant to the payment of additional taxes and interest under Code Section 409A or other adverse tax consequences. In furtherance of this intent, the provisions of this Agreement will be interpreted, operated, and administered in a manner consistent with these intentions. The Committee may modify the terms of this Agreement, the Plan or both, without the consent of the Participant,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Section 11.12 does not create an obligation on the part of the Company to modify the terms of this Agreement or the Plan and does not guarantee that the Restricted Stock Units or the delivery of Shares upon vesting/settlement of the Restricted Stock Units will not be subject to taxes, interest and penalties or any other adverse tax consequences under Code Section 409A. Nothing in this Agreement shall provide a basis for any person to take any action against the Company or any of its Subsidiaries based on matters covered by Code Section 409A, including the tax treatment of any amounts paid under this Agreement, and neither the Company nor any of its Subsidiaries will have any liability under any circumstances to the Participant or any other party if the Restricted Stock Units, the delivery of Shares upon vesting/settlement of the Restricted Stock Units or other payment or tax event hereunder that is intended to be exempt from, or compliant with, Code Section 409A, is not so exempt or compliant or for any action taken by the Committee with respect thereto. Further, settlement of any portion of the Restricted Stock Units that is Deferred Compensation may not be accelerated or postponed except to the extent permitted by Code Section 409A.</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By electronically accepting this Agreement and participating in the Plan, Participant agrees to be bound by the terms and conditions in the Plan and this Agreement, including the Appendix. Within six months of the Grant Date, if Participant has not electronically accepted this Agreement on Fidelity’s website, or the website of any other stock plan service provider appointed by the Company, and has not otherwise rejected the grant, then this award shall automatically be deemed accepted, and Participant shall be bound by the terms and conditions in the Plan and this Agreement, including the Appendix.</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PARTICIPANTS OUTSIDE THE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2010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capitalized terms in this Appendix shall have the same defined meaning assigned to them in the Plan and the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Appendix includes special country-specific terms and conditions that apply to Participants in the countries listed below. This Appendix is part of the Agreement. This Appendix also includes information of which Participant should be aware with respect to his or her participation in the Plan. For example, certain individual exchange control reporting requirements may apply upon vesting of the Restricted Stock Units and/or sale of Shares. The information is based on the securities, exchange control and other laws in effect in the respective countries as of November 2023 and is provided for informational purposes. Such laws are often complex and change frequently, and results may be different based on the particular facts and circumstances. As a result, the Company recommends that Participant does not rely on the information noted herein as the only source of information relating to the consequences of Participant’s participation in the Plan because the information may be out of date at the time the Restricted Stock Units vest or are settled, or Participant sells Shares acquired under the Plan.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his or her situation.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other than the one in which he or she currently is residing and/or working, transfers employment after the Restricted Stock Units are granted to him or her, or is considered a resident of another country for local law purposes, the terms and conditions and/or notifications contained herein may not be applicable to him or her, and the Company shall, in its discretion, determine to what extent such terms and conditions contained herein shall apply to him or 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DATA PRIVACY PROVISIONS APPLICABLE TO GRANTEES IN THE EUROPEAN UNION/EUROPEAN ECONOMIC AREA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replaces Section 10 of the Agreement: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Data Collection and Usage</w:t>
      </w:r>
      <w:r>
        <w:rPr>
          <w:rFonts w:ascii="Times New Roman" w:cs="Times New Roman" w:eastAsia="Times New Roman" w:hAnsi="Times New Roman"/>
          <w:sz w:val="18"/>
          <w:szCs w:val="18"/>
          <w:color w:val="auto"/>
        </w:rPr>
        <w:t>. Pursuant to applicable data protection laws, Participant is hereby notified that the Company collects, processes, uses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certain personally-identifiable information about Participant for the exclusive legitimate purpose of granting Restricted Stock Units and implementing, administering and managing Participant’s participation in the Plan. Specifics of the data processing are described below. For California residents, the categories of personal information,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personal information is not sold or shared for cross-context behavioral advertising. The Company’s Global Privacy Notice is available at https://www.nuskin.com/content/global-privacy.html.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Controller, EU Representative and DPO</w:t>
      </w:r>
      <w:r>
        <w:rPr>
          <w:rFonts w:ascii="Times New Roman" w:cs="Times New Roman" w:eastAsia="Times New Roman" w:hAnsi="Times New Roman"/>
          <w:sz w:val="18"/>
          <w:szCs w:val="18"/>
          <w:color w:val="auto"/>
        </w:rPr>
        <w:t>. The Company is the controller responsible for the processing of Participant’s personal data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Company’s representative in the European Union is NSE Products Europe BV, Da Vincilaan 9, 1930 Zaventem, Belgium, telephone number +32 2 722 70 00. Participant can reach the data protection officer (“DPO”) of the Company at +1 (801) 345-1000, 75 West Center Street, Provo, Utah 84601.</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Personal Data Subject to Processing</w:t>
      </w:r>
      <w:r>
        <w:rPr>
          <w:rFonts w:ascii="Times New Roman" w:cs="Times New Roman" w:eastAsia="Times New Roman" w:hAnsi="Times New Roman"/>
          <w:sz w:val="18"/>
          <w:szCs w:val="18"/>
          <w:color w:val="auto"/>
        </w:rPr>
        <w:t>. The Company collects, processes and uses the following types of personal data about Participant: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home address and telephone number, email address, date of birth, social insurance, passport number or other identification number, salary, nationality, job title, any Shares or directorships held in the Company, details of all Restricted Stock Units or any other entitlement to Shares awarded, canceled, settled, vested, unvested or outstanding in Participant’s favor, which the Company receives from Participant or the Employer, as well as Participant’s hire date, term date, term reason code, status, and Company’s Division (“Personal Data”).</w:t>
      </w:r>
    </w:p>
    <w:p>
      <w:pPr>
        <w:spacing w:after="0" w:line="179"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b w:val="1"/>
          <w:bCs w:val="1"/>
          <w:color w:val="auto"/>
        </w:rPr>
        <w:t>Purposes and Legal Bases of Processing</w:t>
      </w:r>
      <w:r>
        <w:rPr>
          <w:rFonts w:ascii="Times New Roman" w:cs="Times New Roman" w:eastAsia="Times New Roman" w:hAnsi="Times New Roman"/>
          <w:sz w:val="18"/>
          <w:szCs w:val="18"/>
          <w:color w:val="auto"/>
        </w:rPr>
        <w:t>. The Company processes the Personal Data for the purpose of granting Restricted Stock Units, implementing,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and managing Participant’s participation in the Plan. 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described below is the necessity of the data processing for the Company to perform its contractual obligations under the Agreement and generally administering employee equity awards.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Stock Plan Administration Service Providers</w:t>
      </w:r>
      <w:r>
        <w:rPr>
          <w:rFonts w:ascii="Times New Roman" w:cs="Times New Roman" w:eastAsia="Times New Roman" w:hAnsi="Times New Roman"/>
          <w:sz w:val="18"/>
          <w:szCs w:val="18"/>
          <w:color w:val="auto"/>
        </w:rPr>
        <w:t>. The Company transfers Personal Data to Fidelity Stock Plan Services, LLC and its affiliated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“Fidelity”), an independent stock plan administrator with operations, relevant to the Company, in the United States, which assists the Company with the implementation, administration and management of the Plan. In the future, the Company may select different service providers and may share Personal Data with such service providers. As a data controller, the Company’s stock plan administrator will open an account for Participant to receive and trade Shares. Participant will be asked to agree on separate terms and data processing practices with the service provider, which is a condition of Participant’s ability to participate in the Plan. Participant’s Personal Data will only be accessible by those individuals requiring access to it for purposes of implementing, administering and operating Participant’s participation in the Plan. Participant understands that Participant may request a list with the names and addresses of any potential recipients of Personal Data by contacting Participant’s local human resources representative.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International Data Transfers</w:t>
      </w:r>
      <w:r>
        <w:rPr>
          <w:rFonts w:ascii="Times New Roman" w:cs="Times New Roman" w:eastAsia="Times New Roman" w:hAnsi="Times New Roman"/>
          <w:sz w:val="18"/>
          <w:szCs w:val="18"/>
          <w:color w:val="auto"/>
        </w:rPr>
        <w:t>. The Company and its service providers, including, without limitation, Fidelity, operate, relevant to the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which means that it will be necessary for Personal Data to be transferred to, and processed in, the United States. Participant understands and acknowledges that the United States is not subject to an unlimited adequacy finding by the European Commission and that Participant’s Personal Data may not have an equivalent level of protection as compared to Participant’s country of residence.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is the necessity of the data processing for the Company to perform its contractual obligations under the Agreement and generally administering employee equity awards.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Data Retention</w:t>
      </w:r>
      <w:r>
        <w:rPr>
          <w:rFonts w:ascii="Times New Roman" w:cs="Times New Roman" w:eastAsia="Times New Roman" w:hAnsi="Times New Roman"/>
          <w:sz w:val="18"/>
          <w:szCs w:val="18"/>
          <w:color w:val="auto"/>
        </w:rPr>
        <w:t>. The Company will use the Personal Data only as long as necessary to implement, administer and manage Participant’s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or as required to comply with legal or regulatory obligations, including tax and securities laws. When the Company no longer needs the Personal Data, the Company will remove it from its systems. If the Company keeps data longer, it would be to satisfy tax, legal or regulatory obligations and the Company’s legal basis would be relevant laws or regulations.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Data Subject Rights</w:t>
      </w:r>
      <w:r>
        <w:rPr>
          <w:rFonts w:ascii="Times New Roman" w:cs="Times New Roman" w:eastAsia="Times New Roman" w:hAnsi="Times New Roman"/>
          <w:sz w:val="18"/>
          <w:szCs w:val="18"/>
          <w:color w:val="auto"/>
        </w:rPr>
        <w:t>. To the extent provided by law, Participant has the right to (i) inquire whether and what kind of Personal Data the Company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Participant and how it is processed, and to access or request copies of such Personal Data, (ii) request the correction or supplementation of Personal Data that is inaccurate, incomplete or out-of-date in light of the purposes underlying the processing, or (iii) obtain the erasure of Personal Data no longer necessary for the purposes underlying the processing or processed in non-compliance with applicable legal requirements. In addition, Participant has, to the extent provided by law, the right to (iv) request the Company to restrict the processing of Personal Data in certain situations where Participant feels its processing is inappropriate, (v) object, in certain circumstances, to the processing of Personal Data for legitimate interests, and to (vi) request portability of Personal Data that Participant has actively or passively provided to the Company, where the processing of such Personal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Agreement or to exercise his or her rights, Participant should contact his or her local human resources representative.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Contractual Requirement</w:t>
      </w:r>
      <w:r>
        <w:rPr>
          <w:rFonts w:ascii="Times New Roman" w:cs="Times New Roman" w:eastAsia="Times New Roman" w:hAnsi="Times New Roman"/>
          <w:sz w:val="18"/>
          <w:szCs w:val="18"/>
          <w:color w:val="auto"/>
        </w:rPr>
        <w:t>. Participant’s provision of Personal Data and its processing as described above is required for the performance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obligations pursuant to the Plan and a condition to Participant’s ability to participate in the Plan. Participant understands that, as a consequence of Participant’s refusing to provide Personal Data, the Company may not be able to allow Participant to participate in the Plan, grant Restricted Stock Units to Participant or administer or maintain such Restricted Stock Units. However, Participant’s participation in the Plan and his or her acceptance of this Agreement are purely voluntary. While Participant will not receive Restricted Stock Units if he or she decides against participating in the Plan or providing Personal Data as described above, Participant’s career and salary will not be affected in any way. For more information on the consequences of the refusal to provide Personal Data, Participant may contact his or her local human resources representative.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AUSTRALIA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Nature of Plan</w:t>
      </w:r>
      <w:r>
        <w:rPr>
          <w:rFonts w:ascii="Times New Roman" w:cs="Times New Roman" w:eastAsia="Times New Roman" w:hAnsi="Times New Roman"/>
          <w:sz w:val="18"/>
          <w:szCs w:val="18"/>
          <w:color w:val="auto"/>
        </w:rPr>
        <w:t>. The Plan and the Agreement is a plan to which Subdivision 83A-C of the Income Tax Assessment Act 1997 (Cth) (the “Act”) applies (subject to the conditions in the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the Restricted Stock Units is being made under Division 1A Part 7.12 of the Corporations Act 2001 (Cth). If Participant offers Shares acquired under the Plan for sale to a person or entity resident in Australia, the offer may be subject to disclosure requirements under Australian law. Participant should obtain legal advice on any disclosure obligations prior to making any such offer.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123" w:name="page124"/>
    <w:bookmarkEnd w:id="123"/>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Exchange control reporting is required for cash transactions exceeding AUD10,000 and for international fund transfers. If an Australian bank is assisting with the transaction, the bank will file the report on the Participant’s behalf.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BELGIUM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is required to report any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Shares acquired under the Plan) or bank accounts established outside of Belgium on his or her annual tax return. In a separate report, Belgian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Participant should consult a personal tax advisor with respect to the applicable reporting obligations.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Annual Securities Accounts Tax</w:t>
      </w:r>
      <w:r>
        <w:rPr>
          <w:rFonts w:ascii="Times New Roman" w:cs="Times New Roman" w:eastAsia="Times New Roman" w:hAnsi="Times New Roman"/>
          <w:sz w:val="18"/>
          <w:szCs w:val="18"/>
          <w:color w:val="auto"/>
        </w:rPr>
        <w:t>. An annual securities accounts tax may be payable if the total value of securities 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Participant should consult with a personal tax or financial advisor for additional details on Participant’s obligations with respect to the annual securities account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CANADA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Restricted Stock Units Only Payable in Shares</w:t>
      </w:r>
      <w:r>
        <w:rPr>
          <w:rFonts w:ascii="Times New Roman" w:cs="Times New Roman" w:eastAsia="Times New Roman" w:hAnsi="Times New Roman"/>
          <w:sz w:val="18"/>
          <w:szCs w:val="18"/>
          <w:color w:val="auto"/>
        </w:rPr>
        <w:t>. Notwithstanding any discretion in the Plan, the Restricted Stock Units will be settled in Shares only. The grant of Restricted Stock Units does not provide any right for Participant to receive a cash payment.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Participant acknowledges and agrees that he or she will sell Shares acquired through participation in the Plan only outside of Canada through the facilities of a stock exchange on which the Shares are listed. The Shares are currently listed on the New York Stock Exchange in the United States.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is required to report any specified foreign property (including Shares) annually on Form T1135 (Foreign Income Verification Statement) if the total cost of Participant’s specified foreign property exceeds C$100,000 at any time during the year. The form must be filed by April 30th of the following year. Specified foreign property includes Shares acquired under the Plan and may include Restricted Stock Units. The Restricted Stock Units must be reported</w:t>
      </w:r>
      <w:r>
        <w:rPr>
          <w:rFonts w:ascii="Arial" w:cs="Arial" w:eastAsia="Arial" w:hAnsi="Arial"/>
          <w:sz w:val="18"/>
          <w:szCs w:val="18"/>
          <w:color w:val="auto"/>
        </w:rPr>
        <w:t>‒</w:t>
      </w:r>
      <w:r>
        <w:rPr>
          <w:rFonts w:ascii="Times New Roman" w:cs="Times New Roman" w:eastAsia="Times New Roman" w:hAnsi="Times New Roman"/>
          <w:sz w:val="18"/>
          <w:szCs w:val="18"/>
          <w:color w:val="auto"/>
        </w:rPr>
        <w:t>generally at a nil cost</w:t>
      </w:r>
      <w:r>
        <w:rPr>
          <w:rFonts w:ascii="Arial" w:cs="Arial" w:eastAsia="Arial" w:hAnsi="Arial"/>
          <w:sz w:val="18"/>
          <w:szCs w:val="18"/>
          <w:color w:val="auto"/>
        </w:rPr>
        <w:t>‒</w:t>
      </w:r>
      <w:r>
        <w:rPr>
          <w:rFonts w:ascii="Times New Roman" w:cs="Times New Roman" w:eastAsia="Times New Roman" w:hAnsi="Times New Roman"/>
          <w:sz w:val="18"/>
          <w:szCs w:val="18"/>
          <w:color w:val="auto"/>
        </w:rPr>
        <w:t>if the C$100,000 cost threshold is exceeded because of other foreign property Participant holds. If Shares are acquired, their cost generally is the adjusted cost base (“ACB”) of the Shares. The ACB would normally equal the fair market value of the Shares at vesting for Restricted Stock Units, but if Participant owns other shares, this ACB may have to be averaged with the ACB of the other shares. It is Participant’s responsibility to comply with applicable reporting obligations.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provisions apply if Participant is resident in Quebec: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Participant hereby authorizes the Company, the Employer and their representatives, including any broker(s) designated by the Company to discuss with and obtain all relevant information from all personnel, professional or not, involved in the administration and operation of the Plan. Participant further authorizes the Company and its Subsidiaries to disclose and discuss the Plan with their advisors. Participant further authorizes the Company and its Subsidiaries to record such information and to keep such information in the his or her employee file. Participant acknowledges and agree that Participant’s personal information, including any sensitive personal information, may be transferred or disclosed outside the province of Quebec, including to the U.S. If applicable, Participant also acknowledges and authorizes the Company, the Company’s Subsidiaries, the administrator of the Plan and any third party brokers/administrators that are assisting the Company with the operation and administration of the Plan to use technology for profiling purposes and to make automated decisions that may have an impact on Participant or the administration of the Plan.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Translation</w:t>
      </w:r>
      <w:r>
        <w:rPr>
          <w:rFonts w:ascii="Times New Roman" w:cs="Times New Roman" w:eastAsia="Times New Roman" w:hAnsi="Times New Roman"/>
          <w:sz w:val="18"/>
          <w:szCs w:val="18"/>
          <w:color w:val="auto"/>
        </w:rPr>
        <w:t>. Participant understands that they are entitled to receive the Agreement, the Plan and potentially other documents related to the Restricted Stock Units translated into French, and if so requested, the Company will use its best efforts to provide the French translation as expediently as possible. If Participant does not request a French translation, it is understood that Participant prefers to receive the documents related to the Plan in the English language and agree that the English documents govern the Restricted Stock Units.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Traduction</w:t>
      </w:r>
      <w:r>
        <w:rPr>
          <w:rFonts w:ascii="Times New Roman" w:cs="Times New Roman" w:eastAsia="Times New Roman" w:hAnsi="Times New Roman"/>
          <w:sz w:val="18"/>
          <w:szCs w:val="18"/>
          <w:i w:val="1"/>
          <w:iCs w:val="1"/>
          <w:color w:val="auto"/>
        </w:rPr>
        <w:t>. Participant comprend qu’il a le droit de recevoir l’accord, le plan et potentiellement d’autres documents liés aux unités d’actions restreintes traduits en français, et si cela est demandé, la Société fera de son mieux pour fournir la traduction française aussi rapidement que possible. Si Participant ne demande pas de traduction en français, il est entendu qu’il préfère recevoir les documents relatifs au Plan en langue anglaise et accepte que les documents en anglais régissent les Unités d’actions restreintes.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CHINA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The following provisions apply only to Participants who are subject to exchange control restrictions imposed by the State Administration of Foreign Exchange (“SAFE”), as determined by the Company in its sole discretion: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Restricted Stock Units</w:t>
      </w:r>
      <w:r>
        <w:rPr>
          <w:rFonts w:ascii="Times New Roman" w:cs="Times New Roman" w:eastAsia="Times New Roman" w:hAnsi="Times New Roman"/>
          <w:sz w:val="18"/>
          <w:szCs w:val="18"/>
          <w:color w:val="auto"/>
        </w:rPr>
        <w:t>. This provision supplements Section 1.4 of the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Restricted Stock Units will only vest if and when the Company has completed the registration of the Plan with SAFE and provided such registration remains effective. If the Company is unable to complete the registration or maintain the registration, the settlement of the Restricted Stock Units may be delayed. Shares issued to Participant under the Plan must be maintained in an account with Fidelity or such other broker as may be designated by the Company until the Shares are sold through that broker. Due to local regulatory requirements, Participant agrees that the Company may force the sale of any Shares obtained at vesting. The sale may occur immediately upon vesting or within any other time frame as the Company determines to be necessary or advisable for legal or administrative reasons.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due to regulatory requirements, Participant acknowledges and agrees that Participant must sell any Shares issued to Participant upon vesting of the Restricted Stock Units as soon as practicable following the termination of Participant’s Continuous Service and in no event later than six months following the termination of Participant’s Continuous Service, or within any other such time frame as may be required by SAFE. Participant agrees that if Participant continues to hold any of such Shares after this time, the Shares will be sold by the Company’s designated broker on Participant’s behalf at the instruction of the Company. Therefore, by accepting the Restricted Stock Units, Participant understands and agrees that the Company is authorized to, and may in its sole discretion, instruct its designated broker to assist with the mandatory sale of Shares (on Participant’s behalf pursuant to this authorization) and that Participant expressly authorizes the Company’s designated broker to complete the sale of such Shares. Participant acknowledges that the Company’s designated broker is under no obligation to arrange for the sale of the Shares at any particular price. Upon the sale of the Shares, the proceeds, less any Tax-Related Items and brokerage fees or commissions will be remitted to Participant pursuant to the procedures described in the “Exchange Control Information” section below.</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understands and agrees that, to facilitate compliance with exchange control requirements, Participant will be required to immediately repatriate to China the cash proceeds from the sale of the Shares issued upon the vesting of the Restricted Stock Units. Participant further understands that, under local law, such repatriation of the cash proceeds will be effectuated through a special exchange control account established by the Company or its Subsidiary in China, and Participant hereby consents and agrees that the proceeds from the sale of Shares acquired under the Plan may be transferred to such special account prior to being delivered to Participant. The Company may deliver the proceeds to Participant in U.S. dollars or local currency at the Company’s discretion. If the proceeds are paid in U.S. dollars, Participant understands that he or she will be required to set up a U.S. dollar bank account in China so that the proceeds may be deposited into this account. If the proceeds are converted to local currency, there may be delays in delivering the proceeds to Participant. Participant agrees to bear the risk of any currency fluctuation between the time the Shares are sold, either through voluntary sale or through a mandatory sale arranged by the Company, or proceeds are otherwise realized under the Plan and the time such proceeds are distributed to Participant through the special exchange control account.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further agrees to comply with any other requirements that may be imposed by the Company in the future to facilitate compliance with exchange control requirements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DENMARK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Danish Stock Option Act</w:t>
      </w:r>
      <w:r>
        <w:rPr>
          <w:rFonts w:ascii="Times New Roman" w:cs="Times New Roman" w:eastAsia="Times New Roman" w:hAnsi="Times New Roman"/>
          <w:sz w:val="18"/>
          <w:szCs w:val="18"/>
          <w:color w:val="auto"/>
        </w:rPr>
        <w:t>. Participant acknowledges that they have received an Employer Statement in Danish which sets forth additional terms of the Restricted Stock Units, to the extent that the Danish Stock Option Act applies to the Restricted Stock Units.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Danish residents who establish an account holding Shares or an account holding cash outside Denmark must report the account to the Danish Tax Administration as part of their annual tax return under the section related to foreign affairs and income. The form which should be used in this respect can be obtained from a local bank. Participant should consult with Participant’s personal advisor(s) regarding any personal foreign asset/foreign account tax obligations Participant may have in connection with Participant’s participation in the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auto"/>
        </w:rPr>
        <w:t>GERMANY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Cross-border payments in excess of €12,500 must be reported monthly to the German Federal Bank (Bundesbank). If Participant makes or receives a payment that exceeds €12,500 (including if Participant acquires Shares with a value in excess of this amount under the Plan or sell Shares via a foreign broker, bank or service provider and receive proceeds in excess of this amount) and/or if the Company withholds or sells Shares with a value in excess of this amount to cover Tax-Related Items, Participant must report the payment and/or the value of the Shares withheld or sold to Bundesbank. Such reports must be filed either electronically using the “General Statistics Reporting Portal” (</w:t>
      </w:r>
      <w:r>
        <w:rPr>
          <w:rFonts w:ascii="Times New Roman" w:cs="Times New Roman" w:eastAsia="Times New Roman" w:hAnsi="Times New Roman"/>
          <w:sz w:val="18"/>
          <w:szCs w:val="18"/>
          <w:i w:val="1"/>
          <w:iCs w:val="1"/>
          <w:color w:val="auto"/>
        </w:rPr>
        <w:t>Allgemeine Meldeportal Statistik</w:t>
      </w:r>
      <w:r>
        <w:rPr>
          <w:rFonts w:ascii="Times New Roman" w:cs="Times New Roman" w:eastAsia="Times New Roman" w:hAnsi="Times New Roman"/>
          <w:sz w:val="18"/>
          <w:szCs w:val="18"/>
          <w:color w:val="auto"/>
        </w:rPr>
        <w:t>) available via the Bundesbank’s website (www.bundesbank.de) or by such other method as is permitted or required by Bundesbank. The report must be submitted monthly or within such timing as is permitted or required by Bundesbank.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German residents holding Shares must notify their local tax office if the acquisition of Shares under the Plan leads to a so-called qualified participation at any point during the calendar year. A qualified participation is attained only in the unlikely event (i) Participant owns at least 1% of the Company and the value of the Shares acquired exceeds €150,000, or (ii) Participant holds Shares exceeding 10% of the total capital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HONG KONG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Restricted Stock Units Only Payable in Shares</w:t>
      </w:r>
      <w:r>
        <w:rPr>
          <w:rFonts w:ascii="Times New Roman" w:cs="Times New Roman" w:eastAsia="Times New Roman" w:hAnsi="Times New Roman"/>
          <w:sz w:val="18"/>
          <w:szCs w:val="18"/>
          <w:color w:val="auto"/>
        </w:rPr>
        <w:t>. Notwithstanding any discretion in the Plan, the Restricted Stock Units will be settled in Shares only. The grant of Restricted Stock Units does not provide any right for Participant to receive a cash payment.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Restriction on Sale of Shares</w:t>
      </w:r>
      <w:r>
        <w:rPr>
          <w:rFonts w:ascii="Times New Roman" w:cs="Times New Roman" w:eastAsia="Times New Roman" w:hAnsi="Times New Roman"/>
          <w:sz w:val="18"/>
          <w:szCs w:val="18"/>
          <w:color w:val="auto"/>
        </w:rPr>
        <w:t>. Shares received under the Plan are accepted as a personal investment. Should any portion of the Restricted Stock Units vest within six months of the Grant Date, Participant agrees that Participant will not dispose of the Shares acquired at vesting prior to the six-month anniversary of the Grant Date.</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Securities Law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Warning: The contents of this document have not been reviewed by any regulatory authority in Hong Kong.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is advised to exercise caution in relation to the offer. If Participant is in any doubt about any of the contents of the Agreement, including this Appendix, or the Plan, Participant should obtain independent professional advice. The Restricted Stock Units and any Shares issued pursuant to the grant do not constitute a public offering of securities under Hong Kong law and are available only to employees of the Company.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Restricted Stock Units and any related documentation are intended only for the personal use of each eligible employee of the Company and may not be distributed to any other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HUNGARY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INDONESIA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Language Consent and Notification</w:t>
      </w:r>
      <w:r>
        <w:rPr>
          <w:rFonts w:ascii="Times New Roman" w:cs="Times New Roman" w:eastAsia="Times New Roman" w:hAnsi="Times New Roman"/>
          <w:sz w:val="18"/>
          <w:szCs w:val="18"/>
          <w:color w:val="auto"/>
        </w:rPr>
        <w:t>. A translation of the documents related to this grant into Bahasa Indonesia can be provided to Participant upon request to hroperations@nuskin.com. By accepting the grant, Participant (i) confirms having read and understood the documents relating to this grant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Language Consent and Notification</w:t>
      </w:r>
      <w:r>
        <w:rPr>
          <w:rFonts w:ascii="Times New Roman" w:cs="Times New Roman" w:eastAsia="Times New Roman" w:hAnsi="Times New Roman"/>
          <w:sz w:val="18"/>
          <w:szCs w:val="18"/>
          <w:color w:val="auto"/>
        </w:rPr>
        <w:t>. Terjemahan dari dokumen-dokumen terkait dengan pemberian ini ke Bahasa Indonesia dapat disediakan untuk anda berdasarkan permintaan kepada hroperations@nuskin.com.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remits proceeds from the sale of Shares or the receipt of any dividends paid on such Shares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made.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Participant must provide the Bank of Indonesia with information on foreign exchange activities via a monthly report submitted online through the Bank of Indonesia’s website. The report is due no later than the 15th day of the month following the month in which the activity occurred.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should consult with Participant’s personal advisor(s) regarding any personal legal, regulatory or foreign exchange obligations Participant may have in connection with Participant’s participation in the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Indonesian residents have the obligation to report worldwide assets (including foreign accounts and Shares acquired under the Plan) in their annual individual income tax return.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acquires Shares valued at more than ¥100,000,000 in a single transaction, Participant must file a Securities Acquisition Report with the Ministry of Finance through the Bank of Japan within 20 days of the purchase of the Shares. Participant should consult with Participant’s personal advisor(s) regarding any personal legal, regulatory or foreign exchange obligations Participant may have in connection with Participant’s participation in the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jc w:val="both"/>
        <w:spacing w:after="0" w:line="195"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will be required to report details of any assets (including any Shares acquired under the Plan) held outside of Japan as of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year, to the extent such assets have a total net fair market value exceeding ¥50,000,000. Such report will be due by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following year. Participant should consult with his or her personal tax advisor as to whether the reporting obligation applies to Participant and whether Participant will be required to report details of any outstanding Restricted Stock Units or Shares held by Participant in the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KOREA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Domestic Broker Requirement for Selling Shares</w:t>
      </w:r>
      <w:r>
        <w:rPr>
          <w:rFonts w:ascii="Times New Roman" w:cs="Times New Roman" w:eastAsia="Times New Roman" w:hAnsi="Times New Roman"/>
          <w:sz w:val="18"/>
          <w:szCs w:val="18"/>
          <w:color w:val="auto"/>
        </w:rPr>
        <w:t>. Korean residents are not permitted to sell foreign securities (including Shares) through non-Korean brokers (such as Fidelity Stock Plan Services, LLC) or deposit funds resulting from the sale of Shares in an account with an overseas financial institution. If Participant wishes to sell Shares acquired under the Plan, Participant may be required to transfer the Shares to a domestic investment broker in Korea and to effect the sale through such broker. Participant is solely responsible for engaging the domestic broker in Korea, and non-compliance with the requirement to sell Shares through a domestic broker can result in significant penalties.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on December 29, 2023, the Korean Financial Services Commission issued an advance notice of legislative action that, if adopted as drafted, would allow Korean residents to dispose of overseas-listed securities without using a Korean-licensed broker and deposit proceeds from the sale with an overseas financial institution. Until the legislation is adopted, the restrictions described above remain applicable to foreign-listed securities, including the Shares acquired under the Plan. Participant should consult with their personal advisor(s) regarding any personal legal, regulatory or foreign exchange obligations Participant may have in connection with participation in the Plan.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Korean residents must declare all foreign financial accounts (e.g., non-Korean bank accounts, brokerage accounts) to the Korean tax authority and file a report with respect to such accounts in June of the following year if the monthly balance of such accounts exceeds KRW 500 million (or an equivalent amount in foreign currency) on any month-end date during a calendar year. Participant should consult with Participant’s personal advisor(s) regarding any personal foreign asset/foreign account tax obligations Participant may have in connection with Participant’s participation in the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MALAYSIA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Director Notification Information</w:t>
      </w:r>
      <w:r>
        <w:rPr>
          <w:rFonts w:ascii="Times New Roman" w:cs="Times New Roman" w:eastAsia="Times New Roman" w:hAnsi="Times New Roman"/>
          <w:sz w:val="18"/>
          <w:szCs w:val="18"/>
          <w:color w:val="auto"/>
        </w:rPr>
        <w:t>. If Participant is a director of a Malaysian Subsidiary, Participant is subject to certain notification requirements under the Malaysian Companies Act, 1965. Among these requirements is an obligation to notify the Malaysian Subsidiary in writing when Participant receives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Stock Units) in the Company or any related companies. In addition, Participant must notify the Malaysian Subsidiary when Participant sells Shares of the Company or any related company (including when Participant sells Shares acquired under the Plan). These notifications must be made within fourteen days of acquiring or disposing of any interest in the Company or any related company.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auto"/>
        </w:rPr>
        <w:t>Data Privacy Notice and Consent</w:t>
      </w:r>
      <w:r>
        <w:rPr>
          <w:rFonts w:ascii="Times New Roman" w:cs="Times New Roman" w:eastAsia="Times New Roman" w:hAnsi="Times New Roman"/>
          <w:sz w:val="18"/>
          <w:szCs w:val="18"/>
          <w:color w:val="auto"/>
        </w:rPr>
        <w:t>. This provision replaces in its entirety Section 10 of the Agreement:</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 of Participant’s personal data, as described in this Agreement and any other Restricted Stock Unit grant materials by and among, as applicable, the Employer, the Company and Subsidiaries for the exclusive purpose of implementing, administering and managing Participant’s participation in the Plan.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Employer, the Company and Subsidiaries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for the exclusive purpose of implementing, administering and managing the Plan (“Data”). The Data is supplied by the Employer and also by me through information collected in connection with the Agreement and the Plan.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Peserta dengan ini secara eksplisit dan tanpa sebarang keraguan mengizinkan pengumpulan, penggunaan dan pemindahan, dalam bentuk elektronik atau lain-lain, data peribadi Peserta seperti yang diterangkan dalam Perjanjian dan bahan-bahan geran Unit Saham Terbatas yang lain oleh dan di antara, seperti yang berkenaan, Majikan, Syarikat dan Anak-anak Syarikat untuk tujuan yang eksklusif bagi melaksanakan, mentadbir dan menguruskan penyertaan Peserta di dalam Pelan.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Peserta memahami bahawa Majikan, Syarikat and Anak-anak Syarikat mungkin memegang maklumat peribadi tertentu tentang Peserta, termasuk, tetapi tidak terhad kepada, nama Peserta, alamat rumah dan nombor telefon, tarikh lahir, nombor insurans sosial atau nombor pengenalan lain, gaji, kewarganegaraan, jawatan, apa-apa Syer atau jawatan pengarah yang dipegang dalam Syarikat, butir-butir semua Unit Saham Terbatas, atau apa-apa hak lain atas Syer yang dianugerahkan, dibatalkan, dilaksanakan, terletak hak, tidak diletak hak ataupun yang belum dijelaskan bagi faedah Peserta, untuk tujuan eksklusif bagi melaksanakan, mentadbir dan menguruskan Pelan tersebut (“Data”). Data tersebut dibekalkan oleh Majikan dan juga oleh saya berkenaan dengan Perjanjian dan Pelan.</w:t>
      </w:r>
    </w:p>
    <w:p>
      <w:pPr>
        <w:spacing w:after="0" w:line="200" w:lineRule="exact"/>
        <w:rPr>
          <w:sz w:val="20"/>
          <w:szCs w:val="20"/>
          <w:color w:val="auto"/>
        </w:rPr>
      </w:pPr>
    </w:p>
    <w:p>
      <w:pPr>
        <w:sectPr>
          <w:pgSz w:w="11900" w:h="16838" w:orient="portrait"/>
          <w:cols w:equalWidth="0" w:num="2">
            <w:col w:w="5400" w:space="440"/>
            <w:col w:w="5400"/>
          </w:cols>
          <w:pgMar w:left="320" w:top="121" w:right="339" w:bottom="1440" w:gutter="0" w:footer="0" w:header="0"/>
          <w:type w:val="continuous"/>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0" w:name="page131"/>
    <w:bookmarkEnd w:id="130"/>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at +60-03-2170-7700.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adverse consequence of refusing or withdrawing Participant’s consent is that the Company may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Peserta memahami bahawa Data ini akan dipindahkan kepada Fidelity, atau mana-mana pembekal perkhidmatan pelan saham lain sebagaimana yang dipilih oleh Syarikat pada masa depan, yang membantu Syarikat dengan pelaksanaan, pentadbiran dan pengurusan Pelan. Peserta memahami bahawa penerima-penerima Data mungkin berada di Amerika Syarikat atau mana-mana tempat lain, dan bahawa negara penerima-penerima (contohnya, Amerika Syarikat) mungkin mempunyai undang-undang privasi data dan perlindungan yang berbeza daripada negara Peserta. Peserta memahami bahawa sekiranya Peserta menetap di luar Amerika Syarikat, Peserta boleh meminta satu senarai yang mengandungi nama-nama dan alamat-alamat penerima-penerima Data yang berpotensi dengan menghubungi wakil sumber manusia tempatan peserta di +60-03-2170-7700. Peserta memberi kuasa kepada Syarikat, Fidelity dan mana-mana penerima-penerima kemungkinan lain yang mungkin akan membantu Syarikat (pada masa sekarang atau pada masa depan) dengan melaksanakan, mentadbir dan menguruskan Pelan untuk menerima, memiliki, menggunakan, mengekalkan dan memindahkan Data, dalam bentuk elektronik atau lain-lain, bagi tujuan-tujuan untuk melaksanakan, mentadbir dan menguruskan penyertaan Peserta di dalam Pelan, termasuk segala pemindahan Data tersebut sebagaimana yang dikehendaki kepada broker, egen eskrow atau pihak ketiga dengan siapa Saham diterima semasa peletakhakan Unit Saham Terbatas mungkin didepositkan. Peserta memahami bahawa Data hanya akan disimpan selagi ia adalah diperlukan untuk melaksanakan, mentadbir, dan menguruskan penyertaan peserta dalam Pelan. Peserta memahami bahawa sekiranya peserta menetap di luar Amerika Syarikat, peserta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 Selanjutnya, Peserta memahami bahawa peserta memberikan persetujuan di sini secara sukarela semata-mata. Sekiranya Peserta tidak bersetuju, atau sekiranya Peserta kemudian membatalkan persetujuannya, status pekerjaan atau perkhidmatan dan kerjaya Peserta dengan Majikan tidak akan terjejas; satu-satunya akibat buruk sekiranya Peserta tidak bersetuju atau menarik balik persetujuan Peserta adalah bahawa Syarikat tidak akan dapat memberikan Unit Saham Terbatas atau anugerah ekuiti lain atau mentadbir atau mengekalkan anugerah-anugerah tersebut kepada Peserta. Oleh itu, Peserta memahami bahawa keengganan atau penarikan balik persetujuan peserta boleh menjejaskan keupayaan Peserta untuk mengambil bahagian dalam Pelan. Untuk maklumat lebih lanjut mengenai akibat-akibat keengganan Peserta untuk memberikan keizinan atau penarikan balik keizinan, Peserta memahami bahawa Peserta boleh menghubungi wakil sumber manusia tempatan.</w:t>
      </w:r>
    </w:p>
    <w:p>
      <w:pPr>
        <w:spacing w:after="0" w:line="200" w:lineRule="exact"/>
        <w:rPr>
          <w:sz w:val="20"/>
          <w:szCs w:val="20"/>
          <w:color w:val="auto"/>
        </w:rPr>
      </w:pPr>
    </w:p>
    <w:p>
      <w:pPr>
        <w:sectPr>
          <w:pgSz w:w="11900" w:h="16838" w:orient="portrait"/>
          <w:cols w:equalWidth="0" w:num="2">
            <w:col w:w="5400" w:space="440"/>
            <w:col w:w="5400"/>
          </w:cols>
          <w:pgMar w:left="320" w:top="117"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NETHERLANDS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PHILIPPINES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This offering is subject to exemption from the requirements of securities registration with the Philippines Securities and Exchange Commission, under Section 10.1(k) of the Philippine Securities Regulation Code.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further information on risk factors impacting the Company’s business that may affect the value of the Shares, Participant may refer to the risk factors discussion in the Company’s Annual Report on Form 10-K and Quarterly Reports on Form 10-Q, which are filed with the U.S. Securities and Exchange Commission and are available online at www.sec.gov, as well as on the Company’s website at http://ir.nuskin.com. In addition, Participant may receive, free of charge, a copy of the Company’s Annual Report, Quarterly Reports or any other reports, proxy statements or communications distributed to the Company’s stockholders by contacting Investor Relations Department at 75 West Center Street, Provo, Utah 84601.</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acknowledges he or she is permitted to dispose or sell Shares acquired under the Plan provided the offer and resale of such shares takes place outside the Philippines through the facilities of a stock exchange on which the Shares are listed. The Shares are currently listed on the New York Stock Exchange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Sale Restriction</w:t>
      </w:r>
      <w:r>
        <w:rPr>
          <w:rFonts w:ascii="Times New Roman" w:cs="Times New Roman" w:eastAsia="Times New Roman" w:hAnsi="Times New Roman"/>
          <w:sz w:val="18"/>
          <w:szCs w:val="18"/>
          <w:color w:val="auto"/>
        </w:rPr>
        <w:t>. Participant agrees that any Shares acquired pursuant to the Restricted Stock Units will not be offered for sale in Singapore prior to the six-month anniversary of the Grant Date, unless such offer or sale is made pursuant to the exemptions under Part XIII Division (1) Subdivision (4) (other than section 280) of the Securities and Futures Act (Chapter 289, 2006 Ed.) (“SFA”) , or pursuant to, and in accordance with the conditions of, any other applicable provisions of the SFA.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grant of the Restricted Stock Units is made pursuant to the “Qualifying Person” exemption under section 273(1)(f) of the SFA and is not made to Participant with a view of the Restricted Stock Units being subsequently offered for sale to any other party. The Plan has not been lodged or registered as a prospectus with the Monetary Authority of Singapore and hence, statutory liability under the SFA in relation to the content of prospectuses will not apply. Participant should note that the Award is subject to section 257 of the SFA and Participant will not be able to make (i) any subsequent sale of the Shares in Singapore or (ii) any offer of such subsequent sale of the Shares subject to the Award in Singapore, unless such sale or offer is made (a) more than six months after the Grant Date or (b) pursuant to the exemptions under Part XIII Division (1) Subdivision (4) (other than section 280) of the SFA (Chapter 289, 2006 Ed.) or pursuant to, and in accordance with the conditions of, any other applicable provisions of the SFA.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Director Notification Requirement</w:t>
      </w:r>
      <w:r>
        <w:rPr>
          <w:rFonts w:ascii="Times New Roman" w:cs="Times New Roman" w:eastAsia="Times New Roman" w:hAnsi="Times New Roman"/>
          <w:sz w:val="18"/>
          <w:szCs w:val="18"/>
          <w:color w:val="auto"/>
        </w:rPr>
        <w:t>. Directors, associate directors and shadow directors of a Singapore Subsidiary are subject to certain notification requirements under the Singapore Companies Act. The directors, associate directors and shadow directors must notify the Singapore Subsidiary in writing of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Stock Units, Shares, etc.) in the Company or any related companies within two business days of (i) its acquisition or disposal, (ii) any change in a previously disclosed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when the Shares are sold), or (iii) becoming a director, associate director or shadow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TAIWAN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Participant hereby acknowledges that he or she has read and understood the terms regarding collection, processing and transfer of Data contained in Section 10 of the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Participant understands he or she will not be able to participate in the Plan if Participant fails to execute any such consent or 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Restricted Stock Units and the Shares to be issued pursuant to the Plan are available only to employees of the Company and its Subsidiaries. The grant of the Restricted Stock Units does not constitute a public offer of securities by a Taiwanese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may remit foreign currency (including proceeds from the sale of Shares or the receipt of any dividends paid on such Shares) into or out of Taiwan up to US$5,000,000 per year without special permission. If the transaction amount is TWD500,000 or more in a single transaction, Participant must submit a Foreign Exchange Transaction Form to the remitting bank and provide supporting documentation to the satisfaction of the remitting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THAILAND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receives proceeds from the sale of Shares or cash dividends in relation to the Shares in excess of US$1,000,000 in a single transaction, Participant must immediately repatriate the funds to Thailand (or utilize such funds offshore for permissible purposes) and convert the funds to Thai Baht within 360 days of repatriation or deposit the funds in an authorized foreign exchange account in Thailand. Participant is also required to provide details of the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identification information and purpose of the transaction) to the receiving bank.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Participant does not repatriate such funds and utilizes them offshore for permissible purposes (i.e., purposes not listed in the negative list prescribed by the Bank of Thailand), Participant must obtain a waiver of the repatriation requirement from a commercial bank in Thailand by submitting an application and supporting documents evidencing that such funds will be utilized offshore for permissible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should consult with Participant’s personal advisor(s) regarding any personal legal, regulatory or foreign exchange obligations Participant may have in connection with Participant’s participation in the Plan.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DENMARK EMPLOYER STATEMENT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SÆRLIG MEDDELELSE TIL MEDARBEJDERE I DANMARK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ARBEJDSGIVERERKLÆRING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henhold til § 3, stk. 1, i lov om brug af køberet eller tegningsret mv. i ansættelsesforhold (“Aktieoptionsloven”) er medarbejderen (“Medarbejderen”) berettiget til i en særskilt skriftlig erklæring at modtage følgende oplysninger vedrørende incitamentsordningen Third Amended and Restated 2010 Omnibus Incentive Plan (“Planen”) hos Nu Skin Enterprises, Inc. (“Selskabet”).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Denne erklæring indeholder kun de oplysninger, der er nævnt i Aktieoptionsloven, mens de øvrige vilkår og betingelser for Medarbejderens tildeling af ” Restricted Stock Units” er nærmere beskrevet i Planen, ” Restricted Stock Unit Agreement” (“Aftalen”) og det øvrige tildelingsmateriale, som er blevet udleveret. Begreber, der står med stort begyndelsesbogstav i denne Arbejdsgivererklæring, men som ikke er defineret heri, har samme betydning som de begreber, der er defineret i Planen eller Aftalen.</w:t>
      </w:r>
    </w:p>
    <w:p>
      <w:pPr>
        <w:spacing w:after="0" w:line="180" w:lineRule="exact"/>
        <w:rPr>
          <w:sz w:val="20"/>
          <w:szCs w:val="20"/>
          <w:color w:val="auto"/>
        </w:rPr>
      </w:pPr>
    </w:p>
    <w:p>
      <w:pPr>
        <w:ind w:left="680" w:hanging="672"/>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Tidspunkt for tildeling af den vederlagsfri ret til at modtage aktier mod opfyldelse af visse betingelser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Tidspunktet for tildelingen af “Restricted Stock Units” er den dato, hvor Bestyrelsens Vederlagsudvalg (“Udvalget”) godkendte tildelingen.</w:t>
      </w:r>
    </w:p>
    <w:p>
      <w:pPr>
        <w:spacing w:after="0" w:line="225" w:lineRule="exact"/>
        <w:rPr>
          <w:sz w:val="20"/>
          <w:szCs w:val="20"/>
          <w:color w:val="auto"/>
        </w:rPr>
      </w:pPr>
    </w:p>
    <w:p>
      <w:pPr>
        <w:ind w:left="680" w:hanging="672"/>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Kriterier og betingelser for tildeling af retten til senere at modtage aktier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Kun Selskabets Medarbejdere, bestyrelsesmedlemmer og konsulenter kan deltage i Planen. Tildeling af ” Restricted Stock Units” i henhold til Planen sker efter Selskabets eget skøn og har til formål at give Selskabet og dets datterselskaber mulighed for at tiltrække og fastholde udvalgte medarbejdere, som forventes at bidrage til Selskabets success og opnå langsigtede mål til gavn for Selskabets aktionærer. Medarbejderen har ikke nogen ret til eller noget krav på fremover at få tildelt ” Restricted Stock Units”.</w:t>
      </w:r>
    </w:p>
    <w:p>
      <w:pPr>
        <w:spacing w:after="0" w:line="180" w:lineRule="exact"/>
        <w:rPr>
          <w:sz w:val="20"/>
          <w:szCs w:val="20"/>
          <w:color w:val="auto"/>
        </w:rPr>
      </w:pPr>
    </w:p>
    <w:p>
      <w:pPr>
        <w:ind w:left="680" w:hanging="672"/>
        <w:spacing w:after="0"/>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Modningstidspunkt eller -periode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Dine “Restricted Stock Units” optjenes over et antal år som fastsat i Aftalen. Dine “Restricted Stock Units”r vil ved optjeningen blive konverteret til et tilsvarende antal ordinære aktier i Selskabet. Optjeningen kan accelerere under visse andre omstændigheder som beskrevet i Aftalen.</w:t>
      </w:r>
    </w:p>
    <w:p>
      <w:pPr>
        <w:spacing w:after="0" w:line="162" w:lineRule="exact"/>
        <w:rPr>
          <w:sz w:val="20"/>
          <w:szCs w:val="20"/>
          <w:color w:val="auto"/>
        </w:rPr>
      </w:pPr>
    </w:p>
    <w:p>
      <w:pPr>
        <w:ind w:left="680" w:hanging="672"/>
        <w:spacing w:after="0"/>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Udnyttelseskurs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betales ingen udnyttelseskurs ved modning af “Restricted Stock Units” eller udstedelse af aktier til Medarbejderen.</w:t>
      </w:r>
    </w:p>
    <w:p>
      <w:pPr>
        <w:spacing w:after="0" w:line="225" w:lineRule="exact"/>
        <w:rPr>
          <w:sz w:val="20"/>
          <w:szCs w:val="20"/>
          <w:color w:val="auto"/>
        </w:rPr>
      </w:pPr>
    </w:p>
    <w:p>
      <w:pPr>
        <w:ind w:left="680" w:hanging="672"/>
        <w:spacing w:after="0"/>
        <w:tabs>
          <w:tab w:leader="none" w:pos="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Medarbejderens retsstilling i forbindelse med fratræden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Såfremt du fratræder din stilling, vil dine “Restricted Stock Units” blive behandlet i overensstemmelse med ophørsbestemmelserne i Aftalen, der kan opsummeres til følgende: Undtagen i tilfælde af en “Change in Control” (som beskrevet i Aftalen) hvis dit ansættelsesforhold bringes til ophør, bortfalder dine ikke-optjente “Restricted Stock Units”.</w:t>
      </w:r>
    </w:p>
    <w:p>
      <w:pPr>
        <w:spacing w:after="0" w:line="176" w:lineRule="exact"/>
        <w:rPr>
          <w:sz w:val="20"/>
          <w:szCs w:val="20"/>
          <w:color w:val="auto"/>
        </w:rPr>
      </w:pPr>
    </w:p>
    <w:p>
      <w:pPr>
        <w:ind w:left="680" w:hanging="672"/>
        <w:spacing w:after="0"/>
        <w:tabs>
          <w:tab w:leader="none" w:pos="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Økonomiske aspekter ved at deltage i Planen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Tildelingen af “Restricted Stock Units” har ingen umiddelbare økonomiske konsekvenser for Medarbejderen. Værdien af “Restricted Stock Units” indgår ikke i beregningen af feriepenge, pensionsbidrag eller andre lovpligtige, vederlagsafhængige ydelser.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Ordinære aktier er finansielle instrumenter. Den fremtidige værdi af de underliggende aktier i forbindelse med “Restricted Stock Units” kendes ikke og kan ikke forudsiges med sikkerhed.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10.6</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2010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RESTRICTED STOCK UNIT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Performance Restricted Stock Unit Agreement, Participant’s award information (the “Award Summary”), which can be accessed on the Fidelity website (currently www.fidelity.com) or the website of any other stock plan administrator selected by the Company in the future, and the Appendix for Participant’s country contained in this agreement, if any, (collectively, this “Agreement”) set forth the terms and conditions of the Performance Restricted Stock Units granted to Participant under the Third Amended and Restated Nu Skin Enterprises, Inc. 2010 Omnibus Incentive Plan (the “Plan”). In the event of a conflict between (i) the terms and conditions of the Plan; and (ii) the terms and conditions of this Agreement, the terms and conditions of the Plan shall prevail. Unless otherwise defined herein, the capitalized terms in this Agreement shall have the same defined meaning assigned to them in the Plan.</w:t>
      </w:r>
    </w:p>
    <w:p>
      <w:pPr>
        <w:spacing w:after="0" w:line="399" w:lineRule="exact"/>
        <w:rPr>
          <w:sz w:val="20"/>
          <w:szCs w:val="20"/>
          <w:color w:val="auto"/>
        </w:rPr>
      </w:pPr>
    </w:p>
    <w:p>
      <w:pPr>
        <w:ind w:left="680" w:hanging="672"/>
        <w:spacing w:after="0"/>
        <w:tabs>
          <w:tab w:leader="none" w:pos="6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Performance Restricted Stock Units.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 Grant of Performance Restricted Stock Units. </w:t>
      </w:r>
      <w:r>
        <w:rPr>
          <w:rFonts w:ascii="Times New Roman" w:cs="Times New Roman" w:eastAsia="Times New Roman" w:hAnsi="Times New Roman"/>
          <w:sz w:val="18"/>
          <w:szCs w:val="18"/>
          <w:color w:val="auto"/>
        </w:rPr>
        <w:t>Effective as of the date of grant specified in the Award Summary (the “Grant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grants to Participant an award of [*]% of the number of Performance Restricted Stock Units specified in the Award Summary (i.e., [*]% of the number of Performance Restricted Stock Units that would vest upon achievement of [Performance Vesting Provisions], as set forth in Schedule A below). Each Performance Restricted Stock Unit is a bookkeeping entry representing the Company’s unfunded promise to deliver one Share on the terms provided herein and in the Plan.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Vesting of Performance Restricted Stock Units. </w:t>
      </w:r>
      <w:r>
        <w:rPr>
          <w:rFonts w:ascii="Times New Roman" w:cs="Times New Roman" w:eastAsia="Times New Roman" w:hAnsi="Times New Roman"/>
          <w:sz w:val="18"/>
          <w:szCs w:val="18"/>
          <w:color w:val="auto"/>
        </w:rPr>
        <w:t>The Performance Restricted Stock Units shall be divided into tranches and vest as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A below, except as otherwise provided in this Agreement, including pursuant to Sections 1.3 and 4.</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Termination of Continuous Service. </w:t>
      </w:r>
      <w:r>
        <w:rPr>
          <w:rFonts w:ascii="Times New Roman" w:cs="Times New Roman" w:eastAsia="Times New Roman" w:hAnsi="Times New Roman"/>
          <w:sz w:val="18"/>
          <w:szCs w:val="18"/>
          <w:color w:val="auto"/>
        </w:rPr>
        <w:t>In the event Participant’s Continuous Service (as defined below) is terminated for any reason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vesting of the Performance Restricted Stock Units, the Performance Restricted Stock Units granted hereunder shall terminate to the extent they are not vested as of the termination of Participant’s Continuous Service, as determined in accordance with Section 9(h) below, and Participant shall not have any right to receive any Shares subject to such unvested Performance Restricted Stock Units.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“Continuous Service” means that Participant’s service with the Company or a Subsidiary, whether as an Employee, Director, or Consultant, is not interrupted or terminated. Participant’s Continuous Service shall not be deemed to have terminated merely because of a change in the capacity in which Participant renders service to the Company or a Subsidiary as an Employee, Consultant, or Director, or a change in the entity for which Participant renders such service, provided that there is no interruption or termination of Participant’s Continuous Service. For example, a change in status from an Employee of the Company to a Consultant of a Subsidiary or a Director will not constitute an interruption of Continuous Service. Subject to the requirements of applicable law, the Committee, in its sole discretion, shall determine whether Continuous Service shall be considered interrupted in the case of any leave of absence approved by the Company or a Subsidiary, including sick leave, military leave or any other personal leave.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6" w:name="page137"/>
    <w:bookmarkEnd w:id="136"/>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1.4 Settlement of Performance Restricted Stock Units. </w:t>
      </w:r>
      <w:r>
        <w:rPr>
          <w:rFonts w:ascii="Times New Roman" w:cs="Times New Roman" w:eastAsia="Times New Roman" w:hAnsi="Times New Roman"/>
          <w:sz w:val="18"/>
          <w:szCs w:val="18"/>
          <w:color w:val="auto"/>
        </w:rPr>
        <w:t>Subject to the terms of the Plan and this Agreement, Performance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settled in Shares, provided that Participant has satisfied any Tax-Related Items pursuant to Section 8 below. Shares will be issued to Participant within 70 days following the vesting of each tranche of Performance Restricted Stock Units unless subject to the terms of the Company’s deferred compensation plan; provided, however, that if the Participant is subject to taxation in the U.S. (a “U.S. Taxpayer”), the Performance Restricted Stock Units vest pursuant to Section 1.6 below and the Performance Restricted Stock Units are considered “non-qualified deferred compensation” subject to Section 409A of the Code (“Code Section 409A,” and such compensation, “Deferred Compensation”), the Shares will be issued in accordance with the following schedule: (i) if the termination event giving rise to the vesting acceleration occurs prior to the Change in Control and the Change in Control constitutes a “change in control event” (within the meaning of U.S. Treasury Regulation 1.409A-3(i)(5)(i)) (a “409A CIC”), the Shares will be issued on the date of the Change in Control, and if the Change in Control does not constitute a 409A CIC, the Shares will be issued on the date that is six months following the Participant’s “separation from service” (within the meaning of Code Section 409A) (a “Separation from Service”); (ii) if the termination event giving rise to the vesting acceleration occurs on or following the Change in Control and the Change in Control constitutes a 409A CIC, then the Shares will be issued within 30 days following the Participant’s Separation from Service, and if the Change in Control is not a 409A CIC, then the Shares will be issued on the date that is six months following the Participant’s Separation from Service.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for purposes of complying with Code Section 409A, if the Participant is a U.S. Taxpayer, the Performance Restricted Stock Units are considered Deferred Compensation and the Performance Restricted Stock Units are to be settled in connection with a termination contemplated under Section 1.6 below, the Company and the Participant shall take all steps necessary (including with regard to any post-termination services by the Participant) to ensure that a termination contemplated under Section 1.6 constitutes a Separation from Service. In addition, if the Performance Restricted Stock Units are Deferred Compensation, the Performance Restricted Stock Units are settled upon the Participant’s Separation from Service and the Participant is a “specified employee,” within the meaning of Code Section 409A, on the date the Participant experiences a Separation from Service, then the Shares will be issued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 Stockholder Rights. </w:t>
      </w:r>
      <w:r>
        <w:rPr>
          <w:rFonts w:ascii="Times New Roman" w:cs="Times New Roman" w:eastAsia="Times New Roman" w:hAnsi="Times New Roman"/>
          <w:sz w:val="18"/>
          <w:szCs w:val="18"/>
          <w:color w:val="auto"/>
        </w:rPr>
        <w:t>Unless and until Shares are issued by the Company after the vesting of Performance Restricted Stock Units, Participant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none of the rights or privileges of a shareholder of the Company (including voting, dividend and liquidation rights) with respect to the Shares covered by the Performance Restricted Stock Units.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1.6 Change in Control. </w:t>
      </w:r>
      <w:r>
        <w:rPr>
          <w:rFonts w:ascii="Times New Roman" w:cs="Times New Roman" w:eastAsia="Times New Roman" w:hAnsi="Times New Roman"/>
          <w:sz w:val="18"/>
          <w:szCs w:val="18"/>
          <w:color w:val="auto"/>
        </w:rPr>
        <w:t>Notwithstanding any provision in this Agreement to the contrary, if, within six months prior to and in connection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or within two years following such Change in Control, Participant’s employment is terminated (i) by the Company and its Subsidiaries without Cause, or (ii) by Participant for Good Reason, the vesting of outstanding Performance Restricted Stock Units governed by this Agreement shall be accelerated such that the number of Performance Restricted Stock Units specified in the Award Summary (i.e., the number of Performance Restricted Stock Units that would vest upon achievement of [Performance Vesting Provisions], as set forth in Schedule A) shall be deemed to be vested in full immediately prior to the termination of Participant’s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shall mean that Participant has engaged in any one of the following:</w:t>
      </w:r>
    </w:p>
    <w:p>
      <w:pPr>
        <w:spacing w:after="0" w:line="225" w:lineRule="exact"/>
        <w:rPr>
          <w:sz w:val="20"/>
          <w:szCs w:val="20"/>
          <w:color w:val="auto"/>
        </w:rPr>
      </w:pPr>
    </w:p>
    <w:p>
      <w:pPr>
        <w:ind w:left="660" w:hanging="4"/>
        <w:spacing w:after="0" w:line="282" w:lineRule="auto"/>
        <w:tabs>
          <w:tab w:leader="none" w:pos="140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Participant of the Company’s Employee Covenants Agreement, other employee covenants or any employment agreement, which breach is not cured within any applicable cure period set forth in the respective document;</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willful violation by Participant of any material law or regulation applicable to the business of the Company or any of its Subsidiaries;</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13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conviction of, or a plea of guilty or nolo contendere to, a felony or any willful perpetration of common law fraud (or analogous violation of law in a jurisdiction outside the United States); or</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willful misconduct by Participant that is materially injurious to the financial condition or business reputation of, or is otherwise materially injurious to, the Company or any of its Subsidiaries.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the foregoing, in determining whether a “material breach” has occurred, or whether there has been a willful violation of a “material” law or regulation, the standard shall be a breach or violation that is, or will reasonably likely be, materially injurious to the financial condition or business reputation of, or is, or will reasonably likely be, otherwise materially injurious to, the Company or any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Reason” shall mean the occurrence any of the following events that result in a material negative change to Participant:</w:t>
      </w:r>
    </w:p>
    <w:p>
      <w:pPr>
        <w:spacing w:after="0" w:line="225" w:lineRule="exact"/>
        <w:rPr>
          <w:sz w:val="20"/>
          <w:szCs w:val="20"/>
          <w:color w:val="auto"/>
        </w:rPr>
      </w:pPr>
    </w:p>
    <w:p>
      <w:pPr>
        <w:ind w:left="660" w:hanging="4"/>
        <w:spacing w:after="0" w:line="282" w:lineRule="auto"/>
        <w:tabs>
          <w:tab w:leader="none" w:pos="129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material reduction in the scope of Participant’s duties and responsibilities or the level of management to which Participant reports;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31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reduction in base salary (other than an across-the-board reduction of not more than 10% applicable to all similarly situated employees);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1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material reduction in Participant’s benefits in the aggregate (in terms of benefit levels) from those provided to Participant under any employee benefit plan, program and practice in which Participant participates;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16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relocation of Participant’s principal place of employment of more than 50 miles from Participant’s primary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ind w:left="660" w:hanging="4"/>
        <w:spacing w:after="0" w:line="282" w:lineRule="auto"/>
        <w:tabs>
          <w:tab w:leader="none" w:pos="140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have a successor entity specifically assume this Agreement or any employment agreement within 10 business days after a Change in Control; or</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a successor entity of this Agreement or any employment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Good Reason shall only be found to exist if Participant, not later than 90 days after the initial occurrence of an event deemed to give rise to a right to terminate for Good Reason, has provided 30 days written notice to the Company prior to Participant’s resignation indicating and describing the event resulting in such Good Reason, and the Company does not cure such event (other than the event in clause vi), which shall not be subject to cure) within 90 days following the receipt of such notice from Participant.</w:t>
      </w:r>
    </w:p>
    <w:p>
      <w:pPr>
        <w:spacing w:after="0" w:line="176" w:lineRule="exact"/>
        <w:rPr>
          <w:sz w:val="20"/>
          <w:szCs w:val="20"/>
          <w:color w:val="auto"/>
        </w:rPr>
      </w:pPr>
    </w:p>
    <w:p>
      <w:pPr>
        <w:jc w:val="both"/>
        <w:ind w:firstLine="8"/>
        <w:spacing w:after="0" w:line="254" w:lineRule="auto"/>
        <w:tabs>
          <w:tab w:leader="none" w:pos="598"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Participant represents that Participant has received and carefully read a copy of the Prospectus for the Plan,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Company’s most recent Annual Report to Stockholders. Participant hereby acknowledges that Participant is aware of the risks associated with the Shares and that there can be no assurance the price of the Shares will not decrease in the future. Participant hereby acknowledges no representations or statements have been made to Participant concerning the value or potential value of the Shares. Participant acknowledges that Participant has relied only on information contained in the Prospectus and has received no representations, written or oral, from the Company or its employees, attorneys or agents, other than those contained in the Prospectus or this Agreement. Participant acknowledges that the Company has made no representations or recommendations, and is not providing any tax, legal or financial advice,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88"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801"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Participant shall not transfer, assign, sell, encumber, pledge, grant a security interest in or otherwise dispose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Restricted Stock Units subject to this Agreement in any manner other than by the laws of descent or distribution. Any such transfer, assignment, sale, encumbrance, pledge, security interest or disposition shall be void.</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Forfeiture. </w:t>
      </w:r>
      <w:r>
        <w:rPr>
          <w:rFonts w:ascii="Times New Roman" w:cs="Times New Roman" w:eastAsia="Times New Roman" w:hAnsi="Times New Roman"/>
          <w:sz w:val="18"/>
          <w:szCs w:val="18"/>
          <w:color w:val="auto"/>
        </w:rPr>
        <w:t>If, at any time during Participant’s Continuous Service or at any time during the 12-month period following termination of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Service, Participant engages in conduct that constitutes Cause (as defined above), then at the election of the Committee, (a) this Agreement and all unvested Performance Restricted Stock Units granted hereunder shall terminate, and (b) Participant shall return to the Company for cancellation all Shares held by Participant plus pay the Company the amount of any proceeds received from the sale of any Shares to the extent such Shares were issued pursuant to Performance Restricted Stock Units granted under this Agreement that vested (i) during the 12-month period immediately preceding the Cause, or (ii) on the date of or at any time after such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is required to prepare an Accounting Restatement, as defined in the Nu Skin Enterprises, Inc. Executive Officer Incentive Compensation Recovery Policy (the “Recovery Policy,” which is incorporated herein by reference), the Recovery Policy shall apply to the fullest extent required by applicable law, rule, regulation, or stock exchange rule or listing standard. In such case or in any other circumstances determined appropriate by the Committee, the Committee may (1) terminate any Performance Restricted Stock Units granted hereunder or (2) require Participant to return any Shares received upon the vesting of, or reimburse the Company the amount of any payment or benefit received with respect to, any Performance Restricted Stock Units granted hereunder, to the extent that either (1) the Performance Restricted Stock Units would not have been earned or accrued after giving effect to the Accounting Restatement, as determined by the Committee or required by the Recovery Policy; or (2) the Company determines such actions are necessary to satisfy a recoupment requirement under the Recovery Policy.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forfeiture and recoupment provisions of this Section 4 shall be applied by the Committee, at its discretion, to the maximum extent permitted under applicable laws. Further, these provisions are in addition to, and not in lieu of, any recoupment requirements under the Sarbanes-Oxley Act or under other applicable laws, rules, regulations or stock exchange listing standards, and shall apply notwithstanding anything to the contrary in this Agreement or in the Plan.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 expressly agrees that the Company may take such actions as are necessary or appropriate to effectuate the foregoing provisions of this Section 4 (as applicable to Participant) or applicable law without further consent or action being required by Participant. For purposes of the foregoing and as a condition to the grant, Participant expressly and explicitly authorizes the Company to issue instructions, on Participant’s behalf, to Fidelity (or any other stock plan service provider engaged by the Company to administer awards granted under the Plan) to re-convey, transfer or otherwise return any Shares held by Participant and/or other amounts to the Company.</w:t>
      </w:r>
    </w:p>
    <w:p>
      <w:pPr>
        <w:spacing w:after="0" w:line="179" w:lineRule="exact"/>
        <w:rPr>
          <w:sz w:val="20"/>
          <w:szCs w:val="20"/>
          <w:color w:val="auto"/>
        </w:rPr>
      </w:pPr>
    </w:p>
    <w:p>
      <w:pPr>
        <w:jc w:val="both"/>
        <w:ind w:firstLine="8"/>
        <w:spacing w:after="0" w:line="268" w:lineRule="auto"/>
        <w:tabs>
          <w:tab w:leader="none" w:pos="679"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This Agreement incorporates by reference all of the terms and conditions of the Plan, as presently existing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amended. Participant expressly acknowledges and agrees that the terms and provisions of this Agreement are subject in all respects to the provisions of the Plan. Participant also expressly:</w:t>
      </w:r>
    </w:p>
    <w:p>
      <w:pPr>
        <w:spacing w:after="0" w:line="174" w:lineRule="exact"/>
        <w:rPr>
          <w:rFonts w:ascii="Times New Roman" w:cs="Times New Roman" w:eastAsia="Times New Roman" w:hAnsi="Times New Roman"/>
          <w:sz w:val="18"/>
          <w:szCs w:val="18"/>
          <w:b w:val="1"/>
          <w:bCs w:val="1"/>
          <w:color w:val="auto"/>
        </w:rPr>
      </w:pPr>
    </w:p>
    <w:p>
      <w:pPr>
        <w:ind w:left="660" w:right="20" w:hanging="4"/>
        <w:spacing w:after="0" w:line="282" w:lineRule="auto"/>
        <w:tabs>
          <w:tab w:leader="none" w:pos="119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receipt of the Plan and represents that Participant is familiar with the provisions of the Plan, and that Participant enters into this Agreement subject to all of the provisions of the Plan;</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129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that the Committee has been granted complete authority to administer the Plan in its sole discretion, and agrees to accept all decisions related to the Plan and all interpretations of the Plan made by the Committee as final and conclusive upon Participant and upon all persons at any time claiming any interest through Participant in the Performance Restricted Stock Units or the Shares subject to this Agreement; and</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141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understands that the establishment of the Plan and the existence of this Agreement are not sufficient, in and of themselves, to exempt Participant from the requirements of Section 16(b) of the Exchange Act and any rules or regulations promulgated thereunder, and that Participant (to the extent Section 16(b) applies to Participant) shall not be exempt from such requirements pursuant to Rule 16b-3 unless and until Participant shall comply with all applicable requirements of Rule 16b-3, including without limitation, the possible requirement that Participant must not sell or otherwise dispose of any Shares acquired pursuant to Performance Restricted Stock Units unless and until a period of at least six months shall have elapsed between the Grant Date and the date upon which Participant desires to sell or otherwise dispose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both"/>
        <w:ind w:left="-8" w:firstLine="8"/>
        <w:spacing w:after="0" w:line="262" w:lineRule="auto"/>
        <w:tabs>
          <w:tab w:leader="none" w:pos="76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As a condition to the receipt of any Shares upon vesting of the Performance Restricted Stock Units,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require Participant to make any representations and warranties to the Company that legal counsel to the Company may determine to be required or advisable under any applicable law or regulation, including without limitation, representations and warranties that the Shares are being acquired only for investment and without any present intention or view to sell or distribute any such Shares.</w:t>
      </w:r>
    </w:p>
    <w:p>
      <w:pPr>
        <w:spacing w:after="0" w:line="176" w:lineRule="exact"/>
        <w:rPr>
          <w:rFonts w:ascii="Times New Roman" w:cs="Times New Roman" w:eastAsia="Times New Roman" w:hAnsi="Times New Roman"/>
          <w:sz w:val="18"/>
          <w:szCs w:val="18"/>
          <w:b w:val="1"/>
          <w:bCs w:val="1"/>
          <w:color w:val="auto"/>
        </w:rPr>
      </w:pPr>
    </w:p>
    <w:p>
      <w:pPr>
        <w:jc w:val="both"/>
        <w:ind w:left="-8" w:firstLine="8"/>
        <w:spacing w:after="0" w:line="254" w:lineRule="auto"/>
        <w:tabs>
          <w:tab w:leader="none" w:pos="793"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and Regulations. </w:t>
      </w:r>
      <w:r>
        <w:rPr>
          <w:rFonts w:ascii="Times New Roman" w:cs="Times New Roman" w:eastAsia="Times New Roman" w:hAnsi="Times New Roman"/>
          <w:sz w:val="18"/>
          <w:szCs w:val="18"/>
          <w:color w:val="auto"/>
        </w:rPr>
        <w:t>Notwithstanding any other provision of the Plan or this Agreement, unless there is an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any registration, qualification or other legal requirement applicable to the Shares, the Company shall not be required to deliver any Shares issuable upon settlement of the Performance Restricted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w:t>
      </w:r>
    </w:p>
    <w:p>
      <w:pPr>
        <w:spacing w:after="0" w:line="185" w:lineRule="exact"/>
        <w:rPr>
          <w:rFonts w:ascii="Times New Roman" w:cs="Times New Roman" w:eastAsia="Times New Roman" w:hAnsi="Times New Roman"/>
          <w:sz w:val="18"/>
          <w:szCs w:val="18"/>
          <w:b w:val="1"/>
          <w:bCs w:val="1"/>
          <w:color w:val="auto"/>
        </w:rPr>
      </w:pPr>
    </w:p>
    <w:p>
      <w:pPr>
        <w:jc w:val="both"/>
        <w:ind w:left="-8" w:firstLine="8"/>
        <w:spacing w:after="0" w:line="254" w:lineRule="auto"/>
        <w:tabs>
          <w:tab w:leader="none" w:pos="671"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Responsibility for Taxes. </w:t>
      </w:r>
      <w:r>
        <w:rPr>
          <w:rFonts w:ascii="Times New Roman" w:cs="Times New Roman" w:eastAsia="Times New Roman" w:hAnsi="Times New Roman"/>
          <w:sz w:val="18"/>
          <w:szCs w:val="18"/>
          <w:color w:val="auto"/>
        </w:rPr>
        <w:t>Participant acknowledges that, regardless of any action taken by the Company or, if different, Participant’s 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“Employer”), the ultimate liability for all income tax, social insurance, payroll tax, fringe benefits tax, payment on account or other tax-related items related to Participant’s participation in the Plan and legally applicable to Participant or deemed by the Company or the Employer in its discretion to be an appropriate charge to Participant even if legally applicable to the Company or the Employer (“Tax-Related Items”), is and remains Participant’s responsibility and may exceed the amount, if any, actually withheld by the Company or the Employer. Participant further acknowledges that the Company and the Employer (a) make no representations or undertakings regarding the treatment of any Tax-Related Items in connection with any aspect of the Performance Restricted Stock Units, including, but not limited to, the grant, vesting or settlement of the Performance Restricted Stock Units, the subsequent sale of any Shares acquired at settlement and the receipt of any dividends; and (b) do not commit to and are under no obligation to structure the terms of the grant or any aspect of the Performance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41" w:name="page142"/>
    <w:bookmarkEnd w:id="141"/>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any relevant taxable or tax withholding event, as applicable, Participant agrees to make adequate arrangements satisfactory to the Company and/or the Employer to satisfy all Tax-Related Items.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Full payment of the Tax-Related Items shall be made by any of the following, or a combination thereof, subject to the Committee’s or Company’s right to eliminate, prior to vesting, any of the following as permissible payment methods: (i) in cash or cash equivalents (including certified check, bank check or wire transfer of immediately available funds); (ii) by tendering previously acquired Shares (either actually or by attestation) valued at their then-Fair Market Value; (iii) by withholding Shares otherwise issuable in connection with the vesting of the Performance Restricted Stock Units; (iv) through same-day voluntary or involuntary (on Participant’s behalf pursuant to this authorization) sales through a broker if permitted by the Company’s Securities Trading Policy; (v) withholding from Participant’s wages or other cash compensation paid to Participant by the Company and/or the Employer; or (vi) any combination of any of the foregoing. In the absence of Participant’s timely election or in the event Section 16(b) applies to Participant, the Company will withhold in Shares upon the relevant taxable or tax withholding event, as applicable. In the event that such withholding in Shares is problematic under applicable tax or securities law or has materially adverse accounting consequences, the Participant authorizes and directs the Company and/or the Employer, or their respective agents, at their discretion, to satisfy any applicable withholding obligation with regard to all Tax-Related Items by one or a combination of the methods above.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Depending on the withholding method, the Company and/or the Employer may withhold or account for Tax-Related Items by considering applicable withholding rates in Participant’s jurisdiction(s) (up to the rate that will not cause an adverse accounting consequence or cost, including pursuant to ASC Topic 718, as applicable). If the Company and/or the Employer withhold more than the amount necessary to satisfy the liability for Tax-Related Items, Participant may receive a refund of any over-withheld amount in cash and will have no entitlement to the equivalent Shares or, if not refunded, Participant may be able to seek a refund from the applicable tax authorities. If the Company and/or the Employer withhold less than the amount necessary to satisfy the liability for Tax-Related Items, Participant may be required to pay additional Tax-Related Items directly to the applicable tax authorities or to the Company and/or the Employer. If the obligation for Tax-Related Items is satisfied by withholding in Shares, for tax purposes, Participant is deemed to have been issued the full number of Shares subject to the vested Performance Restricted Stock Units, notwithstanding that a number of the Shares are held back solely for the purpose of paying the Tax-Related Items.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ind w:left="632" w:hanging="632"/>
        <w:spacing w:after="0"/>
        <w:tabs>
          <w:tab w:leader="none" w:pos="632"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In accepting the Performance Restricted Stock Units, Participant acknowledges, understands and agrees that:</w:t>
      </w:r>
    </w:p>
    <w:p>
      <w:pPr>
        <w:spacing w:after="0" w:line="229" w:lineRule="exact"/>
        <w:rPr>
          <w:rFonts w:ascii="Times New Roman" w:cs="Times New Roman" w:eastAsia="Times New Roman" w:hAnsi="Times New Roman"/>
          <w:sz w:val="18"/>
          <w:szCs w:val="18"/>
          <w:b w:val="1"/>
          <w:bCs w:val="1"/>
          <w:color w:val="auto"/>
        </w:rPr>
      </w:pPr>
    </w:p>
    <w:p>
      <w:pPr>
        <w:ind w:left="652" w:hanging="4"/>
        <w:spacing w:after="0" w:line="282" w:lineRule="auto"/>
        <w:tabs>
          <w:tab w:leader="none" w:pos="126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modified,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jc w:val="both"/>
        <w:ind w:left="652" w:hanging="4"/>
        <w:spacing w:after="0" w:line="266" w:lineRule="auto"/>
        <w:tabs>
          <w:tab w:leader="none" w:pos="120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Performance Restricted Stock Units is exceptional, voluntary and occasional and does not create any contractual or other right to receive future awards of Performance Restricted Stock Units, or benefits in lieu of Performance Restricted Stock Units even if Performance Restricted Stock Units have been awarded in the past;</w:t>
      </w:r>
    </w:p>
    <w:p>
      <w:pPr>
        <w:spacing w:after="0" w:line="175" w:lineRule="exact"/>
        <w:rPr>
          <w:rFonts w:ascii="Times New Roman" w:cs="Times New Roman" w:eastAsia="Times New Roman" w:hAnsi="Times New Roman"/>
          <w:sz w:val="18"/>
          <w:szCs w:val="18"/>
          <w:color w:val="auto"/>
        </w:rPr>
      </w:pPr>
    </w:p>
    <w:p>
      <w:pPr>
        <w:jc w:val="both"/>
        <w:ind w:left="652" w:hanging="4"/>
        <w:spacing w:after="0" w:line="261" w:lineRule="auto"/>
        <w:tabs>
          <w:tab w:leader="none" w:pos="122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in the Plan shall confer upon Participant any right to continue in the employment or service of the Employer, the Company or any Subsidiary or be interpreted as forming or amending an employment or services contract with the Employer, the Company or any Subsidiary and shall not interfere with or restrict any way the ability of the Employer, the Company or any Subsidiary, as applicable, to terminate Participant’s employment or service relationship, if any;</w:t>
      </w:r>
    </w:p>
    <w:p>
      <w:pPr>
        <w:spacing w:after="0" w:line="179" w:lineRule="exact"/>
        <w:rPr>
          <w:rFonts w:ascii="Times New Roman" w:cs="Times New Roman" w:eastAsia="Times New Roman" w:hAnsi="Times New Roman"/>
          <w:sz w:val="18"/>
          <w:szCs w:val="18"/>
          <w:color w:val="auto"/>
        </w:rPr>
      </w:pPr>
    </w:p>
    <w:p>
      <w:pPr>
        <w:ind w:left="652" w:hanging="4"/>
        <w:spacing w:after="0" w:line="282" w:lineRule="auto"/>
        <w:tabs>
          <w:tab w:leader="none" w:pos="120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Performance Restricted Stock Units or other grants, if any, will be at the sole discretion of the Committee and/or Company;</w:t>
      </w:r>
    </w:p>
    <w:p>
      <w:pPr>
        <w:spacing w:after="0" w:line="161" w:lineRule="exact"/>
        <w:rPr>
          <w:rFonts w:ascii="Times New Roman" w:cs="Times New Roman" w:eastAsia="Times New Roman" w:hAnsi="Times New Roman"/>
          <w:sz w:val="18"/>
          <w:szCs w:val="18"/>
          <w:color w:val="auto"/>
        </w:rPr>
      </w:pPr>
    </w:p>
    <w:p>
      <w:pPr>
        <w:ind w:left="1252" w:hanging="604"/>
        <w:spacing w:after="0"/>
        <w:tabs>
          <w:tab w:leader="none" w:pos="125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participation in the Plan is voluntary;</w:t>
      </w:r>
    </w:p>
    <w:p>
      <w:pPr>
        <w:spacing w:after="0" w:line="225" w:lineRule="exact"/>
        <w:rPr>
          <w:rFonts w:ascii="Times New Roman" w:cs="Times New Roman" w:eastAsia="Times New Roman" w:hAnsi="Times New Roman"/>
          <w:sz w:val="18"/>
          <w:szCs w:val="18"/>
          <w:color w:val="auto"/>
        </w:rPr>
      </w:pPr>
    </w:p>
    <w:p>
      <w:pPr>
        <w:ind w:left="1272" w:hanging="624"/>
        <w:spacing w:after="0"/>
        <w:tabs>
          <w:tab w:leader="none" w:pos="127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indeterminable and unpredictable;</w:t>
      </w:r>
    </w:p>
    <w:p>
      <w:pPr>
        <w:spacing w:after="0" w:line="225" w:lineRule="exact"/>
        <w:rPr>
          <w:rFonts w:ascii="Times New Roman" w:cs="Times New Roman" w:eastAsia="Times New Roman" w:hAnsi="Times New Roman"/>
          <w:sz w:val="18"/>
          <w:szCs w:val="18"/>
          <w:color w:val="auto"/>
        </w:rPr>
      </w:pPr>
    </w:p>
    <w:p>
      <w:pPr>
        <w:jc w:val="both"/>
        <w:ind w:left="652" w:hanging="4"/>
        <w:spacing w:after="0" w:line="266" w:lineRule="auto"/>
        <w:tabs>
          <w:tab w:leader="none" w:pos="126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Performance Restricted Stock Units and the Shares subject to the Performance Restricted Stock Units, and the income and value of same, are not granted as consideration for, or in connection with, the service Participant may provide as a director of any entity of the Company;</w:t>
      </w:r>
    </w:p>
    <w:p>
      <w:pPr>
        <w:spacing w:after="0" w:line="175" w:lineRule="exact"/>
        <w:rPr>
          <w:rFonts w:ascii="Times New Roman" w:cs="Times New Roman" w:eastAsia="Times New Roman" w:hAnsi="Times New Roman"/>
          <w:sz w:val="18"/>
          <w:szCs w:val="18"/>
          <w:color w:val="auto"/>
        </w:rPr>
      </w:pPr>
    </w:p>
    <w:p>
      <w:pPr>
        <w:jc w:val="both"/>
        <w:ind w:left="652" w:hanging="4"/>
        <w:spacing w:after="0" w:line="254" w:lineRule="auto"/>
        <w:tabs>
          <w:tab w:leader="none" w:pos="127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Participant’s Continuous Service (as defined above) (for any reason whatsoever, whether or not later to be found invalid or in breach of employment laws in the jurisdiction where Participant is employed or the terms of Participant’s employment agreement, if any), unless otherwise determined by the Company, Participant’s right to vest in the Performance Restricted Stock Units under the Plan, if any, will terminate as of the date Participant is no longer actively rendering services and will not be extended by any notice period (e.g., Participant’s period of service would not include any contractual notice period or any period of “garden leave” or similar period mandated under employment laws in the jurisdiction where Participant is employed or the terms of Participant’s employment agreement, if any); the Committee shall have the exclusive discretion to determine when Participant is no longer providing Continuous Service for purposes of this Agreement, including whether Participant may still be considered to be providing active service while on a leave of absence;</w:t>
      </w:r>
    </w:p>
    <w:p>
      <w:pPr>
        <w:spacing w:after="0" w:line="191" w:lineRule="exact"/>
        <w:rPr>
          <w:rFonts w:ascii="Times New Roman" w:cs="Times New Roman" w:eastAsia="Times New Roman" w:hAnsi="Times New Roman"/>
          <w:sz w:val="18"/>
          <w:szCs w:val="18"/>
          <w:color w:val="auto"/>
        </w:rPr>
      </w:pPr>
    </w:p>
    <w:p>
      <w:pPr>
        <w:jc w:val="both"/>
        <w:ind w:left="652" w:hanging="4"/>
        <w:spacing w:after="0" w:line="261" w:lineRule="auto"/>
        <w:tabs>
          <w:tab w:leader="none" w:pos="12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Restricted Stock Units and the Shares subject to Performance Restricted Stock Units, and the income and value of same, are not part of normal or expected compensation or salary for any purpose, including, but not limited to, calculation of any severance, resignation, termination, redundancy, dismissal, end-of-service payments, holiday pay, bonuses, long-service awards, leave-related pay, pension or retirement or welfare benefits or similar mandatory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43" w:name="page144"/>
    <w:bookmarkEnd w:id="143"/>
    <w:p>
      <w:pPr>
        <w:ind w:left="660" w:right="20" w:hanging="4"/>
        <w:spacing w:after="0" w:line="282" w:lineRule="auto"/>
        <w:tabs>
          <w:tab w:leader="none" w:pos="123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Restricted Stock Units and the Shares subject to Performance Restricted Stock Units, and the income and value of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Restricted Stock Units are an extraordinary item that does not constitute compensation of any kind for service of any kind rendered to the Company or to the Employer, and Performance Restricted Stock Units are outside of the scope of Participant’s employment agreement, if any;</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8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Performance Restricted Stock Units resulting from termination of Participant’s Continuous Service (for any reason whatsoever, whether or not later found to be invalid or in breach of employment laws in the jurisdiction where Participant is employed or the terms of Participant’s employment agreement, if any);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19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Employer nor any Subsidiary of the Company shall be liable for any foreign exchange rate fluctuation between Participant’s local currency and the United States Dollar that may affect the value of Performance Restricted Stock Units or of any amounts due to Participant pursuant to the settlement of the Performance Restricted Stock Units or the subsequent sale of any Shares acquired upon settlement.</w:t>
      </w:r>
    </w:p>
    <w:p>
      <w:pPr>
        <w:spacing w:after="0" w:line="172" w:lineRule="exact"/>
        <w:rPr>
          <w:sz w:val="20"/>
          <w:szCs w:val="20"/>
          <w:color w:val="auto"/>
        </w:rPr>
      </w:pPr>
    </w:p>
    <w:p>
      <w:pPr>
        <w:jc w:val="both"/>
        <w:ind w:firstLine="8"/>
        <w:spacing w:after="0" w:line="262" w:lineRule="auto"/>
        <w:tabs>
          <w:tab w:leader="none" w:pos="657"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Data Privacy Notice and Consent.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or other form, of Participant’s personal data, as described in this Agreement and any other Performance Restricted Stock Unit grant materials by and among, as applicable, the Employer, the Company and Subsidiaries for the exclusive purpose of implementing, administering and managing Participant’s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Employer, the Company and Subsidiaries may hold certain personal information about Participant, including, but not limited to, Participant’s name, home address, email address, telephone number, date of birth, social security number, passport information, social insurance number or other identification number, salary, nationality, job title, any Shares or directorships held in the Company, details of all Performance Restricted Stock Units or any other entitlement to Shares or other equivalent benefits awarded, canceled, purchased, exercised, vested, unvested or outstanding in Participant’s favor (“Data”), for the exclusive purpose of implementing, administering and managing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Performance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 be affected; the only consequence of refusing or withdrawing Participant’s consent is that the Company may not be able to grant Performance Restricted Stock Units or other equity awards to Participant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Upon request of the Company or the Employer, Participant agrees to provide an executed data privacy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he or she will not be able to participate in the Plan if Participant fails to provide any such consent or agreement as requested by the Company and/or the Employer.</w:t>
      </w:r>
    </w:p>
    <w:p>
      <w:pPr>
        <w:spacing w:after="0" w:line="179" w:lineRule="exact"/>
        <w:rPr>
          <w:sz w:val="20"/>
          <w:szCs w:val="20"/>
          <w:color w:val="auto"/>
        </w:rPr>
      </w:pPr>
    </w:p>
    <w:p>
      <w:pPr>
        <w:ind w:left="680" w:hanging="672"/>
        <w:spacing w:after="0"/>
        <w:tabs>
          <w:tab w:leader="none" w:pos="6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 Notices. </w:t>
      </w:r>
      <w:r>
        <w:rPr>
          <w:rFonts w:ascii="Times New Roman" w:cs="Times New Roman" w:eastAsia="Times New Roman" w:hAnsi="Times New Roman"/>
          <w:sz w:val="18"/>
          <w:szCs w:val="18"/>
          <w:color w:val="auto"/>
        </w:rPr>
        <w:t>Any notice required to be given under this Agreement shall be in writing and shall be deemed effective upon personal delivery or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in the sender’s local mail, registered or certified, postage prepaid and properly addressed to the party entitled to such notice at the latest address on file or at such other address as such party may designate by ten days advance written notice under this Section to all other parties to this Agreement.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 Waiver. </w:t>
      </w:r>
      <w:r>
        <w:rPr>
          <w:rFonts w:ascii="Times New Roman" w:cs="Times New Roman" w:eastAsia="Times New Roman" w:hAnsi="Times New Roman"/>
          <w:sz w:val="18"/>
          <w:szCs w:val="18"/>
          <w:color w:val="auto"/>
        </w:rPr>
        <w:t>The failure of the Company in any instance to exercise any rights under this Agreement, including the forfeiture rights under Section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constitute a waiver of any other rights that may subsequently arise under the provisions of this Agreement or any other agreement between the Company and Participant. Participant acknowledges that no waiver by the Company of any breach of any provision of this Agreement shall operate or be construed as a waiver of any other provision of this Agreement, or of any subsequent breach by Participant or any other Participant, whether of like or different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11.3 Imposition of Other Requirements &amp; Participant Undertaking. </w:t>
      </w:r>
      <w:r>
        <w:rPr>
          <w:rFonts w:ascii="Times New Roman" w:cs="Times New Roman" w:eastAsia="Times New Roman" w:hAnsi="Times New Roman"/>
          <w:sz w:val="18"/>
          <w:szCs w:val="18"/>
          <w:color w:val="auto"/>
        </w:rPr>
        <w:t>The Company reserves the right to impose other requirements on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on the Performance Restricted Stock Units and on any Shares acquired under the Plan, to the extent the Company determines it is necessary or advisable for legal or administrative reasons. Participant hereby agrees to take whatever additional action and execute whatever additional documents the Company may deem necessary or advisable in order to carry out the foregoing or one or more of the obligations or restrictions imposed on either Participant or the Shares pursuant to the provisions of this Agreement.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 Entire Contract. </w:t>
      </w:r>
      <w:r>
        <w:rPr>
          <w:rFonts w:ascii="Times New Roman" w:cs="Times New Roman" w:eastAsia="Times New Roman" w:hAnsi="Times New Roman"/>
          <w:sz w:val="18"/>
          <w:szCs w:val="18"/>
          <w:color w:val="auto"/>
        </w:rPr>
        <w:t>This Agreement and the Plan constitute the entire understanding and agreement of the parties with respect to the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This Agreement is made pursuant to, and incorporates by reference, the provisions of the Plan and shall in all respects be construed in conformity with the terms of the Plan.</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 Language. </w:t>
      </w:r>
      <w:r>
        <w:rPr>
          <w:rFonts w:ascii="Times New Roman" w:cs="Times New Roman" w:eastAsia="Times New Roman" w:hAnsi="Times New Roman"/>
          <w:sz w:val="18"/>
          <w:szCs w:val="18"/>
          <w:color w:val="auto"/>
        </w:rPr>
        <w:t>Participant acknowledges that he or she is sufficiently proficient in English, or, alternatively, Participant acknowledges that he or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seek appropriate assistance to understand the terms and conditions in this Agreement. Furthermore,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 Electronic Delivery and Acceptance. </w:t>
      </w:r>
      <w:r>
        <w:rPr>
          <w:rFonts w:ascii="Times New Roman" w:cs="Times New Roman" w:eastAsia="Times New Roman" w:hAnsi="Times New Roman"/>
          <w:sz w:val="18"/>
          <w:szCs w:val="18"/>
          <w:color w:val="auto"/>
        </w:rPr>
        <w:t>The Company may, in its sole discretion, decide to deliver any documents related to current or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11.7 Successors and Assigns. </w:t>
      </w:r>
      <w:r>
        <w:rPr>
          <w:rFonts w:ascii="Times New Roman" w:cs="Times New Roman" w:eastAsia="Times New Roman" w:hAnsi="Times New Roman"/>
          <w:sz w:val="18"/>
          <w:szCs w:val="18"/>
          <w:color w:val="auto"/>
        </w:rPr>
        <w:t>The provisions of this Agreement shall inure to the benefit of, and be binding upon, the Company and its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and upon Participant, Participant’s permitted assigns and the legal representatives, heirs and legatees of Participant’s estate, whether or not any such person shall have become a party to this Agreement and have agreed in writing to join herein and be bound by the terms hereof. Participant may not assign this Agreement other than by the laws of descent and distribution.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11.8 Severability. </w:t>
      </w:r>
      <w:r>
        <w:rPr>
          <w:rFonts w:ascii="Times New Roman" w:cs="Times New Roman" w:eastAsia="Times New Roman" w:hAnsi="Times New Roman"/>
          <w:sz w:val="18"/>
          <w:szCs w:val="18"/>
          <w:color w:val="auto"/>
        </w:rPr>
        <w:t>In the event that any provision in this Agreement will be held invalid or unenforceable, such provision will be severable from,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invalidity or unenforceability will not be construed to have any effect on, the remaining provisions of this Agreement.</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11.9 Governing Law and Choice of Venue. </w:t>
      </w:r>
      <w:r>
        <w:rPr>
          <w:rFonts w:ascii="Times New Roman" w:cs="Times New Roman" w:eastAsia="Times New Roman" w:hAnsi="Times New Roman"/>
          <w:sz w:val="18"/>
          <w:szCs w:val="18"/>
          <w:color w:val="auto"/>
        </w:rPr>
        <w:t>The Performance Restricted Stock Units and the provisions of this Agreement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laws of the State of Utah, United States, without regard to the conflict of law provisions, as provided in the Plan. For purposes of litigating any dispute that arises under this Agreement or this grant of Performance Restricted Stock Units, the parties hereby submit to and consent to the jurisdiction of the State of Utah, agree that such litigation shall be conducted in the courts of Utah County, Utah, or the federal courts of the United States for the District of Utah, where this grant is made and/or to be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11.10 Appendix. </w:t>
      </w:r>
      <w:r>
        <w:rPr>
          <w:rFonts w:ascii="Times New Roman" w:cs="Times New Roman" w:eastAsia="Times New Roman" w:hAnsi="Times New Roman"/>
          <w:sz w:val="18"/>
          <w:szCs w:val="18"/>
          <w:color w:val="auto"/>
        </w:rPr>
        <w:t>Notwithstanding any provisions in this Agreement, the Performance Restricted Stock Units shall be subject to any special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in any Appendix to this Agreement for Participant’s country. Moreover, if Participant relocates to one of the countries included in the Appendix, the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11.11 Insider Trading Restrictions/Market Abuse Laws. </w:t>
      </w:r>
      <w:r>
        <w:rPr>
          <w:rFonts w:ascii="Times New Roman" w:cs="Times New Roman" w:eastAsia="Times New Roman" w:hAnsi="Times New Roman"/>
          <w:sz w:val="18"/>
          <w:szCs w:val="18"/>
          <w:color w:val="auto"/>
        </w:rPr>
        <w:t>Participant acknowledges that, depending on Participant’s country, broker’s country,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Shares are listed, Participant may be subject to insider trading and/or market abuse laws which may affect Participant’s ability to accept, acquire, sell or otherwise dispose of Shares, rights to such shares (e.g., Performance Restricted Stock Units) or rights linked to the value of Shares under the Plan during such times as Participant is considered to have “material nonpublic information” or “inside information” regarding the Company (as defined by the laws or regulations in the relevant jurisdiction). Local insider trading laws and regulations may prohibit the cancellation or amendment of orders Participant places before Participant possessed inside information. Furthermore, Participant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Participant acknowledges that it is his or her responsibility to comply with any applicable restrictions, and that Participant should speak to his or her personal advisor on this matter.</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11.12 Exchange Control Tax and Foreign Asset/Account Reporting Requirements</w:t>
      </w:r>
      <w:r>
        <w:rPr>
          <w:rFonts w:ascii="Times New Roman" w:cs="Times New Roman" w:eastAsia="Times New Roman" w:hAnsi="Times New Roman"/>
          <w:sz w:val="18"/>
          <w:szCs w:val="18"/>
          <w:color w:val="auto"/>
        </w:rPr>
        <w:t>. Participant acknowledges that there may be exchange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foreign asset and/or account reporting requirements which may affect Participant’s ability to acquire or hold Shares acquired under the Plan or cash received from participating in the Plan (including from any dividends paid on Shares acquired under the Plan) in a brokerage, bank account or legal entity outside Participant’s country. Participant may be required to report such accounts, balances, assets and/or the related transactions to the tax or other authorities in his or her country. Participant also may be required to repatriate sale proceeds or other funds received as a result of Participant’s participation in the Plan to his or her country through a designated bank or broker within a certain time after receipt. Participant acknowledges that it is Participant’s responsibility to be compliant with such regulations and Participant should consult his or her personal legal advisor for any details. Participant agrees to take any and all actions, and consents to any and all actions taken by the Company or the Employer as may be required to allow the Company or the Employer to comply with local laws, rules and regulations in Participant’s country of residence (and country of employment, if different). Finally, Participant agrees to take any and all actions as may be required to comply with Participant’s personal legal and tax obligations under local laws, rules and regulations in Participant’s country of residence (and country of employment,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11.13 Section 409A</w:t>
      </w:r>
      <w:r>
        <w:rPr>
          <w:rFonts w:ascii="Times New Roman" w:cs="Times New Roman" w:eastAsia="Times New Roman" w:hAnsi="Times New Roman"/>
          <w:sz w:val="18"/>
          <w:szCs w:val="18"/>
          <w:color w:val="auto"/>
        </w:rPr>
        <w:t>. The Performance Restricted Stock Units and issuance of Shares thereunder are intended to comply with Code Section 409A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Treasury Regulations relating thereto so as not to subject the Participant to the payment of additional taxes and interest under Code Section 409A or other adverse tax consequences. In furtherance of this intent, the provisions of this Agreement will be interpreted, operated, and administered in a manner consistent with these intentions. The Committee may modify the terms of this Agreement, the Plan or both, without the consent of the Participant,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Section 11.12 does not create an obligation on the part of the Company to modify the terms of this Agreement or the Plan and does not guarantee that the Performance Restricted Stock Units or the delivery of Shares upon vesting/settlement of the Performance Restricted Stock Units will not be subject to taxes, interest and penalties or any other adverse tax consequences under Code Section 409A. Nothing in this Agreement shall provide a basis for any person to take any action against the Company or any of its Subsidiaries based on matters covered by Code Section 409A, including the tax treatment of any amounts paid under this Agreement, and neither the Company nor any of its Subsidiaries will have any liability under any circumstances to the Participant or any other party if the Performance Restricted Stock Units, the delivery of Shares upon vesting/settlement of the Performance Restricted Stock Units or other payment or tax event hereunder that is intended to be exempt from, or compliant with, Code Section 409A, is not so exempt or compliant or for any action taken by the Committee with respect thereto. Further, settlement of any portion of the Performance Restricted Stock Units that is Deferred Compensation may not be accelerated or postponed except to the extent permitted by Code Section 409A.</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By electronically accepting this Agreement and participating in the Plan, Participant agrees to be bound by the terms and conditions in the Plan and this Agreement, including the Appendix. Within six months of the Grant Date, if Participant has not electronically accepted this Agreement on Fidelity’s website, or the website of any other stock plan service provider appointed by the Company, and has not otherwise rejected the grant, then this award shall automatically be deemed accepted, and Participant shall be bound by the terms and conditions in the Plan and this Agreement, including the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PARTICIPANTS OUTSIDE THE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2010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RESTRICTED STOCK UNIT AGREEMENT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capitalized terms in this Appendix shall have the same defined meaning assigned to them in the Plan and the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Appendix includes special country-specific terms and conditions that apply to Participants in the countries listed below. This Appendix is part of the Agreement. This Appendix also includes information of which Participant should be aware with respect to his or her participation in the Plan. For example, certain individual exchange control reporting requirements may apply upon vesting of the Performance Restricted Stock Units and/or sale of Shares. The information is based on the securities, exchange control and other laws in effect in the respective countries as of November 2023 and is provided for informational purposes. Such laws are often complex and change frequently, and results may be different based on the particular facts and circumstances. As a result, the Company recommends that Participant does not rely on the information noted herein as the only source of information relating to the consequences of Participant’s participation in the Plan because the information may be out of date at the time the Performance Restricted Stock Units vest or are settled, or Participant sells Shares acquired under the Plan.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his or her situation.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other than the one in which he or she currently is residing and/or working, transfers employment after the Performance Restricted Stock Units are granted to him or her, or is considered a resident of another country for local law purposes, the terms and conditions and/or notifications contained herein may not be applicable to him or her, and the Company shall, in its discretion, determine to what extent such terms and conditions contained herein shall apply to him or 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DATA PRIVACY PROVISIONS APPLICABLE TO GRANTEES IN THE EUROPEAN UNION/EUROPEAN ECONOMIC AREA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replaces Section 10 of the Agreement: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Data Collection and Usage</w:t>
      </w:r>
      <w:r>
        <w:rPr>
          <w:rFonts w:ascii="Times New Roman" w:cs="Times New Roman" w:eastAsia="Times New Roman" w:hAnsi="Times New Roman"/>
          <w:sz w:val="18"/>
          <w:szCs w:val="18"/>
          <w:color w:val="auto"/>
        </w:rPr>
        <w:t>. Pursuant to applicable data protection laws, Participant is hereby notified that the Company collects, processes, uses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certain personally-identifiable information about Participant for the exclusive legitimate purpose of granting Performance Restricted Stock Units and implementing, administering and managing Participant’s participation in the Plan. Specifics of the data processing are described below. For California residents, the categories of personal information,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personal information is not sold or shared for cross-context behavioral advertising. The Company’s Global Privacy Notice is available at https://www.nuskin.com/content/global-privacy.html.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Controller, EU Representative and DPO</w:t>
      </w:r>
      <w:r>
        <w:rPr>
          <w:rFonts w:ascii="Times New Roman" w:cs="Times New Roman" w:eastAsia="Times New Roman" w:hAnsi="Times New Roman"/>
          <w:sz w:val="18"/>
          <w:szCs w:val="18"/>
          <w:color w:val="auto"/>
        </w:rPr>
        <w:t>. The Company is the controller responsible for the processing of Participant’s personal data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Company’s representative in the European Union is NSE Products Europe BV, Da Vincilaan 9, 1930 Zaventem, Belgium, telephone number +32 2 722 70 00. Participant can reach the data protection officer (“DPO”) of the Company at +1 (801) 345-1000, 75 West Center Street, Provo, Utah 84601.</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Personal Data Subject to Processing</w:t>
      </w:r>
      <w:r>
        <w:rPr>
          <w:rFonts w:ascii="Times New Roman" w:cs="Times New Roman" w:eastAsia="Times New Roman" w:hAnsi="Times New Roman"/>
          <w:sz w:val="18"/>
          <w:szCs w:val="18"/>
          <w:color w:val="auto"/>
        </w:rPr>
        <w:t>. The Company collects, processes and uses the following types of personal data about Participant: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home address and telephone number, email address, date of birth, social insurance, passport number or other identification number, salary, nationality, job title, any Shares or directorships held in the Company, details of all Performance Restricted Stock Units or any other entitlement to Shares awarded, canceled, settled, vested, unvested or outstanding in Participant’s favor, which the Company receives from Participant or the Employer, as well as Participant’s hire date, term date, term reason code, status, and Company’s Division (“Personal Data”).</w:t>
      </w:r>
    </w:p>
    <w:p>
      <w:pPr>
        <w:spacing w:after="0" w:line="179"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b w:val="1"/>
          <w:bCs w:val="1"/>
          <w:color w:val="auto"/>
        </w:rPr>
        <w:t>Purposes and Legal Bases of Processing</w:t>
      </w:r>
      <w:r>
        <w:rPr>
          <w:rFonts w:ascii="Times New Roman" w:cs="Times New Roman" w:eastAsia="Times New Roman" w:hAnsi="Times New Roman"/>
          <w:sz w:val="18"/>
          <w:szCs w:val="18"/>
          <w:color w:val="auto"/>
        </w:rPr>
        <w:t>. The Company processes the Personal Data for the purpose of granting Performance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implementing, administering and managing Participant’s participation in the Plan. 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described below is the necessity of the data processing for the Company to perform its contractual obligations under the Agreement and generally administering employee equity awards.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Stock Plan Administration Service Providers</w:t>
      </w:r>
      <w:r>
        <w:rPr>
          <w:rFonts w:ascii="Times New Roman" w:cs="Times New Roman" w:eastAsia="Times New Roman" w:hAnsi="Times New Roman"/>
          <w:sz w:val="18"/>
          <w:szCs w:val="18"/>
          <w:color w:val="auto"/>
        </w:rPr>
        <w:t>. The Company transfers Personal Data to Fidelity Stock Plan Services, LLC and its affiliated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“Fidelity”), an independent stock plan administrator with operations, relevant to the Company, in the United States, which assists the Company with the implementation, administration and management of the Plan. In the future, the Company may select different service providers and may share Personal Data with such service providers. As a data controller, the Company’s stock plan administrator will open an account for Participant to receive and trade Shares. Participant will be asked to agree on separate terms and data processing practices with the service provider, which is a condition of Participant’s ability to participate in the Plan. Participant’s Personal Data will only be accessible by those individuals requiring access to it for purposes of implementing, administering and operating Participant’s participation in the Plan. Participant understands that Participant may request a list with the names and addresses of any potential recipients of Personal Data by contacting Participant’s local human resources representative.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International Data Transfers</w:t>
      </w:r>
      <w:r>
        <w:rPr>
          <w:rFonts w:ascii="Times New Roman" w:cs="Times New Roman" w:eastAsia="Times New Roman" w:hAnsi="Times New Roman"/>
          <w:sz w:val="18"/>
          <w:szCs w:val="18"/>
          <w:color w:val="auto"/>
        </w:rPr>
        <w:t>. The Company and its service providers, including, without limitation, Fidelity, operate, relevant to the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which means that it will be necessary for Personal Data to be transferred to, and processed in, the United States. Participant understands and acknowledges that the United States is not subject to an unlimited adequacy finding by the European Commission and that Participant’s Personal Data may not have an equivalent level of protection as compared to Participant’s country of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is the necessity of the data processing for the Company to perform its contractual obligations under the Agreement and generally administering employee equity awards.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Data Retention</w:t>
      </w:r>
      <w:r>
        <w:rPr>
          <w:rFonts w:ascii="Times New Roman" w:cs="Times New Roman" w:eastAsia="Times New Roman" w:hAnsi="Times New Roman"/>
          <w:sz w:val="18"/>
          <w:szCs w:val="18"/>
          <w:color w:val="auto"/>
        </w:rPr>
        <w:t>. The Company will use the Personal Data only as long as necessary to implement, administer and manage Participant’s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or as required to comply with legal or regulatory obligations, including tax and securities laws. When the Company no longer needs the Personal Data, the Company will remove it from its systems. If the Company keeps data longer, it would be to satisfy tax, legal or regulatory obligations and the Company’s legal basis would be relevant laws or regulations.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Data Subject Rights</w:t>
      </w:r>
      <w:r>
        <w:rPr>
          <w:rFonts w:ascii="Times New Roman" w:cs="Times New Roman" w:eastAsia="Times New Roman" w:hAnsi="Times New Roman"/>
          <w:sz w:val="18"/>
          <w:szCs w:val="18"/>
          <w:color w:val="auto"/>
        </w:rPr>
        <w:t>. To the extent provided by law, Participant has the right to (i) inquire whether and what kind of Personal Data the Company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Participant and how it is processed, and to access or request copies of such Personal Data, (ii) request the correction or supplementation of Personal Data that is inaccurate, incomplete or out-of-date in light of the purposes underlying the processing, or (iii) obtain the erasure of Personal Data no longer necessary for the purposes underlying the processing or processed in non-compliance with applicable legal requirements. In addition, Participant has, to the extent provided by law, the right to (iv) request the Company to restrict the processing of Personal Data in certain situations where Participant feels its processing is inappropriate, (v) object, in certain circumstances, to the processing of Personal Data for legitimate interests, and to (vi) request portability of Personal Data that Participant has actively or passively provided to the Company, where the processing of such Personal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Agreement or to exercise his or her rights, Participant should contact his or her local human resources representative.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Contractual Requirement</w:t>
      </w:r>
      <w:r>
        <w:rPr>
          <w:rFonts w:ascii="Times New Roman" w:cs="Times New Roman" w:eastAsia="Times New Roman" w:hAnsi="Times New Roman"/>
          <w:sz w:val="18"/>
          <w:szCs w:val="18"/>
          <w:color w:val="auto"/>
        </w:rPr>
        <w:t>. Participant’s provision of Personal Data and its processing as described above is required for the performance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obligations pursuant to the Plan and a condition to Participant’s ability to participate in the Plan. Participant understands that, as a consequence of Participant’s refusing to provide Personal Data, the Company may not be able to allow Participant to participate in the Plan, grant Performance Restricted Stock Units to Participant or administer or maintain such Performance Restricted Stock Units. However, Participant’s participation in the Plan and his or her acceptance of this Agreement are purely voluntary. While Participant will not receive Performance Restricted Stock Units if he or she decides against participating in the Plan or providing Personal Data as described above, Participant’s career and salary will not be affected in any way. For more information on the consequences of the refusal to provide Personal Data, Participant may contact his or her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auto"/>
        </w:rPr>
        <w:t>AUSTRALIA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Nature of Plan</w:t>
      </w:r>
      <w:r>
        <w:rPr>
          <w:rFonts w:ascii="Times New Roman" w:cs="Times New Roman" w:eastAsia="Times New Roman" w:hAnsi="Times New Roman"/>
          <w:sz w:val="18"/>
          <w:szCs w:val="18"/>
          <w:color w:val="auto"/>
        </w:rPr>
        <w:t>. The Plan and the Agreement is a plan to which Subdivision 83A-C of the Income Tax Assessment Act 1997 (Cth) (the “Act”) applies (subject to the conditions in the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the Performance Restricted Stock Units is being made under Division 1A Part 7.12 of the Corporations Act 2001 (Cth). If Participant offers Shares acquired under the Plan for sale to a person or entity resident in Australia, the offer may be subject to disclosure requirements under Australian law. Participant should obtain legal advice on any disclosure obligations prior to making any such offer.</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Exchange control reporting is required for cash transactions exceeding AUD10,000 and for international fund transfers. If an Australian bank is assisting with the transaction, the bank will file the report on the Participant’s behalf.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BELGIUM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is required to report any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Shares acquired under the Plan) or bank accounts established outside of Belgium on his or her annual tax return. In a separate report, Belgian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Participant should consult a personal tax advisor with respect to the applicable reporting obligations.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Annual Securities Accounts Tax</w:t>
      </w:r>
      <w:r>
        <w:rPr>
          <w:rFonts w:ascii="Times New Roman" w:cs="Times New Roman" w:eastAsia="Times New Roman" w:hAnsi="Times New Roman"/>
          <w:sz w:val="18"/>
          <w:szCs w:val="18"/>
          <w:color w:val="auto"/>
        </w:rPr>
        <w:t>. An annual securities accounts tax may be payable if the total value of securities 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Participant should consult with a personal tax or financial advisor for additional details on Participant’s obligations with respect to the annual securities account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CANADA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Performance Restricted Stock Units Only Payable in Shares</w:t>
      </w:r>
      <w:r>
        <w:rPr>
          <w:rFonts w:ascii="Times New Roman" w:cs="Times New Roman" w:eastAsia="Times New Roman" w:hAnsi="Times New Roman"/>
          <w:sz w:val="18"/>
          <w:szCs w:val="18"/>
          <w:color w:val="auto"/>
        </w:rPr>
        <w:t>. Notwithstanding any discretion in the Plan, the Performance Restricted Stock Units will be settled in Shares only. The grant of Performance Restricted Stock Units does not provide any right for Participant to receive a cash payment.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Participant acknowledges and agrees that he or she will sell Shares acquired through participation in the Plan only outside of Canada through the facilities of a stock exchange on which the Shares are listed. The Shares are currently listed on the New York Stock Exchange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is required to report any specified foreign property (including Shares) annually on Form T1135 (Foreign Income Verification Statement) if the total cost of Participant’s specified foreign property exceeds C$100,000 at any time during the year. The form must be filed by April 30th of the following year. Specified foreign property includes Shares acquired under the Plan and may include Performance Restricted Stock Units. The Performance Restricted Stock Units must be reported</w:t>
      </w:r>
      <w:r>
        <w:rPr>
          <w:rFonts w:ascii="Arial" w:cs="Arial" w:eastAsia="Arial" w:hAnsi="Arial"/>
          <w:sz w:val="18"/>
          <w:szCs w:val="18"/>
          <w:color w:val="auto"/>
        </w:rPr>
        <w:t>‒</w:t>
      </w:r>
      <w:r>
        <w:rPr>
          <w:rFonts w:ascii="Times New Roman" w:cs="Times New Roman" w:eastAsia="Times New Roman" w:hAnsi="Times New Roman"/>
          <w:sz w:val="18"/>
          <w:szCs w:val="18"/>
          <w:color w:val="auto"/>
        </w:rPr>
        <w:t>generally at a nil cost</w:t>
      </w:r>
      <w:r>
        <w:rPr>
          <w:rFonts w:ascii="Arial" w:cs="Arial" w:eastAsia="Arial" w:hAnsi="Arial"/>
          <w:sz w:val="18"/>
          <w:szCs w:val="18"/>
          <w:color w:val="auto"/>
        </w:rPr>
        <w:t>‒</w:t>
      </w:r>
      <w:r>
        <w:rPr>
          <w:rFonts w:ascii="Times New Roman" w:cs="Times New Roman" w:eastAsia="Times New Roman" w:hAnsi="Times New Roman"/>
          <w:sz w:val="18"/>
          <w:szCs w:val="18"/>
          <w:color w:val="auto"/>
        </w:rPr>
        <w:t>if the C$100,000 cost threshold is exceeded because of other foreign property Participant holds. If Shares are acquired, their cost generally is the adjusted cost base (“ACB”) of the Shares. The ACB would normally equal the fair market value of the Shares at vesting for Performance Restricted Stock Units, but if Participant owns other shares, this ACB may have to be averaged with the ACB of the other shares. It is Participant’s responsibility to comply with applicable reporting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provisions apply if Participant is resident in Quebec: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Participant hereby authorizes the Company, the Employer and their representatives, including any broker(s) designated by the Company to discuss with and obtain all relevant information from all personnel, professional or not, involved in the administration and operation of the Plan. Participant further authorizes the Company and its Subsidiaries to disclose and discuss the Plan with their advisors. Participant further authorizes the Company and its Subsidiaries to record such information and to keep such information in the his or her employee file. Participant acknowledges and agree that Participant’s personal information, including any sensitive personal information, may be transferred or disclosed outside the province of Quebec, including to the U.S. If applicable, Participant also acknowledges and authorizes the Company, the Company’s Subsidiaries, the administrator of the Plan and any third party brokers/administrators that are assisting the Company with the operation and administration of the Plan to use technology for profiling purposes and to make automated decisions that may have an impact on Participant or the administration of the Plan.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Translation</w:t>
      </w:r>
      <w:r>
        <w:rPr>
          <w:rFonts w:ascii="Times New Roman" w:cs="Times New Roman" w:eastAsia="Times New Roman" w:hAnsi="Times New Roman"/>
          <w:sz w:val="18"/>
          <w:szCs w:val="18"/>
          <w:color w:val="auto"/>
        </w:rPr>
        <w:t>. Participant understands that they are entitled to receive the Agreement, the Plan and potentially other documents related to the Performance Restricted Stock Units translated into French, and if so requested, the Company will use its best efforts to provide the French translation as expediently as possible. If Participant does not request a French translation, it is understood that Participant prefers to receive the documents related to the Plan in the English language and agree that the English documents govern the Performance Restricted Stock Units.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Traduction</w:t>
      </w:r>
      <w:r>
        <w:rPr>
          <w:rFonts w:ascii="Times New Roman" w:cs="Times New Roman" w:eastAsia="Times New Roman" w:hAnsi="Times New Roman"/>
          <w:sz w:val="18"/>
          <w:szCs w:val="18"/>
          <w:i w:val="1"/>
          <w:iCs w:val="1"/>
          <w:color w:val="auto"/>
        </w:rPr>
        <w:t>. Participant comprend qu’il a le droit de recevoir l’accord, le plan et potentiellement d’autres documents liés aux unités d’actions restreintes traduits en français, et si cela est demandé, la Société fera de son mieux pour fournir la traduction française aussi rapidement que possible. Si Participant ne demande pas de traduction en français, il est entendu qu’il préfère recevoir les documents relatifs au Plan en langue anglaise et accepte que les documents en anglais régissent les Unités d’actions restreintes.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CHINA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provisions apply only to Participants who are subject to exchange control restrictions imposed by the State Administration of Foreign Exchange (“SAFE”), as determined by the Company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auto"/>
        </w:rPr>
        <w:t>Settlement of Performance Restricted Stock Units</w:t>
      </w:r>
      <w:r>
        <w:rPr>
          <w:rFonts w:ascii="Times New Roman" w:cs="Times New Roman" w:eastAsia="Times New Roman" w:hAnsi="Times New Roman"/>
          <w:sz w:val="18"/>
          <w:szCs w:val="18"/>
          <w:color w:val="auto"/>
        </w:rPr>
        <w:t>. This provision supplements Section 1.4 of the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Performance Restricted Stock Units will only vest if and when the Company has completed the registration of the Plan with SAFE and provided such registration remains effective. If the Company is unable to complete the registration or maintain the registration, the settlement of the Performance Restricted Stock Units may be delayed. Shares issued to Participant under the Plan must be maintained in an account with Fidelity or such other broker as may be designated by the Company until the Shares are sold through that broker. Due to local regulatory requirements, Participant agrees that the Company may force the sale of any Shares obtained at vesting. The sale may occur immediately upon vesting or within any other time frame as the Company determines to be necessary or advisable for legal or administrative reasons.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due to regulatory requirements, Participant acknowledges and agrees that Participant must sell any Shares issued to Participant upon vesting of the Performance Restricted Stock Units as soon as practicable following the termination of Participant’s Continuous Service and in no event later than six months following the termination of Participant’s Continuous Service, or within any other such time frame as may be required by SAFE. Participant agrees that if Participant continues to hold any of such Shares after this time, the Shares will be sold by the Company’s designated broker on Participant’s behalf at the instruction of the Company. Therefore, by accepting the Performance Restricted Stock Units, Participant understands and agrees that the Company is authorized to, and may in its sole discretion, instruct its designated broker to assist with the mandatory sale of Shares (on Participant’s behalf pursuant to this authorization) and that Participant expressly authorizes the Company’s designated broker to complete the sale of such Shares. Participant acknowledges that the Company’s designated broker is under no obligation to arrange for the sale of the Shares at any particular price. Upon the sale of the Shares, the proceeds, less any Tax-Related Items and brokerage fees or commissions will be remitted to Participant pursuant to the procedures described in the “Exchange Control Information” section below.</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understands and agrees that, to facilitate compliance with exchange control requirements, Participant will be required to immediately repatriate to China the cash proceeds from the sale of the Shares issued upon the vesting of the Performance Restricted Stock Units. Participant further understands that, under local law, such repatriation of the cash proceeds will be effectuated through a special exchange control account established by the Company or its Subsidiary in China, and Participant hereby consents and agrees that the proceeds from the sale of Shares acquired under the Plan may be transferred to such special account prior to being delivered to Participant. The Company may deliver the proceeds to Participant in U.S. dollars or local currency at the Company’s discretion. If the proceeds are paid in U.S. dollars, Participant understands that he or she will be required to set up a U.S. dollar bank account in China so that the proceeds may be deposited into this account. If the proceeds are converted to local currency, there may be delays in delivering the proceeds to Participant. Participant agrees to bear the risk of any currency fluctuation between the time the Shares are sold, either through voluntary sale or through a mandatory sale arranged by the Company, or proceeds are otherwise realized under the Plan and the time such proceeds are distributed to Participant through the special exchange control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further agrees to comply with any other requirements that may be imposed by the Company in the future to facilitate compliance with exchange control requirements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DENMARK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Danish Stock Option Act.</w:t>
      </w:r>
      <w:r>
        <w:rPr>
          <w:rFonts w:ascii="Times New Roman" w:cs="Times New Roman" w:eastAsia="Times New Roman" w:hAnsi="Times New Roman"/>
          <w:sz w:val="18"/>
          <w:szCs w:val="18"/>
          <w:color w:val="auto"/>
        </w:rPr>
        <w:t xml:space="preserve"> Participant acknowledges that they have received an Employer Statement in Danish which sets forth additional terms of the Performance Restricted Stock Units, to the extent that the Danish Stock Option Act applies to the Performance Restricted Stock Units.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Danish residents who establish an account holding Shares or an account holding cash outside Denmark must report the account to the Danish Tax Administration as part of their annual tax return under the section related to foreign affairs and income. The form which should be used in this respect can be obtained from a local bank. Participant should consult with Participant’s personal advisor(s) regarding any personal foreign asset/foreign account tax obligations Participant may have in connection with Participant’s participation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GERMANY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Cross-border payments in excess of €12,500 must be reported monthly to the German Federal Bank (Bundesbank). If Participant makes or receives a payment that exceeds €12,500 (including if Participant acquires Shares with a value in excess of this amount under the Plan or sell Shares via a foreign broker, bank or service provider and receive proceeds in excess of this amount) and/or if the Company withholds or sells Shares with a value in excess of this amount to cover Tax-Related Items, Participant must report the payment and/or the value of the Shares withheld or sold to Bundesbank. Such reports must be filed either electronically using the “General Statistics Reporting Portal” (</w:t>
      </w:r>
      <w:r>
        <w:rPr>
          <w:rFonts w:ascii="Times New Roman" w:cs="Times New Roman" w:eastAsia="Times New Roman" w:hAnsi="Times New Roman"/>
          <w:sz w:val="18"/>
          <w:szCs w:val="18"/>
          <w:i w:val="1"/>
          <w:iCs w:val="1"/>
          <w:color w:val="auto"/>
        </w:rPr>
        <w:t>Allgemeine Meldeportal Statistik</w:t>
      </w:r>
      <w:r>
        <w:rPr>
          <w:rFonts w:ascii="Times New Roman" w:cs="Times New Roman" w:eastAsia="Times New Roman" w:hAnsi="Times New Roman"/>
          <w:sz w:val="18"/>
          <w:szCs w:val="18"/>
          <w:color w:val="auto"/>
        </w:rPr>
        <w:t>) available via the Bundesbank’s website (www.bundesbank.de) or by such other method as is permitted or required by Bundesbank. The report must be submitted monthly or within such timing as is permitted or required by Bundesbank.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German residents holding Shares must notify their local tax office if the acquisition of Shares under the Plan leads to a so-called qualified participation at any point during the calendar year. A qualified participation is attained only in the unlikely event (i) Participant owns at least 1% of the Company and the value of the Shares acquired exceeds €150,000, or (ii) Participant holds Shares exceeding 10% of the total capital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HONG KONG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Performance Restricted Stock Units Only Payable in Shares</w:t>
      </w:r>
      <w:r>
        <w:rPr>
          <w:rFonts w:ascii="Times New Roman" w:cs="Times New Roman" w:eastAsia="Times New Roman" w:hAnsi="Times New Roman"/>
          <w:sz w:val="18"/>
          <w:szCs w:val="18"/>
          <w:color w:val="auto"/>
        </w:rPr>
        <w:t>. Notwithstanding any discretion in the Plan, the Performance Restricted Stock Units will be settled in Shares only. The grant of Performance Restricted Stock Units does not provide any right for Participant to receive a cash payment.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Restriction on Sale of Shares</w:t>
      </w:r>
      <w:r>
        <w:rPr>
          <w:rFonts w:ascii="Times New Roman" w:cs="Times New Roman" w:eastAsia="Times New Roman" w:hAnsi="Times New Roman"/>
          <w:sz w:val="18"/>
          <w:szCs w:val="18"/>
          <w:color w:val="auto"/>
        </w:rPr>
        <w:t>. Shares received under the Plan are accepted as a personal investment. Should any portion of the Performance Restricted Stock Units vest within six months of the Grant Date, Participant agrees that Participant will not dispose of the Shares acquired at vesting prior to the six-month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Securities Law Information</w:t>
      </w:r>
      <w:r>
        <w:rPr>
          <w:rFonts w:ascii="Times New Roman" w:cs="Times New Roman" w:eastAsia="Times New Roman" w:hAnsi="Times New Roman"/>
          <w:sz w:val="18"/>
          <w:szCs w:val="18"/>
          <w:b w:val="1"/>
          <w:bCs w:val="1"/>
          <w:i w:val="1"/>
          <w:iCs w:val="1"/>
          <w:color w:val="auto"/>
        </w:rPr>
        <w:t>. Warning: The contents of this document have not been reviewed by any regulatory authority in Hong Kong. Participant is advised to exercise caution in relation to the offer. If Participant is in any doubt about any of the contents of the Agreement, including this Appendix, or the Plan, Participant should obtain independent professional advice. The Performance Restricted Stock Units and any Shares issued pursuant to the grant do not constitute a public offering of securities under Hong Kong law and are available only to employees of the Company.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Performance Restricted Stock Units and any related documentation are intended only for the personal use of each eligible employee of the Company and may not be distributed to any other person.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HUNGARY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INDONESIA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Language Consent and Notification</w:t>
      </w:r>
      <w:r>
        <w:rPr>
          <w:rFonts w:ascii="Times New Roman" w:cs="Times New Roman" w:eastAsia="Times New Roman" w:hAnsi="Times New Roman"/>
          <w:sz w:val="18"/>
          <w:szCs w:val="18"/>
          <w:color w:val="auto"/>
        </w:rPr>
        <w:t>. A translation of the documents related to this grant into Bahasa Indonesia can be provided to Participant upon request to hroperations@nuskin.com. By accepting the grant, Participant (i) confirms having read and understood the documents relating to this grant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Language Consent and Notification</w:t>
      </w:r>
      <w:r>
        <w:rPr>
          <w:rFonts w:ascii="Times New Roman" w:cs="Times New Roman" w:eastAsia="Times New Roman" w:hAnsi="Times New Roman"/>
          <w:sz w:val="18"/>
          <w:szCs w:val="18"/>
          <w:color w:val="auto"/>
        </w:rPr>
        <w:t>. Terjemahan dari dokumen-dokumen terkait dengan pemberian ini ke Bahasa Indonesia dapat disediakan untuk anda berdasarkan permintaan kepada hroperations@nuskin.com.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remits proceeds from the sale of Shares or the receipt of any dividends paid on such Shares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made.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Participant must provide the Bank of Indonesia with information on foreign exchange activities via a monthly report submitted online through the Bank of Indonesia’s website. The report is due no later than the 15th day of the month following the month in which the activity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should consult with Participant’s personal advisor(s) regarding any personal legal, regulatory or foreign exchange obligations Participant may have in connection with Participant’s participation in the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Indonesian residents have the obligation to report worldwide assets (including foreign accounts and Shares acquired under the Plan) in their annual individual income tax return.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JAPAN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xml:space="preserve"> If Participant acquires Shares valued at more than ¥100,000,000 in a single transaction, Participant must file a Securities Acquisition Report with the Ministry of Finance through the Bank of Japan within 20 days of the purchase of the Shares. Participant should consult with Participant’s personal advisor(s) regarding any personal legal, regulatory or foreign exchange obligations Participant may have in connection with Participant’s participation in the Plan.</w:t>
      </w:r>
    </w:p>
    <w:p>
      <w:pPr>
        <w:spacing w:after="0" w:line="18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will be required to report details of any assets (including any Shares acquired under the Plan) held outside of Japan as of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year, to the extent such assets have a total net fair market value exceeding ¥50,000,000. Such report will be due by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following year. Participant should consult with his or her personal tax advisor as to whether the reporting obligation applies to Participant and whether Participant will be required to report details of any outstanding Performance Restricted Stock Units or Shares held by Participant in the report.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KOREA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Domestic Broker Requirement for Selling Shares.</w:t>
      </w:r>
      <w:r>
        <w:rPr>
          <w:rFonts w:ascii="Times New Roman" w:cs="Times New Roman" w:eastAsia="Times New Roman" w:hAnsi="Times New Roman"/>
          <w:sz w:val="18"/>
          <w:szCs w:val="18"/>
          <w:color w:val="auto"/>
        </w:rPr>
        <w:t xml:space="preserve"> Korean residents are not permitted to sell foreign securities (including Shares) through non-Korean brokers (such as Fidelity Stock Plan Services, LLC) or deposit funds resulting from the sale of Shares in an account with an overseas financial institution. If Participant wishes to sell Shares acquired under the Plan, Participant may be required to transfer the Shares to a domestic investment broker in Korea and to effect the sale through such broker. Participant is solely responsible for engaging the domestic broker in Korea, and non-compliance with the requirement to sell Shares through a domestic broker can result in significant penalties.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on December 29, 2023, the Korean Financial Services Commission issued an advance notice of legislative action that, if adopted as drafted, would allow Korean residents to dispose of overseas-listed securities without using a Korean-licensed broker and deposit proceeds from the sale with an overseas financial institution. Until the legislation is adopted, the restrictions described above remain applicable to foreign-listed securities, including the Shares acquired under the Plan. Participant should consult with their personal advisor(s) regarding any personal legal, regulatory or foreign exchange obligations Participant may have in connection with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xml:space="preserve"> Korean residents must declare all foreign financial accounts (e.g., non-Korean bank accounts, brokerage accounts) to the Korean tax authority and file a report with respect to such accounts in June of the following year if the monthly balance of such accounts exceeds KRW 500 million (or an equivalent amount in foreign currency) on any month-end date during a calendar year. Participant should consult with Participant’s personal advisor(s) regarding any personal foreign asset/foreign account tax obligations Participant may have in connection with Participant’s participation in the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MALAYSIA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Director Notification Information</w:t>
      </w:r>
      <w:r>
        <w:rPr>
          <w:rFonts w:ascii="Times New Roman" w:cs="Times New Roman" w:eastAsia="Times New Roman" w:hAnsi="Times New Roman"/>
          <w:sz w:val="18"/>
          <w:szCs w:val="18"/>
          <w:color w:val="auto"/>
        </w:rPr>
        <w:t>. If Participant is a director of a Malaysian Subsidiary, Participant is subject to certain notification requirements under the Malaysian Companies Act, 1965. Among these requirements is an obligation to notify the Malaysian Subsidiary in writing when Participant receives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Performance Restricted Stock Units) in the Company or any related companies. In addition, Participant must notify the Malaysian Subsidiary when Participant sells Shares of the Company or any related company (including when Participant sells Shares acquired under the Plan). These notifications must be made within fourteen days of acquiring or disposing of any interest in the Company or any related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Privacy Notice and Consent</w:t>
      </w:r>
      <w:r>
        <w:rPr>
          <w:rFonts w:ascii="Times New Roman" w:cs="Times New Roman" w:eastAsia="Times New Roman" w:hAnsi="Times New Roman"/>
          <w:sz w:val="18"/>
          <w:szCs w:val="18"/>
          <w:color w:val="auto"/>
        </w:rPr>
        <w:t>. This provision replaces in its entirety Section 10 of the Agreement:</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 of Participant’s personal data, as described in this Agreement and any other Performance Restricted Stock Unit grant materials by and among, as applicable, the Employer, the Company and Subsidiaries for the exclusive purpose of implementing, administering and managing Participant’s participation in the Plan.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Employer, the Company and Subsidiaries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Performance Restricted Stock Units or any other entitlement to Shares awarded, canceled, exercised, vested, unvested or outstanding in Participant’s favor, for the exclusive purpose of implementing, administering and managing the Plan (“Data”). The Data is supplied by the Employer and also by me through information collected in connection with the Agreement and the Plan.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Peserta dengan ini secara eksplisit dan tanpa sebarang keraguan mengizinkan pengumpulan, penggunaan dan pemindahan, dalam bentuk elektronik atau lain-lain, data peribadi Peserta seperti yang diterangkan dalam Perjanjian dan bahan-bahan geran Unit Saham Terbatas yang lain oleh dan di antara, seperti yang berkenaan, Majikan, Syarikat dan Anak-anak Syarikat untuk tujuan yang eksklusif bagi melaksanakan, mentadbir dan menguruskan penyertaan Peserta di dalam Pelan.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Peserta memahami bahawa Majikan, Syarikat and Anak-anak Syarikat mungkin memegang maklumat peribadi tertentu tentang Peserta, termasuk, tetapi tidak terhad kepada, nama Peserta, alamat rumah dan nombor telefon, tarikh lahir, nombor insurans sosial atau nombor pengenalan lain, gaji, kewarganegaraan, jawatan, apa-apa Syer atau jawatan pengarah yang dipegang dalam Syarikat, butir-butir semua Unit Saham Terbatas, atau apa-apa hak lain atas Syer yang dianugerahkan, dibatalkan, dilaksanakan, terletak hak, tidak diletak hak ataupun yang belum dijelaskan bagi faedah Peserta, untuk tujuan eksklusif bagi melaksanakan, mentadbir dan menguruskan Pelan tersebut (“Data”). Data tersebut dibekalkan oleh Majikan dan juga oleh saya berkenaan dengan Perjanjian dan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245745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0" w:space="440"/>
            <w:col w:w="5400"/>
          </w:cols>
          <w:pgMar w:left="320" w:top="121" w:right="339" w:bottom="1440" w:gutter="0" w:footer="0" w:header="0"/>
          <w:type w:val="continuous"/>
        </w:sectPr>
      </w:pPr>
    </w:p>
    <w:bookmarkStart w:id="158" w:name="page159"/>
    <w:bookmarkEnd w:id="158"/>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at +60-03-2170-7700.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Performance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adverse consequence of refusing or withdrawing Participant’s consent is that the Company may not be able to grant Participant Performance Restricted Stock Units or other equity awards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Peserta memahami bahawa Data ini akan dipindahkan kepada Fidelity, atau mana-mana pembekal perkhidmatan pelan saham lain sebagaimana yang dipilih oleh Syarikat pada masa depan, yang membantu Syarikat dengan pelaksanaan, pentadbiran dan pengurusan Pelan. Peserta memahami bahawa penerima-penerima Data mungkin berada di Amerika Syarikat atau mana-mana tempat lain, dan bahawa negara penerima-penerima (contohnya, Amerika Syarikat) mungkin mempunyai undang-undang privasi data dan perlindungan yang berbeza daripada negara Peserta. Peserta memahami bahawa sekiranya Peserta menetap di luar Amerika Syarikat, Peserta boleh meminta satu senarai yang mengandungi nama-nama dan alamat-alamat penerima-penerima Data yang berpotensi dengan menghubungi wakil sumber manusia tempatan peserta di +60-03-2170-7700. Peserta memberi kuasa kepada Syarikat, Fidelity dan mana-mana penerima-penerima kemungkinan lain yang mungkin akan membantu Syarikat (pada masa sekarang atau pada masa depan) dengan melaksanakan, mentadbir dan menguruskan Pelan untuk menerima, memiliki, menggunakan, mengekalkan dan memindahkan Data, dalam bentuk elektronik atau lain-lain, bagi tujuan-tujuan untuk melaksanakan, mentadbir dan menguruskan penyertaan Peserta di dalam Pelan, termasuk segala pemindahan Data tersebut sebagaimana yang dikehendaki kepada broker, egen eskrow atau pihak ketiga dengan siapa Saham diterima semasa peletakhakan Unit Saham Terbatas mungkin didepositkan. Peserta memahami bahawa Data hanya akan disimpan selagi ia adalah diperlukan untuk melaksanakan, mentadbir, dan menguruskan penyertaan peserta dalam Pelan. Peserta memahami bahawa sekiranya peserta menetap di luar Amerika Syarikat, peserta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 Selanjutnya, Peserta memahami bahawa peserta memberikan persetujuan di sini secara sukarela semata-mata. Sekiranya Peserta tidak bersetuju, atau sekiranya Peserta kemudian membatalkan persetujuannya, status pekerjaan atau perkhidmatan dan kerjaya Peserta dengan Majikan tidak akan terjejas; satu-satunya akibat buruk sekiranya Peserta tidak bersetuju atau menarik balik persetujuan Peserta adalah bahawa Syarikat tidak akan dapat memberikan Unit Saham Terbatas atau anugerah ekuiti lain atau mentadbir atau mengekalkan anugerah-anugerah tersebut kepada Peserta. Oleh itu, Peserta memahami bahawa keengganan atau penarikan balik persetujuan peserta boleh menjejaskan keupayaan Peserta untuk mengambil bahagian dalam Pelan. Untuk maklumat lebih lanjut mengenai akibat-akibat keengganan Peserta untuk memberikan keizinan atau penarikan balik keizinan, Peserta memahami bahawa Peserta boleh menghubungi wakil sumber manusia tempatan.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248920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0" w:space="440"/>
            <w:col w:w="5400"/>
          </w:cols>
          <w:pgMar w:left="320" w:top="11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NETHERLANDS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PHILIPPINES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This offering is subject to exemption from the requirements of securities registration with the Philippines Securities and Exchange Commission, under Section 10.1(k) of the Philippine Securities Regulation Code.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further information on risk factors impacting the Company’s business that may affect the value of the Shares, Participant may refer to the risk factors discussion in the Company’s Annual Report on Form 10-K and Quarterly Reports on Form 10-Q, which are filed with the U.S. Securities and Exchange Commission and are available online at www.sec.gov, as well as on the Company’s website at http://ir.nuskin.com. In addition, Participant may receive, free of charge, a copy of the Company’s Annual Report, Quarterly Reports or any other reports, proxy statements or communications distributed to the Company’s stockholders by contacting Investor Relations Department at 75 West Center Street, Provo, Utah 84601.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acknowledges he or she is permitted to dispose or sell Shares acquired under the Plan provided the offer and resale of such shares takes place outside the Philippines through the facilities of a stock exchange on which the Shares are listed. The Shares are currently listed on the New York Stock Exchange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Sale Restriction</w:t>
      </w:r>
      <w:r>
        <w:rPr>
          <w:rFonts w:ascii="Times New Roman" w:cs="Times New Roman" w:eastAsia="Times New Roman" w:hAnsi="Times New Roman"/>
          <w:sz w:val="18"/>
          <w:szCs w:val="18"/>
          <w:color w:val="auto"/>
        </w:rPr>
        <w:t>. Participant agrees that any Shares acquired pursuant to the Performance Restricted Stock Units will not be offered for sale in Singapore prior to the six-month anniversary of the Grant Date, unless such offer or sale is made pursuant to the exemptions under Part XIII Division (1) Subdivision</w:t>
      </w:r>
    </w:p>
    <w:p>
      <w:pPr>
        <w:ind w:right="20" w:firstLine="8"/>
        <w:spacing w:after="0" w:line="260" w:lineRule="auto"/>
        <w:tabs>
          <w:tab w:leader="none" w:pos="26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section 280) of the Securities and Futures Act (Chapter 289, 2006 Ed.) (“SFA”), or pursuant to, and in accordance with the conditions of, any other applicable provisions of the SFA.</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grant of the Performance Restricted Stock Units is made pursuant to the “Qualifying Person” exemption under section 273(1)(f) of the SFA and is not made to Participant with a view of the Performance Restricted Stock Units being subsequently offered for sale to any other party. The Plan has not been lodged or registered as a prospectus with the Monetary Authority of Singapore and hence, statutory liability under the SFA in relation to the content of prospectuses will not apply. Participant should note that the Award is subject to section 257 of the SFA and Participant will not be able to make (i) any subsequent sale of the Shares in Singapore or (ii) any offer of such subsequent sale of the Shares subject to the Award in Singapore, unless such sale or offer is made (a) more than six months after the Grant Date or (b) pursuant to the exemptions under Part XIII Division (1) Subdivision</w:t>
      </w:r>
    </w:p>
    <w:p>
      <w:pPr>
        <w:spacing w:after="0" w:line="5" w:lineRule="exact"/>
        <w:rPr>
          <w:sz w:val="20"/>
          <w:szCs w:val="20"/>
          <w:color w:val="auto"/>
        </w:rPr>
      </w:pPr>
    </w:p>
    <w:p>
      <w:pPr>
        <w:ind w:firstLine="8"/>
        <w:spacing w:after="0" w:line="260" w:lineRule="auto"/>
        <w:tabs>
          <w:tab w:leader="none" w:pos="25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section 280) of the SFA (Chapter 289, 2006 Ed.) or pursuant to, and in accordance with the conditions of, any other applicable provisions of the SFA.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0" w:name="page161"/>
    <w:bookmarkEnd w:id="160"/>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Director Notification Requirement</w:t>
      </w:r>
      <w:r>
        <w:rPr>
          <w:rFonts w:ascii="Times New Roman" w:cs="Times New Roman" w:eastAsia="Times New Roman" w:hAnsi="Times New Roman"/>
          <w:sz w:val="18"/>
          <w:szCs w:val="18"/>
          <w:color w:val="auto"/>
        </w:rPr>
        <w:t>. Directors, associate directors and shadow directors of a Singapore Subsidiary are subject to certain notification requirements under the Singapore Companies Act. The directors, associate directors and shadow directors must notify the Singapore Subsidiary in writing of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Performance Restricted Stock Units, Shares, etc.) in the Company or any related companies within two business days of (i) its acquisition or disposal, (ii) any change in a previously disclosed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when the Shares are sold), or (iii) becoming a director, associate director or shadow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TAIWAN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Participant hereby acknowledges that he or she has read and understood the terms regarding collection, processing and transfer of Data contained in Section 10 of the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Participant understands he or she will not be able to participate in the Plan if Participant fails to execute any such consent or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xml:space="preserve"> The Performance Restricted Stock Units and the Shares to be issued pursuant to the Plan are available only to employees of the Company and its Subsidiaries. The grant of the Performance Restricted Stock Units does not constitute a public offer of securities by a Taiwanese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may remit foreign currency (including proceeds from the sale of Shares or the receipt of any dividends paid on such Shares) into or out of Taiwan up to US$5,000,000 per year without special permission. If the transaction amount is TWD500,000 or more in a single transaction, Participant must submit a Foreign Exchange Transaction Form to the remitting bank and provide supporting documentation to the satisfaction of the remitting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THAILAND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receives proceeds from the sale of Shares or cash dividends in relation to the Shares in excess of US$1,000,000 in a single transaction, Participant must immediately repatriate the funds to Thailand (or utilize such funds offshore for permissible purposes) and convert the funds to Thai Baht within 360 days of repatriation or deposit the funds in an authorized foreign exchange account in Thailand. Participant is also required to provide details of the transaction (i.e., identification information and purpose of the transaction) to the receiving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jc w:val="both"/>
        <w:spacing w:after="0" w:line="266" w:lineRule="auto"/>
        <w:rPr>
          <w:sz w:val="20"/>
          <w:szCs w:val="20"/>
          <w:color w:val="auto"/>
        </w:rPr>
      </w:pPr>
      <w:r>
        <w:rPr>
          <w:rFonts w:ascii="Times New Roman" w:cs="Times New Roman" w:eastAsia="Times New Roman" w:hAnsi="Times New Roman"/>
          <w:sz w:val="18"/>
          <w:szCs w:val="18"/>
          <w:color w:val="auto"/>
        </w:rPr>
        <w:t>If Participant does not repatriate such funds and utilizes them offshore for permissible purposes (i.e., purposes not listed in the negative list prescribed by the Bank of Thailand), Participant must obtain a waiver of the repatriation requirement from a commercial bank in Thailand by submitting an application and supporting documents evidencing that such funds will be utilized offshore for permissible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should consult with Participant’s personal advisor(s) regarding any personal legal, regulatory or foreign exchange obligations Participant may have in connection with Participant’s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Performance Restricted Stock Units shall be divided into [*] equal tranches. The percentage of each respective tranche that shall vest shall be determined as described below. Such percentage of each tranche shall vest on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Vesting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color w:val="auto"/>
        </w:rPr>
        <w:t>SCHEDULE 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DENMARK EMPLOYER STATEMENT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SÆRLIG MEDDELELSE TIL MEDARBEJDERE I DANMARK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ARBEJDSGIVERERKLÆRING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henhold til § 3, stk. 1, i lov om brug af køberet eller tegningsret mv. i ansættelsesforhold (“Aktieoptionsloven”) er medarbejderen (“Medarbejderen”) berettiget til i en særskilt skriftlig erklæring at modtage følgende oplysninger vedrørende incitamentsordningen Third Amended and Restated 2010 Omnibus Incentive Plan (“Planen”) hos Nu Skin Enterprises, Inc. (“Selskabet”).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Denne erklæring indeholder kun de oplysninger, der er nævnt i Aktieoptionsloven, mens de øvrige vilkår og betingelser for Medarbejderens tildeling af ” Performance Restricted Stock Units” er nærmere beskrevet i Planen, “Performance Restricted Stock Unit Agreement” (“Aftalen”) og det øvrige tildelingsmateriale, som er blevet udleveret. Begreber, der står med stort begyndelsesbogstav i denne Arbejdsgivererklæring, men som ikke er defineret heri, har samme betydning som de begreber, der er defineret i Planen eller Aftalen.</w:t>
      </w:r>
    </w:p>
    <w:p>
      <w:pPr>
        <w:spacing w:after="0" w:line="180" w:lineRule="exact"/>
        <w:rPr>
          <w:sz w:val="20"/>
          <w:szCs w:val="20"/>
          <w:color w:val="auto"/>
        </w:rPr>
      </w:pPr>
    </w:p>
    <w:p>
      <w:pPr>
        <w:ind w:left="640" w:hanging="632"/>
        <w:spacing w:after="0"/>
        <w:tabs>
          <w:tab w:leader="none" w:pos="6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Tidspunkt for tildeling af den vederlagsfri ret til at modtage aktier mod opfyldelse af visse betingelser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Tidspunktet for tildelingen af “Performance Restricted Stock Units” er den dato, hvor Bestyrelsens Vederlagsudvalg (“Udvalget”) godkendte tildelingen.</w:t>
      </w:r>
    </w:p>
    <w:p>
      <w:pPr>
        <w:spacing w:after="0" w:line="225" w:lineRule="exact"/>
        <w:rPr>
          <w:sz w:val="20"/>
          <w:szCs w:val="20"/>
          <w:color w:val="auto"/>
        </w:rPr>
      </w:pPr>
    </w:p>
    <w:p>
      <w:pPr>
        <w:ind w:left="640" w:hanging="632"/>
        <w:spacing w:after="0"/>
        <w:tabs>
          <w:tab w:leader="none" w:pos="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Kriterier og betingelser for tildeling af retten til senere at modtage aktier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Kun Selskabets Medarbejdere, bestyrelsesmedlemmer og konsulenter kan deltage i Planen. Tildeling af ” Performance Restricted Stock Units” i henhold til Planen sker efter Selskabets eget skøn og har til formål at give Selskabet og dets datterselskaber mulighed for at tiltrække og fastholde udvalgte medarbejdere, som forventes at bidrage til Selskabets success og opnå langsigtede mål til gavn for Selskabets aktionærer. Medarbejderen har ikke nogen ret til eller noget krav på fremover at få tildelt “Performance Restricted Stock Units”.</w:t>
      </w:r>
    </w:p>
    <w:p>
      <w:pPr>
        <w:spacing w:after="0" w:line="180" w:lineRule="exact"/>
        <w:rPr>
          <w:sz w:val="20"/>
          <w:szCs w:val="20"/>
          <w:color w:val="auto"/>
        </w:rPr>
      </w:pPr>
    </w:p>
    <w:p>
      <w:pPr>
        <w:ind w:left="640" w:hanging="632"/>
        <w:spacing w:after="0"/>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Modningstidspunkt eller -periode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Dine “Performance Restricted Stock Units” optjenes over et antal år som fastsat i Aftalen. Dine “Performance Restricted Stock Units”r vil ved optjeningen blive konverteret til et tilsvarende antal ordinære aktier i Selskabet. Optjeningen kan accelerere under visse andre omstændigheder som beskrevet i Aftalen.</w:t>
      </w:r>
    </w:p>
    <w:p>
      <w:pPr>
        <w:spacing w:after="0" w:line="162" w:lineRule="exact"/>
        <w:rPr>
          <w:sz w:val="20"/>
          <w:szCs w:val="20"/>
          <w:color w:val="auto"/>
        </w:rPr>
      </w:pPr>
    </w:p>
    <w:p>
      <w:pPr>
        <w:ind w:left="640" w:hanging="632"/>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Udnyttelseskurs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betales ingen udnyttelseskurs ved modning af “Performance Restricted Stock Units” eller udstedelse af aktier til Medarbejderen.</w:t>
      </w:r>
    </w:p>
    <w:p>
      <w:pPr>
        <w:spacing w:after="0" w:line="225" w:lineRule="exact"/>
        <w:rPr>
          <w:sz w:val="20"/>
          <w:szCs w:val="20"/>
          <w:color w:val="auto"/>
        </w:rPr>
      </w:pPr>
    </w:p>
    <w:p>
      <w:pPr>
        <w:ind w:left="680" w:hanging="672"/>
        <w:spacing w:after="0"/>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Medarbejderens retsstilling i forbindelse med fratræden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jc w:val="both"/>
        <w:spacing w:after="0" w:line="266" w:lineRule="auto"/>
        <w:rPr>
          <w:sz w:val="20"/>
          <w:szCs w:val="20"/>
          <w:color w:val="auto"/>
        </w:rPr>
      </w:pPr>
      <w:r>
        <w:rPr>
          <w:rFonts w:ascii="Times New Roman" w:cs="Times New Roman" w:eastAsia="Times New Roman" w:hAnsi="Times New Roman"/>
          <w:sz w:val="18"/>
          <w:szCs w:val="18"/>
          <w:color w:val="auto"/>
        </w:rPr>
        <w:t>Såfremt du fratræder din stilling, vil dine “Performance Restricted Stock Units” blive behandlet i overensstemmelse med ophørsbestemmelserne i Aftalen, der kan opsummeres til følgende: Undtagen i tilfælde af en “Change in Control” (som beskrevet i Aftalen) hvis dit ansættelsesforhold bringes til ophør, bortfalder dine ikke-optjente “Performance Restricted Stock Units”.</w:t>
      </w:r>
    </w:p>
    <w:p>
      <w:pPr>
        <w:spacing w:after="0" w:line="176" w:lineRule="exact"/>
        <w:rPr>
          <w:sz w:val="20"/>
          <w:szCs w:val="20"/>
          <w:color w:val="auto"/>
        </w:rPr>
      </w:pPr>
    </w:p>
    <w:p>
      <w:pPr>
        <w:ind w:left="640" w:hanging="632"/>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Økonomiske aspekter ved at deltage i Planen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Tildelingen af “Performance Restricted Stock Units” har ingen umiddelbare økonomiske konsekvenser for Medarbejderen. Værdien af “Performance Restricted Stock Units” indgår ikke i beregningen af feriepenge, pensionsbidrag eller andre lovpligtige, vederlagsafhængige ydelser.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Ordinære aktier er finansielle instrumenter. Den fremtidige værdi af de underliggende aktier i forbindelse med “Performance Restricted Stock Units” kendes ikke og kan ikke forudsiges med sikkerhed.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10.13</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EXECUTIVE SEVERANCE POLICY</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Amended and Restated Effective as of January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9260" w:type="dxa"/>
            <w:vAlign w:val="bottom"/>
            <w:gridSpan w:val="3"/>
          </w:tcPr>
          <w:p>
            <w:pPr>
              <w:ind w:left="3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PAGE</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TERM OF POLICY</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TERMINATION BY COMPANY WITHOUT CAUSE OR BY EXECUTIVE FOR GOOD REASON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4.</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TERMINATION BY REASON OF DEATH OR DISABILITY</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TERMINATION BY THE COMPANY FOR CAUSE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VOLUNTARY TERMINATION WITHOUT GOOD REASON; RETIREMENT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7.</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SEPARATION AND RELEASE AGREEMENT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8.</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RESTRICTIVE COVENANTS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COMPLIANCE WITH SECTION 409A</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10.</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WITHHOLDING TAXES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PARACHUTE PAYMENTS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12.</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ADMINISTRATION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13.</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14.</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OTHER PROVISIONS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3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15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POLICY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Nu Skin Enterprises, Inc. Executive Severance Policy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has been adopted by the Executive Compensation Committee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Board of Directors of the Company to apply to selected Executives of the Company. Eligible Executives will be eligible for coverage under the Policy for the payment of severance benefits upon termination of employment under certain circumstances, subject to the conditions set forth below. This Policy shall be effective as of the Effective Date as provided herein.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supersedes any prior plan, policy, agreement or practice involving the payment of severance benefits to eligible Executives. While the Policy is in effect, any severance benefits provided to an eligible Executive must be paid pursuant to this Policy or pursuant to another express written agreement between Company and the eligible Executive entered into after the effective date of this Policy.</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shall have the following respective meanings: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Rights</w:t>
      </w:r>
      <w:r>
        <w:rPr>
          <w:rFonts w:ascii="Times New Roman" w:cs="Times New Roman" w:eastAsia="Times New Roman" w:hAnsi="Times New Roman"/>
          <w:sz w:val="18"/>
          <w:szCs w:val="18"/>
          <w:color w:val="auto"/>
        </w:rPr>
        <w:t>” shall have the meaning given in Section 3.3 hereof.</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 entity that directly or indirectly controls, is controlled by, or is under common control with Nu Skin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Enterprises, Inc.</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Annual Target Bonus</w:t>
      </w:r>
      <w:r>
        <w:rPr>
          <w:rFonts w:ascii="Times New Roman" w:cs="Times New Roman" w:eastAsia="Times New Roman" w:hAnsi="Times New Roman"/>
          <w:sz w:val="18"/>
          <w:szCs w:val="18"/>
          <w:color w:val="auto"/>
        </w:rPr>
        <w:t>” means the aggregate Bonuses that Executive is eligible to earn for the incentive period(s) in the fiscal year in which Executive’s Date of Termination occurs, assuming attainment of such corporate targets at the “target level” (100% performance level) and disregarding any individual performance targets and regardless of whether any such Bonus has already been paid, as shall be established by the Committee for such fiscal year. For the avoidance of doubt, the Annual Target Bonus shall be determined assuming satisfaction of the aforementioned corporate targets, irrespective of whether such targets are actually achieved and whether any Bonus for a period in the fiscal year has already been paid.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means the cash incentive bonuses payable to Executive under the Third Amended and Restated Nu Skin Enterprises, Inc. 2010 Omnibus Incentive Plan (as may be amended from time to time), or such other or successor bonus program in which Executive participates from time to time.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means the annual base salary in effect for the payroll period during which Executive’s employment is terminated. Bonuses, incentive pay and any taxable or nontaxable fringe benefits or payments are not included in the calculation of Base Salary. Base Salary shall be determined before any deferrals to any qualified or nonqualified plans of the Company and before any reduction in salary that would constitute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8" w:name="page169"/>
    <w:bookmarkEnd w:id="16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subject to the conditions below, that Executive has engaged in any one of the following: (i) a material breach of this Policy, including but not limited to a breach of Section 8 of this Policy, or the Company’s Employee Covenants Agreement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(ii) any willful violation by Executive of any material law or regulation applicable to the business of the Company or any of its Affiliates; (iii) Executive’s conviction of, or a plea of guilty or nolo contendere to, a felony or any willful perpetration of common law fraud; or (iv) any other willful misconduct by Executive that is materially injurious to the financial condition or business reputation of, or is otherwise materially injurious to, the Company or any of its Affiliates. For purposes of the foregoing, in determining whether a “material breach” has occurred, or whether there has been a willful violation of a “material” law or regulation, the standard shall be a breach or violation that is, or will reasonably likely be, materially injurious to the financial condition or business reputation of, or is, or will reasonably likely be, otherwise materially injurious to, the Company or any of its Affiliates, as determined by the Committee in its sole discretion.</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means the consummation of any of the following transactions effecting a change in ownership or control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jc w:val="both"/>
        <w:ind w:firstLine="1952"/>
        <w:spacing w:after="0" w:line="254" w:lineRule="auto"/>
        <w:tabs>
          <w:tab w:leader="none" w:pos="262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24-month period, individuals who, as of the beginning of such period, constitute the Board of Directors of the Company (the “</w:t>
      </w:r>
      <w:r>
        <w:rPr>
          <w:rFonts w:ascii="Times New Roman" w:cs="Times New Roman" w:eastAsia="Times New Roman" w:hAnsi="Times New Roman"/>
          <w:sz w:val="18"/>
          <w:szCs w:val="18"/>
          <w:u w:val="single" w:color="auto"/>
          <w:color w:val="auto"/>
        </w:rPr>
        <w:t>Incumbent Directors</w:t>
      </w:r>
      <w:r>
        <w:rPr>
          <w:rFonts w:ascii="Times New Roman" w:cs="Times New Roman" w:eastAsia="Times New Roman" w:hAnsi="Times New Roman"/>
          <w:sz w:val="18"/>
          <w:szCs w:val="18"/>
          <w:color w:val="auto"/>
        </w:rPr>
        <w:t>”) cease for any reason to constitute at least a majority of the Board of Directors of the Company, provided that any person becoming a director subsequent to the beginning of such period whose election or nomination for election was approved by a vote of at least a majority of the Incumbent Directors then on the Board of Directors of the Company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of Directors of the Company shall be deemed to be an Incumbent Director;</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57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defined in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as used in Sections 13(d)(3) and 14(d)(2) of the Exchange Act) is or becomes a “beneficial owner” (as defined in Rule 13d-3 under the Exchange Act), directly or indirectly, of securities of the Company representing 50% or more of the combined voting power of the Company’s then outstanding securities eligible to vote for the election of the Board of Directors of the Company (“</w:t>
      </w:r>
      <w:r>
        <w:rPr>
          <w:rFonts w:ascii="Times New Roman" w:cs="Times New Roman" w:eastAsia="Times New Roman" w:hAnsi="Times New Roman"/>
          <w:sz w:val="18"/>
          <w:szCs w:val="18"/>
          <w:u w:val="single" w:color="auto"/>
          <w:color w:val="auto"/>
        </w:rPr>
        <w:t>Company Voting Securities</w:t>
      </w:r>
      <w:r>
        <w:rPr>
          <w:rFonts w:ascii="Times New Roman" w:cs="Times New Roman" w:eastAsia="Times New Roman" w:hAnsi="Times New Roman"/>
          <w:sz w:val="18"/>
          <w:szCs w:val="18"/>
          <w:color w:val="auto"/>
        </w:rPr>
        <w:t>”); provided, however, that the event described in this paragraph (ii) shall not be deemed to be a Change in Control by virtue of any of the following acquisitions: (A) by the Company or any subsidiary, (B) by any employee benefit plan (or related trust) sponsored or maintained by the Company or any subsidiary, (C) by any underwriter temporarily holding securities pursuant to an offering of such securities, (D) pursuant to a Non-Qualifying Transaction, as defined in paragraph (iii), or (E) by any person of Company Voting Securities from the Company, if a majority of the Incumbent Directors approves in advance the acquisition of beneficial ownership of 50% or more of Company Voting Securities by such person;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jc w:val="both"/>
        <w:ind w:firstLine="1952"/>
        <w:spacing w:after="0" w:line="220" w:lineRule="exact"/>
        <w:tabs>
          <w:tab w:leader="none" w:pos="279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unless immediately following such Business Combination: (A) more than 50% of the total voting power of (x) the corporation resulting from such Business Combination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or (y) if applicable, the ultimate parent corporation that directly or indirectly has beneficial ownership of at least 90% of the voting securities eligible to elect directors of the Surviving Corporation (the “</w:t>
      </w:r>
      <w:r>
        <w:rPr>
          <w:rFonts w:ascii="Times New Roman" w:cs="Times New Roman" w:eastAsia="Times New Roman" w:hAnsi="Times New Roman"/>
          <w:sz w:val="18"/>
          <w:szCs w:val="18"/>
          <w:u w:val="single" w:color="auto"/>
          <w:color w:val="auto"/>
        </w:rPr>
        <w:t>Parent Corporation</w:t>
      </w:r>
      <w:r>
        <w:rPr>
          <w:rFonts w:ascii="Times New Roman" w:cs="Times New Roman" w:eastAsia="Times New Roman" w:hAnsi="Times New Roman"/>
          <w:sz w:val="18"/>
          <w:szCs w:val="18"/>
          <w:color w:val="auto"/>
        </w:rPr>
        <w:t>”),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50% or more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Incumbent Directors at the time of the Board of Directors of the Company’s approval of the execution of the initial agreement providing for such Business Combination (any Business Combination which satisfies all of the criteria specified in (A), (B) and (C) above shall be deemed to be a “</w:t>
      </w:r>
      <w:r>
        <w:rPr>
          <w:rFonts w:ascii="Times New Roman" w:cs="Times New Roman" w:eastAsia="Times New Roman" w:hAnsi="Times New Roman"/>
          <w:sz w:val="18"/>
          <w:szCs w:val="18"/>
          <w:u w:val="single" w:color="auto"/>
          <w:color w:val="auto"/>
        </w:rPr>
        <w:t>Non</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Qualifying Transaction</w:t>
      </w:r>
      <w:r>
        <w:rPr>
          <w:rFonts w:ascii="Times New Roman" w:cs="Times New Roman" w:eastAsia="Times New Roman" w:hAnsi="Times New Roman"/>
          <w:sz w:val="18"/>
          <w:szCs w:val="18"/>
          <w:color w:val="auto"/>
        </w:rPr>
        <w:t>”); or</w:t>
      </w:r>
    </w:p>
    <w:p>
      <w:pPr>
        <w:spacing w:after="0" w:line="170" w:lineRule="exact"/>
        <w:rPr>
          <w:rFonts w:ascii="Times New Roman" w:cs="Times New Roman" w:eastAsia="Times New Roman" w:hAnsi="Times New Roman"/>
          <w:sz w:val="18"/>
          <w:szCs w:val="18"/>
          <w:color w:val="auto"/>
        </w:rPr>
      </w:pPr>
    </w:p>
    <w:p>
      <w:pPr>
        <w:ind w:right="20" w:firstLine="1952"/>
        <w:spacing w:after="0" w:line="282" w:lineRule="auto"/>
        <w:tabs>
          <w:tab w:leader="none" w:pos="27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or dissolution of the Company or the consummation of a sale of all or substantially all of the Company’s assets.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means Nu Skin Enterprises, Inc., a Delaware corporation.</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means the Compensation and Human Capital Committee of the Board of Directors of the Company.</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Date of Termination</w:t>
      </w:r>
      <w:r>
        <w:rPr>
          <w:rFonts w:ascii="Times New Roman" w:cs="Times New Roman" w:eastAsia="Times New Roman" w:hAnsi="Times New Roman"/>
          <w:sz w:val="17"/>
          <w:szCs w:val="17"/>
          <w:color w:val="auto"/>
        </w:rPr>
        <w:t>” means the effective date of the relevant Executive’s termination.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physical or mental impairment which, the Committee determines, after consideration and implementation of reasonable accommodations, precludes the Executive from performing Executive’s essential job functions for a period longer than 3 consecutive months or a total of 120 days in any 12-month period.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with respect to this amendment and restatement of the Policy, January 4, 2023, or such later date as determined by the Committee with respect to an Executive. The original Effective Date of the Policy was March 8, 2018.</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means the executive employees of the Company who are eligible to participate in the Policy as set forth in Schedule A to this Policy, as it may be amended from time to time. Schedule A may be amended at any time to add additional executive employees or to remove executive employees from eligibility to participate in this Policy as Executives.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Executive’s voluntary resignation for any of the following events that result in a material negative 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Executive: (i) without Executive’s consent, a material reduction in the scope of Executive’s duties and responsibilities or the level of management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Executive reports; (ii) without Executive’s consent, a reduction in Base Salary (other than an across-the-board reduction of not more than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all senior executive officers); (iii) without Executive’s consent, a material reduction in Executive’s benefits in the aggregate (in terms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levels, other than an across-the-board reduction) from those provided to Executive under any employee benefit plan, program and practice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the Executives (and no other employees of the Company) participate, provided that such material reduction occurs within six months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 to or following the consummation of a Change in Control; (iv) without Executive’s consent, a relocation of Executive’s principal place of employment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more than 50 miles, (v) a material breach of any provision of this Policy by the Company, or (vi) the failure of the Company to have a successor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assume this Policy within 10 business days after the Change in Control. Notwithstanding the foregoing, Good Reason shall only be found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 if Executive, not later than 90 days after the initial occurrence of an event deemed to give rise to a right to terminate for Good Reason, has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days written notice to the Company prior to Executive’s resignation indicating and describing the event resulting in such Good Reason,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does not cure such event (other than the event in clause (vi), which shall not be subject to cure) within 90 days following the receipt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from Executive.</w:t>
      </w:r>
    </w:p>
    <w:p>
      <w:pPr>
        <w:spacing w:after="0" w:line="207"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means this Nu Skin Enterprises, Inc. Executive Severance Policy.</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Pro Rata Earned Bonus</w:t>
      </w:r>
      <w:r>
        <w:rPr>
          <w:rFonts w:ascii="Times New Roman" w:cs="Times New Roman" w:eastAsia="Times New Roman" w:hAnsi="Times New Roman"/>
          <w:sz w:val="18"/>
          <w:szCs w:val="18"/>
          <w:color w:val="auto"/>
        </w:rPr>
        <w:t>” means the pro-rata portion of the Executive’s earned bonus, if any, for each outstanding bonus cycle as of the date on which termination of employment occurs, based upon attainment of such corporate targets, and disregarding any individual performance targets, as shall be established by the Committee for such bonus cycle (determined by multiplying the amount of the actual earned bonus that would be payable for the bonus cycle by a fraction, the numerator of which is the number of days during the bonus cycle that the Executive is employed by the Company and the denominator of which is the full number of days in the bonus cycle); provided, however, Executive shall not be entitled to a Pro Rata Earned Bonus for an annual bonus cycle if Executive’s termination date is earlier than March 31 of the year of termination.</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Terminate(s)</w:t>
      </w:r>
      <w:r>
        <w:rPr>
          <w:rFonts w:ascii="Times New Roman" w:cs="Times New Roman" w:eastAsia="Times New Roman" w:hAnsi="Times New Roman"/>
          <w:sz w:val="18"/>
          <w:szCs w:val="18"/>
          <w:color w:val="auto"/>
        </w:rPr>
        <w:t>,” whether capitalized or not in this Policy, describes when an Executive is no longer employed by, and has no outstanding offer of employment (including an offer that Executive has received and rejected) from, the Company or any Affiliate. In addition, the following shall not be treated as a termination that entitles Executive to rights and benefits under this Policy: (i) an Executive’s termination of employment in connection with any merger, acquisition, sale or other disposition of the stock or assets of the Company or an Affiliate, if such Executive is offered or provided a position with a successor entity (including either the purchaser or any subsidiary or affiliate of the purchaser); or (ii) any instance where an Executive is employed by the Company or an Affiliate and either (A) such entity ceases to be an Affiliate in connection with any merger, acquisition, sale or other disposition of such entity, or (B) substantially all of such entity’s assets are sold. For the avoidance of doubt, this paragraph is not intended to override Executive’s “Good Reason” rights under this Policy; if Executive would otherwise have Good Reason to terminate his or her employment as a result of the occurrence of any event described in (i) or (ii) above, Executive may still qualify for a “termination for Good Reason” under this Policy.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u w:val="single" w:color="auto"/>
          <w:color w:val="auto"/>
        </w:rPr>
        <w:t>Term of Policy.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of this Policy shall begin on the Effective Date and shall continue in effect until modified or terminated by the Company pursuant to Section 13 hereof.</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u w:val="single" w:color="auto"/>
          <w:color w:val="auto"/>
        </w:rPr>
        <w:t>Termination by Company without Cause or by Executive for Good Reason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terminates Executive’s employment during the term of the Policy without Cause, or if Executive terminates his or her employment during the term of the Policy for Good Reason, then, subject to Sections 7 and 8 below, Executive shall be entitled to the following rights and benefits under this Section 3:</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Lump Sum Payment</w:t>
      </w:r>
      <w:r>
        <w:rPr>
          <w:rFonts w:ascii="Times New Roman" w:cs="Times New Roman" w:eastAsia="Times New Roman" w:hAnsi="Times New Roman"/>
          <w:sz w:val="18"/>
          <w:szCs w:val="18"/>
          <w:color w:val="auto"/>
        </w:rPr>
        <w:t>. Executive shall be entitled to either the lump sum payment described in Section 3.1(i) or the lump sum payment described in Section 3.2(ii).</w:t>
      </w:r>
    </w:p>
    <w:p>
      <w:pPr>
        <w:spacing w:after="0" w:line="170" w:lineRule="exact"/>
        <w:rPr>
          <w:sz w:val="20"/>
          <w:szCs w:val="20"/>
          <w:color w:val="auto"/>
        </w:rPr>
      </w:pPr>
    </w:p>
    <w:p>
      <w:pPr>
        <w:ind w:left="2580" w:hanging="628"/>
        <w:spacing w:after="0"/>
        <w:tabs>
          <w:tab w:leader="none" w:pos="25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Termination without Cause or for Good Reason in Connection with Change in Control</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the Company terminates the employment of Executive during the term of the Policy without Cause or Executive terminates his or her employment during the term of the Policy for Good Reason, and the applicable Date of Termination occurs (A) within six months prior to and in connection with a Change in Control (as determined by the Committee), or (B) within two years following such Change in Control, then the Company will pay Executive a lump sum payment equal to the product of: (I) the sum of (A) Executive’s Base Salary as of the Date of Termination plus (B) the Annual Target Bonus; and (II) the Multiplier specified in Schedule 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lump sum amount described above in this Section 3.1(i) shall be paid in a lump sum payment within 30 days of the Date of Termination, but in no event earlier than the date the Separation and Release Agreement described in Section 7 becomes effective, or later than March 15th of the year following the year in which the Date of Termination occurs. In addition, the Company shall pay Executive the Pro Rata Earned Bonus. The Pro Rata Earned Bonus shall be paid to Executive at the same time as bonuses are paid to other executive officers of the Company for each outstanding bonus period that is considered part of the Pro Rata Earned Bonus, but in no event earlier than the date the Separation and Release Agreement described in Section 7 becomes effective, or later than March 15th of the year following the year in which the Date of Termination occurs.</w:t>
      </w:r>
    </w:p>
    <w:p>
      <w:pPr>
        <w:spacing w:after="0" w:line="187" w:lineRule="exact"/>
        <w:rPr>
          <w:sz w:val="20"/>
          <w:szCs w:val="20"/>
          <w:color w:val="auto"/>
        </w:rPr>
      </w:pPr>
    </w:p>
    <w:p>
      <w:pPr>
        <w:ind w:left="2580" w:hanging="628"/>
        <w:spacing w:after="0"/>
        <w:tabs>
          <w:tab w:leader="none" w:pos="25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 without Cause or for Good Reason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If the Company terminates Executive’s employment during the term of the Policy without Cause, or if Executive terminates his or her employment during the term of the Policy for Good Reason, and Executive is not eligible for payment pursuant to Section 3.1(i), then the Company will pay Executive a lump sum payment equal to the product of: (A) Executive’s Base Salary as of the Date of Termination and (B) the Multiplier specified in Schedule A.</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2" w:name="page173"/>
    <w:bookmarkEnd w:id="17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lump sum payment described above in this Section 3.1(ii) shall be paid in a lump sum payment within 30 days after the Date of Termination, but in no event earlier than the date the Separation and Release Agreement described in Section 7 becomes effective, or later than March 15th of the year following the year in which the Date of Termination occurs. In addition, the Company shall pay Executive the Pro Rata Earned Bonus. The Pro Rata Earned Bonus shall be paid to Executive at the same time as bonuses are paid to other executive officers of the Company for each outstanding bonus period that is considered part of the Pro Rata Earned Bonus, but in no event earlier than the date the Separation and Release Agreement described in Section 7 becomes effective, or later than March 15th of the year following the year in which the Date of Termination occurs.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Executive shall not be eligible for payment pursuant to this Section 3.1(ii) if Executive is eligible for payment pursuant to Section 3.1(i).</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COBRA Payment</w:t>
      </w:r>
      <w:r>
        <w:rPr>
          <w:rFonts w:ascii="Times New Roman" w:cs="Times New Roman" w:eastAsia="Times New Roman" w:hAnsi="Times New Roman"/>
          <w:sz w:val="18"/>
          <w:szCs w:val="18"/>
          <w:color w:val="auto"/>
        </w:rPr>
        <w:t>. Executive shall be eligible for continuation of coverage for Executive and Executive’s eligible dependents under the Company’s group health plan(s) as required under COBRA, at Executive’s sole expense at the applicable COBRA rate for such plan(s), subject to the following: the Company shall pay to Executive a lump sum payment equal to the aggregate employer and employee cost of 12 months of health care continuation coverage under the Company’s medical, dental, prescription drug and vision care group health plans as in effect from time to time. The lump sum payment contemplated under this Section 3.2 shall be paid to Executive as soon as administratively practicable following the Date of Termination, but in no event earlier than the date the Separation and Release Agreement described in Section 7 becomes effective, or later than March 15th of the year following the year in which the Date of Termination occurs.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Accrued Rights</w:t>
      </w:r>
      <w:r>
        <w:rPr>
          <w:rFonts w:ascii="Times New Roman" w:cs="Times New Roman" w:eastAsia="Times New Roman" w:hAnsi="Times New Roman"/>
          <w:sz w:val="18"/>
          <w:szCs w:val="18"/>
          <w:color w:val="auto"/>
        </w:rPr>
        <w:t>. As soon as administratively practicable following the Date of Termination, or as otherwise provided below, the Company will pay or provide Executive with (i) all accrued but unpaid base salary through the Date of Termination, (ii) any previously awarded but unpaid Bonus for a completed bonus cycle prior to the Date of Termination, payable at the time such Bonuses regularly are paid, (iii) any unreimbursed business expenses that are reimbursable under the Company’s business expense policy, (iv) all rights and benefits under the employee benefit plans of the Company in which Executive is then participating, payable at the times set forth in such plans, and (v) any other payments as may be required under applicable law (collectively, the “</w:t>
      </w:r>
      <w:r>
        <w:rPr>
          <w:rFonts w:ascii="Times New Roman" w:cs="Times New Roman" w:eastAsia="Times New Roman" w:hAnsi="Times New Roman"/>
          <w:sz w:val="18"/>
          <w:szCs w:val="18"/>
          <w:u w:val="single" w:color="auto"/>
          <w:color w:val="auto"/>
        </w:rPr>
        <w:t>Accrued Rights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Treatment of Equity Awards</w:t>
      </w:r>
      <w:r>
        <w:rPr>
          <w:rFonts w:ascii="Times New Roman" w:cs="Times New Roman" w:eastAsia="Times New Roman" w:hAnsi="Times New Roman"/>
          <w:sz w:val="18"/>
          <w:szCs w:val="18"/>
          <w:color w:val="auto"/>
        </w:rPr>
        <w:t>. The vesting and exercise of any equity awards that may be held by Executive as of the Date of Termination shall be determined in accordance with the applicable equity incentive plan and grant documentation for that Executive.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Additional Rights</w:t>
      </w:r>
      <w:r>
        <w:rPr>
          <w:rFonts w:ascii="Times New Roman" w:cs="Times New Roman" w:eastAsia="Times New Roman" w:hAnsi="Times New Roman"/>
          <w:sz w:val="18"/>
          <w:szCs w:val="18"/>
          <w:color w:val="auto"/>
        </w:rPr>
        <w:t>. Except as provided in this Section 3, Executive’s participation under any benefit plan, program, policy or arrangement sponsored or maintained by the Company shall cease and be terminated on the Date of Termination. Without limiting the generality of the foregoing, Executive’s eligibility for and active participation in any tax qualified retirement or pension plans maintained by the Company will end as of the Date of Termination and Executive will earn no additional benefits under those plans after that date. Executive shall be treated as a terminated employee for purposes of all such benefit plans and programs effective as of the Date of Termination, and shall receive all payments and benefits due under such plans and programs in accordance with the terms and conditions thereof.</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u w:val="single" w:color="auto"/>
          <w:color w:val="auto"/>
        </w:rPr>
        <w:t>Termination by Reason of Death or Disability</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the employment of Executive is terminated during the term of the Policy by reason of Executive’s death or Disability, then, subject to Sections 7 and 8 below, Executive shall be entitled to the following rights and benefits under this Section 4:</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Salary Continuation (Disability Only)</w:t>
      </w:r>
      <w:r>
        <w:rPr>
          <w:rFonts w:ascii="Times New Roman" w:cs="Times New Roman" w:eastAsia="Times New Roman" w:hAnsi="Times New Roman"/>
          <w:sz w:val="18"/>
          <w:szCs w:val="18"/>
          <w:color w:val="auto"/>
        </w:rPr>
        <w:t>. In the event that the employment of Executive is terminated during the term of the Policy by reason of Executive’s Disability, the Company will pay Executive salary continuation at an annual rate equal to Executive’s then-current Base Salary until the earlier of (i) the date Executive is eligible for disability payments under the Company’s group disability policies (as determined by the Company) or (ii) 90 days following the Date of Termination by reason of Disability. Salary continuation under this Section 4.1 shall be paid in equal bi-monthly installments in accordance with the Company’s customary payroll practices.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The Company will pay the Pro Rata Earned Bonus, which shall be paid on the date that Bonuses are normally paid, but in no event earlier than the date the Separation and Release Agreement described in Section 7 becomes effective, or later than March 15th of the year following the year in which the Date of Termination occurs.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Accrued Rights</w:t>
      </w:r>
      <w:r>
        <w:rPr>
          <w:rFonts w:ascii="Times New Roman" w:cs="Times New Roman" w:eastAsia="Times New Roman" w:hAnsi="Times New Roman"/>
          <w:sz w:val="18"/>
          <w:szCs w:val="18"/>
          <w:color w:val="auto"/>
        </w:rPr>
        <w:t>. As soon as administratively practicable following the Date of Termination, the Company will pay or provide Executive with the Accrued Rights.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Treatment of Equity Awards</w:t>
      </w:r>
      <w:r>
        <w:rPr>
          <w:rFonts w:ascii="Times New Roman" w:cs="Times New Roman" w:eastAsia="Times New Roman" w:hAnsi="Times New Roman"/>
          <w:sz w:val="18"/>
          <w:szCs w:val="18"/>
          <w:color w:val="auto"/>
        </w:rPr>
        <w:t>. The vesting and exercise of any equity awards that may be held by Executive as of the Date of Termination shall be determined in accordance with the applicable equity incentive plan and grant documentation for that Executive.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u w:val="single" w:color="auto"/>
          <w:color w:val="auto"/>
        </w:rPr>
        <w:t>Termination by the Company for Cause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terminate Executive’s employment for any reason and at any time, with or without Cause. In the event that the Company terminates the employment of Executive during the term of the Policy for Cause, the Company will pay or provide Executive with the Accrued Rights and no other benefits.</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u w:val="single" w:color="auto"/>
          <w:color w:val="auto"/>
        </w:rPr>
        <w:t>Voluntary Termination without Good Reason; Retirement</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Executive shall not be entitled to any payments or benefits under this Policy (other than Accrued Rights) by reason of Executive’s voluntary termination of employment from the Company without Good Reason. This Policy shall have no effect on the rights and benefits to which an Executive may be entitled upon retirement under (without limitation) any retirement or savings plan of the Company, nor under any of the Company’s equity incentive or cash incentive plans (including applicable award agreements), non-qualified deferred compensation plans, key employee death plans, and other health and miscellaneous benefit plans, each of which shall be governed exclusively by the terms of such plans and agreements, as applicable.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4" w:name="page175"/>
    <w:bookmarkEnd w:id="174"/>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u w:val="single" w:color="auto"/>
          <w:color w:val="auto"/>
        </w:rPr>
        <w:t>Separation and Release Agreement</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permitted under applicable law, as a condition precedent to receiving any payments and benefits as provided under this Policy, Executive must execute a general release of claims (the “</w:t>
      </w:r>
      <w:r>
        <w:rPr>
          <w:rFonts w:ascii="Times New Roman" w:cs="Times New Roman" w:eastAsia="Times New Roman" w:hAnsi="Times New Roman"/>
          <w:sz w:val="18"/>
          <w:szCs w:val="18"/>
          <w:u w:val="single" w:color="auto"/>
          <w:color w:val="auto"/>
        </w:rPr>
        <w:t>Separation and Release Agreement</w:t>
      </w:r>
      <w:r>
        <w:rPr>
          <w:rFonts w:ascii="Times New Roman" w:cs="Times New Roman" w:eastAsia="Times New Roman" w:hAnsi="Times New Roman"/>
          <w:sz w:val="18"/>
          <w:szCs w:val="18"/>
          <w:color w:val="auto"/>
        </w:rPr>
        <w:t xml:space="preserve">”),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such Separation and Release Agreement must become irrevocable, by the 60th day following the Date of Termination. If Executive fails to execute and deliver the Separation and Release Agreement, or revokes the Separation and Release Agreement, Executive shall not be entitled to receive any payments or benefits described herein (other than Accrued Rights). For purposes of this Policy, the Separation and Release Agreement shall be considered to have been executed by Executive if it is signed by Executive’s legal representative in the case of legal incompetence or on behalf of Executive’s estate in the case of Executive’s death.</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u w:val="single" w:color="auto"/>
          <w:color w:val="auto"/>
        </w:rPr>
        <w:t>Restrictive Covenants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Employee Covenants Agreement</w:t>
      </w:r>
      <w:r>
        <w:rPr>
          <w:rFonts w:ascii="Times New Roman" w:cs="Times New Roman" w:eastAsia="Times New Roman" w:hAnsi="Times New Roman"/>
          <w:sz w:val="18"/>
          <w:szCs w:val="18"/>
          <w:color w:val="auto"/>
        </w:rPr>
        <w:t xml:space="preserve">. In consideration of, and as a condition of, Executive’s continued employment by the Company and the additional rights and benefits provided to Executive by this Policy, Executive will agree to and execute the Employee Covenants Agreement substantially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such other forms that the Committee may approve from time to time.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Transfer of Duties</w:t>
      </w:r>
      <w:r>
        <w:rPr>
          <w:rFonts w:ascii="Times New Roman" w:cs="Times New Roman" w:eastAsia="Times New Roman" w:hAnsi="Times New Roman"/>
          <w:sz w:val="18"/>
          <w:szCs w:val="18"/>
          <w:color w:val="auto"/>
        </w:rPr>
        <w:t>. Upon termination of employment, Executive must cooperate with the orderly transfer of his or her duties as requested by the Company.</w:t>
      </w:r>
    </w:p>
    <w:p>
      <w:pPr>
        <w:spacing w:after="0" w:line="162"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Upon termination of employment, Executive must return all Company property by a date specified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7"/>
          <w:szCs w:val="17"/>
          <w:b w:val="1"/>
          <w:bCs w:val="1"/>
          <w:u w:val="single" w:color="auto"/>
          <w:color w:val="auto"/>
        </w:rPr>
        <w:t>Compliance with Section 409A</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9.1 Notwithstanding any other provision of this Policy to the contrary, the parties agree that this Policy is intended to comply with or be exempt from Code Section 409A and the regulations and guidance promulgated thereunder (collectively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all provisions of this Policy shall be construed and interpreted in a manner consistent with the requirements for avoiding taxes or penalties under Section 409A. The Company and Executive intend that, to the maximum extent possible, any amounts paid pursuant to this Policy shall qualify as a short-term deferral pursuant to Section 409A or as separation pay exempt from Section 409A. In no event will the Company or its affiliates be liable for any additional tax, interest or penalties that may be imposed on Executive under Section 409A or any damages for failing to comply with Section 409A.</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9.2 Notwithstanding any other provision of this Policy to the contrary, to the extent that any payment under this Policy constitutes “nonqualified deferred compensation” under Section 409A, the following shall apply to the extent Section 409A is applicable to such payment:</w:t>
      </w:r>
    </w:p>
    <w:p>
      <w:pPr>
        <w:spacing w:after="0" w:line="162" w:lineRule="exact"/>
        <w:rPr>
          <w:sz w:val="20"/>
          <w:szCs w:val="20"/>
          <w:color w:val="auto"/>
        </w:rPr>
      </w:pPr>
    </w:p>
    <w:p>
      <w:pPr>
        <w:ind w:firstLine="1952"/>
        <w:spacing w:after="0" w:line="282" w:lineRule="auto"/>
        <w:tabs>
          <w:tab w:leader="none" w:pos="25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payable that is triggered upon the Executive’s termination of employment shall be paid only if such termination of employment constitutes a “separation from service” under Section 409A.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5" w:name="page176"/>
    <w:bookmarkEnd w:id="175"/>
    <w:p>
      <w:pPr>
        <w:jc w:val="both"/>
        <w:ind w:firstLine="1952"/>
        <w:spacing w:after="0" w:line="255" w:lineRule="auto"/>
        <w:tabs>
          <w:tab w:leader="none" w:pos="25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expenses or other reimbursements paid pursuant to this Policy that are taxable income to Executive shall be paid no later than the end of the calendar year next following the calendar year in which Executive incurs such expense. With regard to any provision herein that provides for reimbursement of costs and expenses or in-kind benefits, except as permitted by Section 409A, (a) the right to reimbursement or in-kind benefits shall not be subject to liquidation or exchange for another benefit, (b) the amount of expenses eligible for reimbursement, or in-kind benefits, provided during any taxable year shall not affect the expenses eligible for reimbursement, or in-kind benefits to be provided, in any other taxable year; and (c) such payments shall be made on or before the last day of Executive’s taxable year following the taxable year in which the expense occurred.</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8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Executive is deemed on the date of termination to be a “specified employee” as defined in Section 409A, then with regard to any payment or the provision of any benefit that is subject to Section 409A and is payable on account of a separation from service (as defined in Section 409A), such payment or benefit shall be delayed until the earlier of (a) the first business day of the seventh calendar month following such termination of employment, or (b) Executive’s death. Any payments delayed by reason of the prior sentence shall be paid in a single lump sum, without interest thereon, on the date indicated by the previous sentence and any remaining payments due under this Policy shall be paid as otherwise provided herein.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9.3 For purposes of Section 409A, Executive’s right to receive any installment payments under this Policy (whether severance payments, reimbursements or otherwise) shall be treated as a right to receive a series of separate payments and, accordingly, each installment payment hereunder shall at all times be considered a separate and distinct payment.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9.4 To the extent required to avoid the imposition of additional taxes and penalties under Section 409A, amounts payable under this Policy on termination of employment will not be paid until Executive experiences a separation from service within the meaning of Section 409A as specified above.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9.5 Notwithstanding any provision of this Policy to the contrary, in no event shall the timing of Executive’s execution of the Separation and Release Agreement, directly or indirectly, result in Executive designating the calendar year of payment, and if a payment pursuant to this Policy that is subject to execution of the Separation and Release Agreement could be made in more than one taxable year, based on timing of the execution of the Separation and Release Agreement, payment shall be made in the later taxable year.</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10.</w:t>
      </w:r>
      <w:r>
        <w:rPr>
          <w:sz w:val="20"/>
          <w:szCs w:val="20"/>
          <w:color w:val="auto"/>
        </w:rPr>
        <w:tab/>
      </w:r>
      <w:r>
        <w:rPr>
          <w:rFonts w:ascii="Times New Roman" w:cs="Times New Roman" w:eastAsia="Times New Roman" w:hAnsi="Times New Roman"/>
          <w:sz w:val="17"/>
          <w:szCs w:val="17"/>
          <w:b w:val="1"/>
          <w:bCs w:val="1"/>
          <w:u w:val="single" w:color="auto"/>
          <w:color w:val="auto"/>
        </w:rPr>
        <w:t>Withholding Taxes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compensation payable pursuant to this Policy shall be subject to all applicable federal, state and local tax withholding.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7"/>
          <w:szCs w:val="17"/>
          <w:b w:val="1"/>
          <w:bCs w:val="1"/>
          <w:u w:val="single" w:color="auto"/>
          <w:color w:val="auto"/>
        </w:rPr>
        <w:t>Parachute Payments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anything in this Policy to the contrary, in the event the Company determines that any payment or distribution in the nature of compensation (within the meaning of Code Section 280G(b)(2)) to or for the benefit of Executive, whether paid or payable pursuant to this Policy or otherwise would be subject to the excise tax imposed by Code Section 4999, then Executive shall be entitled to receive (i) the greatest amount so that no portion the payments shall be an excess parachute payment (the “</w:t>
      </w:r>
      <w:r>
        <w:rPr>
          <w:rFonts w:ascii="Times New Roman" w:cs="Times New Roman" w:eastAsia="Times New Roman" w:hAnsi="Times New Roman"/>
          <w:sz w:val="18"/>
          <w:szCs w:val="18"/>
          <w:u w:val="single" w:color="auto"/>
          <w:color w:val="auto"/>
        </w:rPr>
        <w:t>Limited Amount</w:t>
      </w:r>
      <w:r>
        <w:rPr>
          <w:rFonts w:ascii="Times New Roman" w:cs="Times New Roman" w:eastAsia="Times New Roman" w:hAnsi="Times New Roman"/>
          <w:sz w:val="18"/>
          <w:szCs w:val="18"/>
          <w:color w:val="auto"/>
        </w:rPr>
        <w:t>”), or (ii) if the amount of payments otherwise paid or provided (without regard to clause (i)) reduced by all taxes applicable thereto (including, for the avoidance of doubt, the excise tax imposed by Code Section 4999) would be greater than the Limited Amount reduced by all taxes applicable thereto, then the amount of payments shall be the amount otherwise payable. Any reductions described in the preceding sentence shall be done in the manner that is least economically disadvantageous to Executive. Where the decision to cut back between two amounts is economically equivalent, but the amounts are payable at different times, the amounts will be reduced on a pro rata basis.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7"/>
          <w:szCs w:val="17"/>
          <w:b w:val="1"/>
          <w:bCs w:val="1"/>
          <w:u w:val="single" w:color="auto"/>
          <w:color w:val="auto"/>
        </w:rPr>
        <w:t>Administration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Committee is responsible for the administration of this Policy and shall have all powers and duties necessary to fulfill its responsibilities. The Committee shall have full power and discretion to interpret the Policy and related documents, to resolve ambiguities, inconsistencies and omissions, to determine any question of fact, and to determine the rights and benefits, if any, of any Executive or other employee, in accordance with the provisions of the Policy. The Committee shall also have the authority to waive any restrictions with respect to participation in the Policy or the maturity of benefits under the Policy for any specific Executive where, in the opinion of the Committee, it is reasonable to do so and does not prejudice the rights of the particular Executive under the Policy and it does not cause the Executive to be subject to adverse tax treatment under Section 409A. The Committee’s decision with respect to any matter shall be final and binding on all parties concerned. The Committee may, from time to time, by action of its appropriate officers, delegate to designated persons, committees, or entities the right to exercise any of its powers or the obligation to carry out its duties under the Policy.</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13.</w:t>
      </w:r>
      <w:r>
        <w:rPr>
          <w:sz w:val="20"/>
          <w:szCs w:val="20"/>
          <w:color w:val="auto"/>
        </w:rPr>
        <w:tab/>
      </w:r>
      <w:r>
        <w:rPr>
          <w:rFonts w:ascii="Times New Roman" w:cs="Times New Roman" w:eastAsia="Times New Roman" w:hAnsi="Times New Roman"/>
          <w:sz w:val="17"/>
          <w:szCs w:val="17"/>
          <w:b w:val="1"/>
          <w:bCs w:val="1"/>
          <w:u w:val="single" w:color="auto"/>
          <w:color w:val="auto"/>
        </w:rPr>
        <w:t>Amendment and Termination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reserves the right to amend or terminate this Policy at any time and in any manner, subject to the following: (i) no amendment or termination of this Policy made during the period beginning six months prior to a Change in Control and continuing until the second anniversary of the Change in Control, shall become effective until the second anniversary of a Change in Control, provided that the Company shall have the ability to make any amendment required under applicable law (including without limitation any amendments necessary to comply with Section 409A) at any time; (ii) if any modification of this Policy decreases the benefits available to an Executive through this Policy (such modification, an “</w:t>
      </w:r>
      <w:r>
        <w:rPr>
          <w:rFonts w:ascii="Times New Roman" w:cs="Times New Roman" w:eastAsia="Times New Roman" w:hAnsi="Times New Roman"/>
          <w:sz w:val="18"/>
          <w:szCs w:val="18"/>
          <w:u w:val="single" w:color="auto"/>
          <w:color w:val="auto"/>
        </w:rPr>
        <w:t>Adverse Change</w:t>
      </w:r>
      <w:r>
        <w:rPr>
          <w:rFonts w:ascii="Times New Roman" w:cs="Times New Roman" w:eastAsia="Times New Roman" w:hAnsi="Times New Roman"/>
          <w:sz w:val="18"/>
          <w:szCs w:val="18"/>
          <w:color w:val="auto"/>
        </w:rPr>
        <w:t>”), the Company shall give written notice to the impacted Executive of the Adverse Change; and (iii) the Adverse Change shall not be effective with respect to the Executive any sooner than one year from the date on which the notice described in (ii) above was provided to the impacted Executive. Notwithstanding the foregoing, (x) no amendment or termination of the Policy shall affect the rights of an Executive whose Date of Termination has occurred prior to the date of such amendment or termination of the Policy and who remains entitled to severance payments or benefits under this Policy, and (y) the requirements described in (ii) and (iii) above, with respect to an Executive impacted by an Adverse Change, may be waived in writing by the Executive.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7" w:name="page178"/>
    <w:bookmarkEnd w:id="177"/>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7"/>
          <w:szCs w:val="17"/>
          <w:b w:val="1"/>
          <w:bCs w:val="1"/>
          <w:u w:val="single" w:color="auto"/>
          <w:color w:val="auto"/>
        </w:rPr>
        <w:t>Other Provisions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Executive acknowledges that this Policy does not constitute a contract of employment or impose on the Company any obligation to retain Executive as an employee and that this Policy does not prevent Executive from terminating employment at any time.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Non-Duplication of Benefits</w:t>
      </w:r>
      <w:r>
        <w:rPr>
          <w:rFonts w:ascii="Times New Roman" w:cs="Times New Roman" w:eastAsia="Times New Roman" w:hAnsi="Times New Roman"/>
          <w:sz w:val="18"/>
          <w:szCs w:val="18"/>
          <w:color w:val="auto"/>
        </w:rPr>
        <w:t>. The benefits under this Policy are not intended to duplicate any other benefits provided by the Company in connection with the termination of an employee’s employment, such as wage replacement benefits, pay-in-lieu-of-notice, severance pay, or similar benefits under any other benefit plans, severance programs, employment contracts, or applicable federal or state laws, such as the WARN Acts. Should such other benefits be payable, the benefits under this Policy will be reduced accordingly or, alternatively, benefits previously paid under this Policy will be treated as having been paid to satisfy such other benefit obligations. In either case, the Company will determine how to apply this provision and may override other provisions in this Policy in doing so.</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This Policy shall be governed and enforced in accordance with the laws of the State of Utah, and any litigation between the parties relating to this Policy shall be conducted in the courts of Utah County.</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Policy, or the application of such provision to any person or in any circumstance, is found by a court of competent jurisdiction to be unenforceable for any reason, such provision may be modified or severed from this Policy to the extent necessary to make such provision unenforceable against such person or in such circumstance. Neither the unenforceability of such provision nor the modification or severance of such provision will affect (i) the enforceability of any other provision of this Policy or (ii) the enforceability of such provision against any person or in any circumstance other than those against or in which such provision is found to be unenforceable.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records of the Company with respect to the determination of eligibility, employment history, Accrued Rights, Base Salary, Bonus, and any and all other relevant matters shall be conclusive for all purposes of this Policy.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Company and Executive understand and agree that this Policy shall constitute the entire understanding between them regarding the subject matter contained herein, and that all prior understandings regarding these matters are hereby superseded and replaced, unless specifically provided otherwise in this Policy.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Executives (updated 7/24/2023)</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8560" w:type="dxa"/>
            <w:vAlign w:val="bottom"/>
            <w:tcBorders>
              <w:top w:val="single" w:sz="8" w:color="auto"/>
              <w:left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Multiplier for</w:t>
            </w:r>
          </w:p>
        </w:tc>
        <w:tc>
          <w:tcPr>
            <w:tcW w:w="1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Multiplier for</w:t>
            </w:r>
          </w:p>
        </w:tc>
      </w:tr>
      <w:tr>
        <w:trPr>
          <w:trHeight w:val="245"/>
        </w:trPr>
        <w:tc>
          <w:tcPr>
            <w:tcW w:w="8560" w:type="dxa"/>
            <w:vAlign w:val="bottom"/>
            <w:tcBorders>
              <w:left w:val="single" w:sz="8" w:color="auto"/>
              <w:bottom w:val="single" w:sz="8" w:color="auto"/>
              <w:right w:val="single" w:sz="8" w:color="auto"/>
            </w:tcBorders>
          </w:tcPr>
          <w:p>
            <w:pPr>
              <w:ind w:left="3260"/>
              <w:spacing w:after="0"/>
              <w:rPr>
                <w:sz w:val="20"/>
                <w:szCs w:val="20"/>
                <w:color w:val="auto"/>
              </w:rPr>
            </w:pPr>
            <w:r>
              <w:rPr>
                <w:rFonts w:ascii="Times New Roman" w:cs="Times New Roman" w:eastAsia="Times New Roman" w:hAnsi="Times New Roman"/>
                <w:sz w:val="18"/>
                <w:szCs w:val="18"/>
                <w:b w:val="1"/>
                <w:bCs w:val="1"/>
                <w:color w:val="auto"/>
              </w:rPr>
              <w:t>Name and Title of Executive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Section 3.1(i)</w:t>
            </w:r>
          </w:p>
        </w:tc>
        <w:tc>
          <w:tcPr>
            <w:tcW w:w="13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Section 3.1(ii)</w:t>
            </w:r>
          </w:p>
        </w:tc>
      </w:tr>
      <w:tr>
        <w:trPr>
          <w:trHeight w:val="223"/>
        </w:trPr>
        <w:tc>
          <w:tcPr>
            <w:tcW w:w="85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Ryan Napierski, President and Chief Executive Officer</w:t>
            </w:r>
          </w:p>
        </w:tc>
        <w:tc>
          <w:tcPr>
            <w:tcW w:w="13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1.5</w:t>
            </w:r>
          </w:p>
        </w:tc>
      </w:tr>
      <w:tr>
        <w:trPr>
          <w:trHeight w:val="198"/>
        </w:trPr>
        <w:tc>
          <w:tcPr>
            <w:tcW w:w="856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   Connie Tang, Executive Vice President and Chief Global Growth and Customer Experience Officer</w:t>
            </w:r>
          </w:p>
        </w:tc>
        <w:tc>
          <w:tcPr>
            <w:tcW w:w="13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r>
      <w:tr>
        <w:trPr>
          <w:trHeight w:val="216"/>
        </w:trPr>
        <w:tc>
          <w:tcPr>
            <w:tcW w:w="85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James Thomas, Executive Vice President and Chief Financial Officer</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85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Chayce Clark, Executive Vice President and General Counsel</w:t>
            </w:r>
          </w:p>
        </w:tc>
        <w:tc>
          <w:tcPr>
            <w:tcW w:w="1340" w:type="dxa"/>
            <w:vAlign w:val="bottom"/>
            <w:tcBorders>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5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Joseph Chang, Executive Vice President and Chief Scientific Officer</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41"/>
        </w:trPr>
        <w:tc>
          <w:tcPr>
            <w:tcW w:w="85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Steven Hatchett, Executive Vice President and Chief Product Officer</w:t>
            </w: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398"/>
        </w:trPr>
        <w:tc>
          <w:tcPr>
            <w:tcW w:w="8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SEPARATION AND RELEASE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Separation and Release Agreement (this “Agreement”) is entered by and between Nu Skin Enterprises, Inc. (“Company”) and ___________,</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an individual (“Employee”). Company and Employee are sometimes hereinafter referred to as “party” or “parties.” This Agreement shall become effective on the eighth calendar day after execution by Employee (hereafter, the “Effective Date”).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employment with Company terminated on or about _________ (the “Employment Termination Date”).</w:t>
      </w:r>
    </w:p>
    <w:p>
      <w:pPr>
        <w:spacing w:after="0" w:line="225" w:lineRule="exact"/>
        <w:rPr>
          <w:rFonts w:ascii="Times New Roman" w:cs="Times New Roman" w:eastAsia="Times New Roman" w:hAnsi="Times New Roman"/>
          <w:sz w:val="18"/>
          <w:szCs w:val="18"/>
          <w:color w:val="auto"/>
        </w:rPr>
      </w:pPr>
    </w:p>
    <w:p>
      <w:pPr>
        <w:ind w:left="660" w:right="580" w:hanging="652"/>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Employee mutually agree it is in the best interests of both to enter a mutual understanding and compromise of all claims and disputes, if any, between them.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consideration of the mutual promises and covenants set forth herein, and for other good and valuable consideration, the receipt, adequacy, and legal sufficiency of which are hereby acknowledged, the parties hereby mutually agree as follows:</w:t>
      </w:r>
    </w:p>
    <w:p>
      <w:pPr>
        <w:spacing w:after="0" w:line="162" w:lineRule="exact"/>
        <w:rPr>
          <w:sz w:val="20"/>
          <w:szCs w:val="20"/>
          <w:color w:val="auto"/>
        </w:rPr>
      </w:pPr>
    </w:p>
    <w:p>
      <w:pPr>
        <w:ind w:right="580" w:firstLine="8"/>
        <w:spacing w:after="0" w:line="266" w:lineRule="auto"/>
        <w:tabs>
          <w:tab w:leader="none" w:pos="63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to Employee</w:t>
      </w:r>
      <w:r>
        <w:rPr>
          <w:rFonts w:ascii="Times New Roman" w:cs="Times New Roman" w:eastAsia="Times New Roman" w:hAnsi="Times New Roman"/>
          <w:sz w:val="18"/>
          <w:szCs w:val="18"/>
          <w:color w:val="auto"/>
        </w:rPr>
        <w:t>. The Company agrees to make certain payments (the “Severance Payment”) to Employee as set forth in the Nu Skin Enterprises, Inc. Executive Severance Policy (the “Executive Severance Policy”). Except as expressly set forth in this Agreement or in the Sole Agreements, as defined in Section 5, Employee shall not be entitled to any further compensation or benefits from the Company.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Severance Payment will be paid to Employee in accordance with the Executive Severance Policy after the expiration of the revocation period specified in Section 3, if the Agreement has been signed by Employee, Employee has not revoked the Agreement, and Employee has complied with the other terms of this Agreement.</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Should Employee receive COBRA payments, Employee understands and agrees that he or she has the sole responsibility to elect COBRA coverage, comply with the requirements of COBRA, and to make all monthly premiums in the manner required by the COBRA administrator.</w:t>
      </w:r>
    </w:p>
    <w:p>
      <w:pPr>
        <w:spacing w:after="0" w:line="162" w:lineRule="exact"/>
        <w:rPr>
          <w:sz w:val="20"/>
          <w:szCs w:val="20"/>
          <w:color w:val="auto"/>
        </w:rPr>
      </w:pPr>
    </w:p>
    <w:p>
      <w:pPr>
        <w:ind w:firstLine="8"/>
        <w:spacing w:after="0" w:line="253" w:lineRule="auto"/>
        <w:tabs>
          <w:tab w:leader="none" w:pos="63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consideration for the Severance Payment, Employee, on Employee’s behalf and for each and all of Employee’s agents, representatives, successors, assigns, attorneys, heirs and beneficiaries, and others claiming through or under Employee, (collectively, the “Releasors”) hereby unconditionally and irrevocably releases, acquits, absolves and forever discharges Company and each and all of Company’s respective predecessors, successors, former, current, and future assigns, affiliates, divisions, subsidiaries and parent corporations (collectively, the “Nu Skin Companies”) and each and all of the Nu Skin Companies’ owners, stockholders, agents, directors, officers, employees, attorneys and representatives of and from any and all suits, debts, liens, contracts, agreements, promises, liabilities, claims, demands, damages, losses, interest, costs, expenses, or attorneys’ fees, whether known or unknown, fixed or contingent, in law or in equity, which any of the Releasors have, had, or may claim to have, from the beginning of time through Employee’s execution of this Agreement, including without limitation, any claims, charges, demands, lawsuits, obligations, or causes of action based on, arising from, or relating to Employee’s employment or the termination thereof, including, without limitation, any claims, charges, demands, grievances, and/or causes of action under:</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0" w:name="page181"/>
    <w:bookmarkEnd w:id="180"/>
    <w:p>
      <w:pPr>
        <w:ind w:left="1300" w:right="180" w:hanging="644"/>
        <w:spacing w:after="0" w:line="282"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VII of the Civil Rights Acts of 1964 and 1991, as amended, which prohibit discrimination on the basis of race, color, sex, religion, or national origin;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1981 of the Civil Rights Act of 1866, which prohibits discrimination on the basis of race;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Retirement Income Security Act as of the Effective Date of this Agreement;</w:t>
      </w:r>
    </w:p>
    <w:p>
      <w:pPr>
        <w:spacing w:after="0" w:line="225"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Worker Adjustment and Retraining Notification Act, whether such claim exists at or before Employee’s execution of this Agreement, or arises in the future after Employee’s execution of this Agreement as a result of Employee’s termination being aggregated with the terminations of other employees;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Family and Medical Leave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Americans with Disabilities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Discrimination in Employment Act of 1967, as amended (the “ADEA”);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Utah Antidiscrimination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 or federal laws against discrimination;</w:t>
      </w:r>
    </w:p>
    <w:p>
      <w:pPr>
        <w:spacing w:after="0" w:line="225"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claims for compensation of any type whatsoever, including but not limited to claims for salary, wages, bonuses, commissions, incentive compensation, vacation, sick pay, or severance;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foreign, federal, state, or local statute or common law relating to employment;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attorneys’ fees or other costs or expenses.</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foregoing release also includes, without limitation, the release of any claims for wrongful discharge, breach of express or implied contract, employment-related torts, personal injury (whether physical or mental), or any claims in any way related to Employee’s employment with or separation from Company. Employee acknowledges and agrees that Employee has not been discriminated or retaliated against in any manner prohibited by law during Employee’s employment with Company or with regard to Employee’s separation from Company. Nothing in this Agreement shall be construed in any way to waive, limit, or hinder Employee’s rights with respect to long term disability insurance coverage.</w:t>
      </w:r>
    </w:p>
    <w:p>
      <w:pPr>
        <w:spacing w:after="0" w:line="183" w:lineRule="exact"/>
        <w:rPr>
          <w:sz w:val="20"/>
          <w:szCs w:val="20"/>
          <w:color w:val="auto"/>
        </w:rPr>
      </w:pPr>
    </w:p>
    <w:p>
      <w:pPr>
        <w:ind w:right="260" w:firstLine="8"/>
        <w:spacing w:after="0" w:line="258" w:lineRule="auto"/>
        <w:tabs>
          <w:tab w:leader="none" w:pos="63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and Waiver and Release of Rights under the ADEA</w:t>
      </w:r>
      <w:r>
        <w:rPr>
          <w:rFonts w:ascii="Times New Roman" w:cs="Times New Roman" w:eastAsia="Times New Roman" w:hAnsi="Times New Roman"/>
          <w:sz w:val="18"/>
          <w:szCs w:val="18"/>
          <w:color w:val="auto"/>
        </w:rPr>
        <w:t>. Employee expressly acknowledges that Employee is waiving and releasing any rights Employee may have under the ADEA and that this waiver and release is knowing and voluntary. Employee and Company agree that this waiver and release does not apply to any rights or claims that may arise under the ADEA after this Agreement is executed. Employee acknowledges that the consideration given for this waiver and release is in addition to anything of value to which Employee was already entitled. Employee further acknowledges that Employee has been advised by this writing that: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should consult with Employee’s own attorney prior to executing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at least 45 calendar days from the Employment Termination Date within which to consider this Agreement, although Employee may accept the terms of this Agreement at any time within those 45 days provided the acceptance occurs after the Employment Termination Date;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ind w:left="1300" w:right="540" w:hanging="644"/>
        <w:spacing w:after="0" w:line="282"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signs this Agreement before 45 days have passed, Employee acknowledges and agrees that Employee has signed this Agreement knowingly and voluntarily, without coercion to do so by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Company agree that immaterial or material changes to this Agreement do not restart the running of the 45-day period;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7 days following Employee’s signing of this Agreement to revoke it;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55"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effective and enforceable on the eighth calendar day after the date it is signed by Employee. This Agreement may be revoked by Employee by providing written notice of revocation to Company at any time during the seven-day period following the date Employee executes this Agreement. Any such revocation must be sent to Employment Counsel, Legal Department, Nu Skin Enterprises, Inc., 75 West Center Street, Provo, UT 84601, and must be received within the seven calendar days. Employee understands that Employee has no right to the consideration specified in this Agreement if Employee revokes this Agreement and Employee further understands that if any consideration is provided to Employee prior to Employee’s revocation, Employee must promptly return any such consideration to Company.</w:t>
      </w:r>
    </w:p>
    <w:p>
      <w:pPr>
        <w:spacing w:after="0" w:line="188" w:lineRule="exact"/>
        <w:rPr>
          <w:rFonts w:ascii="Times New Roman" w:cs="Times New Roman" w:eastAsia="Times New Roman" w:hAnsi="Times New Roman"/>
          <w:sz w:val="18"/>
          <w:szCs w:val="18"/>
          <w:color w:val="auto"/>
        </w:rPr>
      </w:pPr>
    </w:p>
    <w:p>
      <w:pPr>
        <w:ind w:right="60" w:firstLine="8"/>
        <w:spacing w:after="0" w:line="254" w:lineRule="auto"/>
        <w:tabs>
          <w:tab w:leader="none" w:pos="67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to Use Image, Name, Voice, and Likeness</w:t>
      </w:r>
      <w:r>
        <w:rPr>
          <w:rFonts w:ascii="Times New Roman" w:cs="Times New Roman" w:eastAsia="Times New Roman" w:hAnsi="Times New Roman"/>
          <w:sz w:val="18"/>
          <w:szCs w:val="18"/>
          <w:color w:val="auto"/>
        </w:rPr>
        <w:t>. Employee hereby grants Company and its agents, licensees and assigns a perpetual, non-revocable, and non-exclusive right to use, distribute, and/or display, throughout the world in any form now known or later developed, Employee’s name, image, likeness, title, picture, portrait, appearance, words, voice, biographical information, and/or actions (the “Personal Information”), by incorporating it into any form of commercial, informational, educational, advertising, and/or promotional material (the “Works”), even if such Works are created after the termination of Employee’s employment, so long as such Personal Information was obtained during Employee’s employment with Company. Employee expressly consents to Company’s use of the Personal Information to create Works that express or imply that Employee approves, endorses, have endorsed, or will endorse the specific subject matter of the Works. Company may use the Personal Information for any purpose, in its sole discretion, except that Company will not use the Personal Information for any criminal or illegal purpose.</w:t>
      </w:r>
    </w:p>
    <w:p>
      <w:pPr>
        <w:spacing w:after="0" w:line="19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Employee agrees to indemnify and defend Company, its agents, employees, licensees and assigns from any and all claims or causes of action that Employee, or any third party, may have now or in the future, arising out of the use, distribution, or display of the Personal Information.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Employee agrees that Company is and shall be the exclusive owner of all right, title, and interest, including copyright, in the Works. Employee agrees that, except as set forth in this Agreement, Employee will not be entitled to compensation of any kind for the use of the Personal Information and/or the Works.</w:t>
      </w:r>
    </w:p>
    <w:p>
      <w:pPr>
        <w:spacing w:after="0" w:line="162" w:lineRule="exact"/>
        <w:rPr>
          <w:sz w:val="20"/>
          <w:szCs w:val="20"/>
          <w:color w:val="auto"/>
        </w:rPr>
      </w:pPr>
    </w:p>
    <w:p>
      <w:pPr>
        <w:ind w:firstLine="8"/>
        <w:spacing w:after="0" w:line="256" w:lineRule="auto"/>
        <w:tabs>
          <w:tab w:leader="none" w:pos="67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Agreements</w:t>
      </w:r>
      <w:r>
        <w:rPr>
          <w:rFonts w:ascii="Times New Roman" w:cs="Times New Roman" w:eastAsia="Times New Roman" w:hAnsi="Times New Roman"/>
          <w:sz w:val="18"/>
          <w:szCs w:val="18"/>
          <w:color w:val="auto"/>
        </w:rPr>
        <w:t>. This Agreement, the Executive Severance Policy, any Employee Covenants Agreement, and the agreements, if any, related to Company’s deferred compensation plan, 401(k) plan, and incentive compensation plans (collectively, the “Sole Agreements”), constitute the entire and sole agreements between Employee and Company and/or any other of the Nu Skin Companies. No other promises or agreements have been made to Employee other than those contained in the Sole Agreements. Employee and Company acknowledge that they have read this Agreement carefully, fully understand the meaning of the terms of this Agreement and are signing this Agreement knowingly and voluntarily. This Agreement may not be amended or modified except by an instrument in writing signed by all parties hereto.</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2" w:name="page183"/>
    <w:bookmarkEnd w:id="182"/>
    <w:p>
      <w:pPr>
        <w:ind w:left="-8" w:right="180" w:firstLine="8"/>
        <w:spacing w:after="0" w:line="266" w:lineRule="auto"/>
        <w:tabs>
          <w:tab w:leader="none" w:pos="6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From Other Positions</w:t>
      </w:r>
      <w:r>
        <w:rPr>
          <w:rFonts w:ascii="Times New Roman" w:cs="Times New Roman" w:eastAsia="Times New Roman" w:hAnsi="Times New Roman"/>
          <w:sz w:val="18"/>
          <w:szCs w:val="18"/>
          <w:color w:val="auto"/>
        </w:rPr>
        <w:t xml:space="preserve">. Employee hereby resigns from any and all positions Employee holds as director, trustee, officer, or manager with Nu Skin Enterprises, Inc., The Force For Good Foundation, and any affiliate entity of Nu Skin Enterprises, Inc., effective as of the Employment Termination Date. </w:t>
      </w:r>
      <w:r>
        <w:rPr>
          <w:rFonts w:ascii="Times New Roman" w:cs="Times New Roman" w:eastAsia="Times New Roman" w:hAnsi="Times New Roman"/>
          <w:sz w:val="18"/>
          <w:szCs w:val="18"/>
          <w:i w:val="1"/>
          <w:iCs w:val="1"/>
          <w:color w:val="auto"/>
        </w:rPr>
        <w:t>[This section may be omitted if it is inapplicable.]</w:t>
      </w:r>
    </w:p>
    <w:p>
      <w:pPr>
        <w:spacing w:after="0" w:line="175" w:lineRule="exact"/>
        <w:rPr>
          <w:rFonts w:ascii="Times New Roman" w:cs="Times New Roman" w:eastAsia="Times New Roman" w:hAnsi="Times New Roman"/>
          <w:sz w:val="18"/>
          <w:szCs w:val="18"/>
          <w:color w:val="auto"/>
        </w:rPr>
      </w:pPr>
    </w:p>
    <w:p>
      <w:pPr>
        <w:ind w:left="-8" w:firstLine="8"/>
        <w:spacing w:after="0" w:line="252" w:lineRule="auto"/>
        <w:tabs>
          <w:tab w:leader="none" w:pos="6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Employee agrees that Employee will not, without the prior written consent of Company, directly or indirectly, disclose, reveal or communicate, or cause or allow to be disclosed, revealed or communicated to any unauthorized person, confidential matters, material non-public information, proprietary information or trade secrets, including without limitation, formulae, operating procedures, processes, intellectual property information, plans concerning acquisitions, products or technologies, customer or supplier relationships, distributor lists, secret developments, and products and inventions held or maintained by any of the Nu Skin Companies. Employee further agrees not to utilize any such confidential or proprietary information or trade secrets for Employee’s benefit or the benefit of others, including, without limitation, others in direct or indirect competition with any of the Nu Skin Companies. The obligations set forth in this Section shall be in addition to any other confidentiality obligations that Employee may have in any of the Sole Agreements, and Employee agrees that Employee’s obligations under any of the Sole Agreements continue after the termination of Employee’s employment. The parties expressly acknowledge that Employee obtained experience and skills during Employee’s employment, and this covenant is not intended to restrict Employee’s ability to use or leverage that knowledge or experience, but rather only to prevent Employee from using the above-described information or trade secrets of any of the Nu Skin Companies. Notwithstanding the foregoing, Employee will be immune from liability under state and federal trade secret law for disclosure of a trade secret: (a) made in confidence to a government official or attorney solely for the purpose of reporting or investigating a suspected violation of law; or (b) in a complaint or other document filed in a lawsuit or other proceeding, as long as such filing is made under seal; or (c) to an attorney representing Employee in a claim for retaliation for reporting a suspected violation of law.</w:t>
      </w:r>
    </w:p>
    <w:p>
      <w:pPr>
        <w:spacing w:after="0" w:line="197" w:lineRule="exact"/>
        <w:rPr>
          <w:rFonts w:ascii="Times New Roman" w:cs="Times New Roman" w:eastAsia="Times New Roman" w:hAnsi="Times New Roman"/>
          <w:sz w:val="18"/>
          <w:szCs w:val="18"/>
          <w:color w:val="auto"/>
        </w:rPr>
      </w:pPr>
    </w:p>
    <w:p>
      <w:pPr>
        <w:ind w:left="-8" w:right="540" w:firstLine="8"/>
        <w:spacing w:after="0" w:line="266" w:lineRule="auto"/>
        <w:tabs>
          <w:tab w:leader="none" w:pos="6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Equipment</w:t>
      </w:r>
      <w:r>
        <w:rPr>
          <w:rFonts w:ascii="Times New Roman" w:cs="Times New Roman" w:eastAsia="Times New Roman" w:hAnsi="Times New Roman"/>
          <w:sz w:val="18"/>
          <w:szCs w:val="18"/>
          <w:color w:val="auto"/>
        </w:rPr>
        <w:t>. Employee represents and covenants that Employee has returned to Company all confidential information, computers, laptops, cell phones, and all other equipment or materials owned by any of the Nu Skin Companies in the possession of Employee that Company has not explicitly allowed Employee to keep.</w:t>
      </w:r>
    </w:p>
    <w:p>
      <w:pPr>
        <w:spacing w:after="0" w:line="175" w:lineRule="exact"/>
        <w:rPr>
          <w:rFonts w:ascii="Times New Roman" w:cs="Times New Roman" w:eastAsia="Times New Roman" w:hAnsi="Times New Roman"/>
          <w:sz w:val="18"/>
          <w:szCs w:val="18"/>
          <w:color w:val="auto"/>
        </w:rPr>
      </w:pPr>
    </w:p>
    <w:p>
      <w:pPr>
        <w:ind w:left="-8" w:right="40" w:firstLine="8"/>
        <w:spacing w:after="0" w:line="253" w:lineRule="auto"/>
        <w:tabs>
          <w:tab w:leader="none" w:pos="6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Lawsuits</w:t>
      </w:r>
      <w:r>
        <w:rPr>
          <w:rFonts w:ascii="Times New Roman" w:cs="Times New Roman" w:eastAsia="Times New Roman" w:hAnsi="Times New Roman"/>
          <w:sz w:val="18"/>
          <w:szCs w:val="18"/>
          <w:color w:val="auto"/>
        </w:rPr>
        <w:t>. Employee affirms that Employee has not filed any lawsuit, claim or charge against the Nu Skin Companies with any court, administrative or government agency and covenants not to file or allow to be filed on Employee’s behalf any lawsuit against Company or any of the other Nu Skin Companies regarding the claims released in Sections 2 and 3 above. Employee acknowledges that Employee is not releasing any right that cannot be waived under law, and Employee understands that this Agreement does not preclude Employee from filing an administrative charge or claim with the Equal Employment Opportunity Commission (“EEOC”), the National Labor Relations Board, the Occupational Safety and Health Administration, the Securities and Exchange Commission, or any other federal, state, or local governmental agency or commission (each a “Government Agency”). Employee acknowledges that the Agreement does not limit Employee’s right to receive an award for any information provided to any Government Agency. Nevertheless, Employee agrees that Employee shall not seek, accept, or be entitled to any monetary damages, whether for Employee individually or as a member of a class or group, arising from any claim waived herein, including but not limited to any claim or action before the EEOC or a state anti-discrimination or human rights agency filed by Employee or on Employee’s behalf, and Employee hereby waives Employee’s right to recover any such monetary relief. Employee further understands that this Agreement does not limit Employee’s ability to communicate with any Government Agency or otherwise participate in any investigation or proceeding that may be covered by any Government Agency, including providing documents or other information, without notice to Company.</w:t>
      </w:r>
    </w:p>
    <w:p>
      <w:pPr>
        <w:spacing w:after="0" w:line="35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183" w:name="page184"/>
    <w:bookmarkEnd w:id="183"/>
    <w:p>
      <w:pPr>
        <w:ind w:firstLine="8"/>
        <w:spacing w:after="0" w:line="261" w:lineRule="auto"/>
        <w:tabs>
          <w:tab w:leader="none" w:pos="6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This Agreement is a negotiated settlement of all claims, charges, demands, lawsuits, obligations and causes of action, if any, between the parties. This Agreement does not constitute an admission by Company, and Company specifically denies that Company has violated any contract, law, or regulation or that it has discriminated against Employee or otherwise infringed upon Employee’s rights and privileges or committed any other wrongful act.</w:t>
      </w:r>
    </w:p>
    <w:p>
      <w:pPr>
        <w:spacing w:after="0" w:line="179" w:lineRule="exact"/>
        <w:rPr>
          <w:rFonts w:ascii="Times New Roman" w:cs="Times New Roman" w:eastAsia="Times New Roman" w:hAnsi="Times New Roman"/>
          <w:sz w:val="18"/>
          <w:szCs w:val="18"/>
          <w:color w:val="auto"/>
        </w:rPr>
      </w:pPr>
    </w:p>
    <w:p>
      <w:pPr>
        <w:ind w:right="120" w:firstLine="8"/>
        <w:spacing w:after="0" w:line="261" w:lineRule="auto"/>
        <w:tabs>
          <w:tab w:leader="none" w:pos="6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Employee agrees that this Agreement and its terms shall be kept confidential and shall not be disclosed to any person or entity who is not a party hereto. Notwithstanding the foregoing, Employee may disclose this Agreement and its terms (a) with Company’s prior written consent;</w:t>
      </w: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to Employee’s immediate family; (c) as necessary to Employee’s attorneys, accountants, auditors, tax and financial advisors provided that Employee obtains from the receiving party an agreement to maintain the confidentiality of this Agreement and its terms; (d) in response to a validly issued subpoena or other legal process if reasonable notice is provided to Company before any disclosure to allow Company to seek a protective order or other legal process to limit or preclude such disclosure; or (e) in connection with a legal proceeding seeking enforcement of this Agreement. If Employee violates or breaches this Agreement, this Agreement shall remain in full force and effect and Company will be entitled to recover from Employee the monies paid pursuant to Section 1 above, reasonable attorneys’ fees and any other remedy available to Company pursuant to this Agreement or otherwise.</w:t>
      </w:r>
    </w:p>
    <w:p>
      <w:pPr>
        <w:spacing w:after="0" w:line="189" w:lineRule="exact"/>
        <w:rPr>
          <w:rFonts w:ascii="Times New Roman" w:cs="Times New Roman" w:eastAsia="Times New Roman" w:hAnsi="Times New Roman"/>
          <w:sz w:val="18"/>
          <w:szCs w:val="18"/>
          <w:color w:val="auto"/>
        </w:rPr>
      </w:pPr>
    </w:p>
    <w:p>
      <w:pPr>
        <w:ind w:right="20" w:firstLine="8"/>
        <w:spacing w:after="0" w:line="255" w:lineRule="auto"/>
        <w:tabs>
          <w:tab w:leader="none" w:pos="6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Employee agrees that Employee will not at any time make any written or oral statements disparaging any of the Nu Skin Companies or any of the Nu Skin Companies’ officers, directors, employees, distributors, customers or products. Nothing in this Agreement shall in any way limit Employee from: (a) fully cooperating with any governmental investigation or inquiry or from responding fully and truthfully to any questions or information requests made by any government agency or entity in connection with such government investigation or inquiry, or from testifying truthfully or otherwise responding to legal process; or (b) from exercising protected rights, or reporting possible violations of law or regulation to any governmental agency or entity, including but not limited to the United States Department of Justice, the Securities and Exchange Commission, and any other agency, or making other disclosures that are protected under the whistleblower provisions of law or regulation.</w:t>
      </w:r>
    </w:p>
    <w:p>
      <w:pPr>
        <w:spacing w:after="0" w:line="188" w:lineRule="exact"/>
        <w:rPr>
          <w:rFonts w:ascii="Times New Roman" w:cs="Times New Roman" w:eastAsia="Times New Roman" w:hAnsi="Times New Roman"/>
          <w:sz w:val="18"/>
          <w:szCs w:val="18"/>
          <w:color w:val="auto"/>
        </w:rPr>
      </w:pPr>
    </w:p>
    <w:p>
      <w:pPr>
        <w:ind w:right="140" w:firstLine="8"/>
        <w:spacing w:after="0" w:line="266" w:lineRule="auto"/>
        <w:tabs>
          <w:tab w:leader="none" w:pos="6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Should any provision hereof be voidable or unenforceable under applicable law, such voidable, or unenforceable provision shall not affect the validity of any other clause or provision, which shall remain in full force and effect, and it is the intention and agreement of the parties that all terms and conditions herein be enforced to the fullest extent permitted by law.</w:t>
      </w:r>
    </w:p>
    <w:p>
      <w:pPr>
        <w:spacing w:after="0" w:line="175" w:lineRule="exact"/>
        <w:rPr>
          <w:rFonts w:ascii="Times New Roman" w:cs="Times New Roman" w:eastAsia="Times New Roman" w:hAnsi="Times New Roman"/>
          <w:sz w:val="18"/>
          <w:szCs w:val="18"/>
          <w:color w:val="auto"/>
        </w:rPr>
      </w:pPr>
    </w:p>
    <w:p>
      <w:pPr>
        <w:ind w:right="180" w:firstLine="8"/>
        <w:spacing w:after="0" w:line="266" w:lineRule="auto"/>
        <w:tabs>
          <w:tab w:leader="none" w:pos="6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Jurisdiction and Venue</w:t>
      </w:r>
      <w:r>
        <w:rPr>
          <w:rFonts w:ascii="Times New Roman" w:cs="Times New Roman" w:eastAsia="Times New Roman" w:hAnsi="Times New Roman"/>
          <w:sz w:val="18"/>
          <w:szCs w:val="18"/>
          <w:color w:val="auto"/>
        </w:rPr>
        <w:t>. The validity of this Agreement and the interpretation and performance of its terms shall be governed by the substantive and procedural laws of the State of Utah. Each party expressly submits and consents to exclusive personal jurisdiction and venue in the courts of Utah County, State of Utah or in Federal District Court for the District of Utah.</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ind w:left="-8" w:right="220" w:firstLine="8"/>
        <w:spacing w:after="0" w:line="282" w:lineRule="auto"/>
        <w:tabs>
          <w:tab w:leader="none" w:pos="66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Titles and headings of the paragraphs and sections of this Agreement are for convenience of reference only and shall not affect the construction of any provision of this Agreement.</w:t>
      </w:r>
    </w:p>
    <w:p>
      <w:pPr>
        <w:spacing w:after="0" w:line="161" w:lineRule="exact"/>
        <w:rPr>
          <w:rFonts w:ascii="Times New Roman" w:cs="Times New Roman" w:eastAsia="Times New Roman" w:hAnsi="Times New Roman"/>
          <w:sz w:val="18"/>
          <w:szCs w:val="18"/>
          <w:color w:val="auto"/>
        </w:rPr>
      </w:pPr>
    </w:p>
    <w:p>
      <w:pPr>
        <w:ind w:left="-8" w:right="100" w:firstLine="8"/>
        <w:spacing w:after="0" w:line="261" w:lineRule="auto"/>
        <w:tabs>
          <w:tab w:leader="none" w:pos="66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one or more counterparts, each of which shall be an original, with the same effect as if the signatures thereto and hereto were upon the same instrument. Any facsimile or electronic signature to this Agreement of a party transmitted by a party or its legal counsel and any email copy of a party’s signature to this Agreement emailed by a party or its legal counsel shall be deemed an original and binding signature of this Agreement by such party.</w:t>
      </w:r>
    </w:p>
    <w:p>
      <w:pPr>
        <w:spacing w:after="0" w:line="179" w:lineRule="exact"/>
        <w:rPr>
          <w:rFonts w:ascii="Times New Roman" w:cs="Times New Roman" w:eastAsia="Times New Roman" w:hAnsi="Times New Roman"/>
          <w:sz w:val="18"/>
          <w:szCs w:val="18"/>
          <w:color w:val="auto"/>
        </w:rPr>
      </w:pPr>
    </w:p>
    <w:p>
      <w:pPr>
        <w:jc w:val="both"/>
        <w:ind w:left="-8" w:right="220" w:firstLine="8"/>
        <w:spacing w:after="0" w:line="266" w:lineRule="auto"/>
        <w:tabs>
          <w:tab w:leader="none" w:pos="66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This Agreement was drafted with the full participation of all parties. Accordingly, if there is an ambiguity in this Agreement, it should not be resolved against any particular party, but rather should be resolved by a fair reading of what the Agreement was intended by the parties to provide.</w:t>
      </w:r>
    </w:p>
    <w:p>
      <w:pPr>
        <w:spacing w:after="0" w:line="175" w:lineRule="exact"/>
        <w:rPr>
          <w:rFonts w:ascii="Times New Roman" w:cs="Times New Roman" w:eastAsia="Times New Roman" w:hAnsi="Times New Roman"/>
          <w:sz w:val="18"/>
          <w:szCs w:val="18"/>
          <w:color w:val="auto"/>
        </w:rPr>
      </w:pPr>
    </w:p>
    <w:p>
      <w:pPr>
        <w:ind w:left="-8" w:right="780" w:firstLine="8"/>
        <w:spacing w:after="0" w:line="282" w:lineRule="auto"/>
        <w:tabs>
          <w:tab w:leader="none" w:pos="66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Opportunity to Read and Understand the Agreement</w:t>
      </w:r>
      <w:r>
        <w:rPr>
          <w:rFonts w:ascii="Times New Roman" w:cs="Times New Roman" w:eastAsia="Times New Roman" w:hAnsi="Times New Roman"/>
          <w:sz w:val="18"/>
          <w:szCs w:val="18"/>
          <w:color w:val="auto"/>
        </w:rPr>
        <w:t>. Employee acknowledges that Employee has read this Agreement carefully, fully understands the meaning of the terms of this Agreement, and is signing this Agreement knowingly and voluntarily.</w:t>
      </w:r>
    </w:p>
    <w:p>
      <w:pPr>
        <w:spacing w:after="0" w:line="161" w:lineRule="exact"/>
        <w:rPr>
          <w:rFonts w:ascii="Times New Roman" w:cs="Times New Roman" w:eastAsia="Times New Roman" w:hAnsi="Times New Roman"/>
          <w:sz w:val="18"/>
          <w:szCs w:val="18"/>
          <w:color w:val="auto"/>
        </w:rPr>
      </w:pPr>
    </w:p>
    <w:p>
      <w:pPr>
        <w:ind w:left="672" w:hanging="672"/>
        <w:spacing w:after="0"/>
        <w:tabs>
          <w:tab w:leader="none" w:pos="67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or modified except by an instrument in writing signed by all parties hereto.</w:t>
      </w:r>
    </w:p>
    <w:p>
      <w:pPr>
        <w:spacing w:after="0" w:line="221" w:lineRule="exact"/>
        <w:rPr>
          <w:sz w:val="20"/>
          <w:szCs w:val="20"/>
          <w:color w:val="auto"/>
        </w:rPr>
      </w:pPr>
    </w:p>
    <w:p>
      <w:pPr>
        <w:ind w:left="652"/>
        <w:spacing w:after="0" w:line="262" w:lineRule="auto"/>
        <w:rPr>
          <w:sz w:val="20"/>
          <w:szCs w:val="20"/>
          <w:color w:val="auto"/>
        </w:rPr>
      </w:pPr>
      <w:r>
        <w:rPr>
          <w:rFonts w:ascii="Times New Roman" w:cs="Times New Roman" w:eastAsia="Times New Roman" w:hAnsi="Times New Roman"/>
          <w:sz w:val="18"/>
          <w:szCs w:val="18"/>
          <w:b w:val="1"/>
          <w:bCs w:val="1"/>
          <w:color w:val="auto"/>
        </w:rPr>
        <w:t>THIS AGREEMENT IS INTENDED TO RELEASE ALL RELEASABLE CLAIMS RELATED TO EMPLOYEE’S EMPLOYMENT. THUS, EMPLOYEE MUST NOT SIGN THIS AGREEMENT BEFORE THE EMPLOYMENT TERMINATION DATE. IF EMPLOYEE SIGNS THIS AGREEMENT BEFORE THE LAST DAY OF EMPLOYEE’S EMPLOYMENT, IT WILL NOT BE VALID AND EMPLOYEE WILL NOT BE ENTITLED TO THE SEVERANCE PAYMENT.</w:t>
      </w:r>
    </w:p>
    <w:p>
      <w:pPr>
        <w:spacing w:after="0" w:line="180"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NU SKIN ENTERPRISES, INC.</w:t>
      </w:r>
    </w:p>
    <w:p>
      <w:pPr>
        <w:spacing w:after="0" w:line="225"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17145</wp:posOffset>
            </wp:positionV>
            <wp:extent cx="371157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3711575" cy="17145"/>
                    </a:xfrm>
                    <a:prstGeom prst="rect">
                      <a:avLst/>
                    </a:prstGeom>
                    <a:noFill/>
                  </pic:spPr>
                </pic:pic>
              </a:graphicData>
            </a:graphic>
          </wp:anchor>
        </w:drawing>
      </w:r>
    </w:p>
    <w:p>
      <w:pPr>
        <w:spacing w:after="0" w:line="23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17145</wp:posOffset>
            </wp:positionV>
            <wp:extent cx="348043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3480435"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2"/>
          </w:cols>
          <w:pgMar w:left="328" w:top="121" w:right="439"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EMPLOYEE COVENANTS AGREEMENT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 Skin Enterprises, Inc. and its affiliated companies (collectively “Company”) operate in the highly competitive direct selling marketplace competing for product market share as well as recruitment and retention of independent distributors. The success of Company depends on maintaining a competitive edge in this industry through the introduction of innovative products and attracting and retaining distributors. Accordingly, as a condition of and in consideration of employment or continued employment with Company, Company and Employee hereby acknowledge and agree as follows.</w:t>
      </w:r>
    </w:p>
    <w:p>
      <w:pPr>
        <w:spacing w:after="0" w:line="176" w:lineRule="exact"/>
        <w:rPr>
          <w:sz w:val="20"/>
          <w:szCs w:val="20"/>
          <w:color w:val="auto"/>
        </w:rPr>
      </w:pPr>
    </w:p>
    <w:p>
      <w:pPr>
        <w:ind w:left="660" w:right="80" w:hanging="652"/>
        <w:spacing w:after="0" w:line="255"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 of Interest</w:t>
      </w:r>
      <w:r>
        <w:rPr>
          <w:rFonts w:ascii="Times New Roman" w:cs="Times New Roman" w:eastAsia="Times New Roman" w:hAnsi="Times New Roman"/>
          <w:sz w:val="18"/>
          <w:szCs w:val="18"/>
          <w:color w:val="auto"/>
        </w:rPr>
        <w:t>: During employment with Company, Employee shall not have any personal interest that is incompatible with the loyalty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Employee owes to Company. Employee must discharge Employee’s responsibility solely on the basis of what is in the best interest of Company and independent of personal considerations or relationships. Employee shall maintain impartial relationships with vendors, suppliers and distributors. Should Employee have any questions regarding this matter, Employee should consult with Employee’s director or supervisor or with the Human Resources Department (“HR”). If any actual or potential conflict of interest arises, the Employee must notify Employee’s director or supervisor and HR as promptly as possible after such conflict of interest arises, and seek an appropriate waiver or resolution of such conflict of interest. Although it is difficult to identify every activity that might give rise to a conflict of interest, the following provisions address some examples of conflicts of interest:</w:t>
      </w:r>
    </w:p>
    <w:p>
      <w:pPr>
        <w:spacing w:after="0" w:line="185" w:lineRule="exact"/>
        <w:rPr>
          <w:sz w:val="20"/>
          <w:szCs w:val="20"/>
          <w:color w:val="auto"/>
        </w:rPr>
      </w:pPr>
    </w:p>
    <w:p>
      <w:pPr>
        <w:ind w:left="1300" w:right="80"/>
        <w:spacing w:after="0" w:line="25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Related Party Transactions.</w:t>
      </w:r>
      <w:r>
        <w:rPr>
          <w:rFonts w:ascii="Times New Roman" w:cs="Times New Roman" w:eastAsia="Times New Roman" w:hAnsi="Times New Roman"/>
          <w:sz w:val="18"/>
          <w:szCs w:val="18"/>
          <w:color w:val="auto"/>
        </w:rPr>
        <w:t xml:space="preserve"> Employee shall not have a direct or indirect ownership or financial interest in vendors or suppliers of Company or in any person or entity doing or seeking to do business with Company. Employee shall also not have a direct or indirect financial or other interest in any transaction involving the Company. In the event such a conflict arises, Employee must notify Employee’s director or supervisor and HR, and Company may not do business with such vendor or supplier, or enter into any such transaction, unless it has been approved (a) in accordance with Company’s policy with respect to related party transactions; or, if such policy does not apply, (b) by Employee’s manager.</w:t>
      </w:r>
    </w:p>
    <w:p>
      <w:pPr>
        <w:spacing w:after="0" w:line="182" w:lineRule="exact"/>
        <w:rPr>
          <w:sz w:val="20"/>
          <w:szCs w:val="20"/>
          <w:color w:val="auto"/>
        </w:rPr>
      </w:pPr>
    </w:p>
    <w:p>
      <w:pPr>
        <w:ind w:left="130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Other Employment.</w:t>
      </w:r>
      <w:r>
        <w:rPr>
          <w:rFonts w:ascii="Times New Roman" w:cs="Times New Roman" w:eastAsia="Times New Roman" w:hAnsi="Times New Roman"/>
          <w:sz w:val="18"/>
          <w:szCs w:val="18"/>
          <w:color w:val="auto"/>
        </w:rPr>
        <w:t xml:space="preserve"> Employee shall not be employed by, or perform services of any kind, whether compensated or not, for any person or entity doing or seeking to do business with Company. Employee shall not be employed by, or perform services of any kind, whether compensated or not, for any person or entity that competes with Company. Employee shall not allow employment by, or performance of services for, any other person or entity to detract from Employee’s job performance; use Company’s time, resources, or personnel in connection therewith; or expend such long hours in connection therewith as to adversely affect Employee’s physical or mental effectiveness. Further, neither Employee’s spouse, nor any member of Employee’s household, shall be employed by another direct sales or multilevel marketing company without the prior written consent of Company.</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6" w:name="page187"/>
    <w:bookmarkEnd w:id="186"/>
    <w:p>
      <w:pPr>
        <w:ind w:left="1292" w:right="220"/>
        <w:spacing w:after="0" w:line="255"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Distributorships.</w:t>
      </w:r>
      <w:r>
        <w:rPr>
          <w:rFonts w:ascii="Times New Roman" w:cs="Times New Roman" w:eastAsia="Times New Roman" w:hAnsi="Times New Roman"/>
          <w:sz w:val="18"/>
          <w:szCs w:val="18"/>
          <w:color w:val="auto"/>
        </w:rPr>
        <w:t xml:space="preserve"> While employed by Company and for a period of three months after termination of an employment relationship with Company for any reason, Employee shall not have a direct or indirect ownership or financial interest in a Company distributorship or similar account. Additionally, during the course of employment, neither Employee’s spouse, nor any member of Employee’s household, shall have a direct or indirect ownership or financial interest in, or otherwise be affiliated with, a Company distributorship without the prior written consent of Company. Further, neither Employee’s spouse, nor any member of Employee’s household, shall have a direct or indirect ownership or financial interest in, or otherwise be affiliated with, another direct sales or multilevel marketing distributorship without the prior written consent of Company. Any pre-existing ownership, financial interests, or employment covered in these subparagraphs must be disclosed to Company at the time of the execution of this Agreement.</w:t>
      </w:r>
    </w:p>
    <w:p>
      <w:pPr>
        <w:spacing w:after="0" w:line="185" w:lineRule="exact"/>
        <w:rPr>
          <w:sz w:val="20"/>
          <w:szCs w:val="20"/>
          <w:color w:val="auto"/>
        </w:rPr>
      </w:pPr>
    </w:p>
    <w:p>
      <w:pPr>
        <w:ind w:left="332" w:hanging="332"/>
        <w:spacing w:after="0"/>
        <w:tabs>
          <w:tab w:leader="none" w:pos="33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Inventions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92" w:hanging="647"/>
        <w:spacing w:after="0" w:line="254" w:lineRule="auto"/>
        <w:tabs>
          <w:tab w:leader="none" w:pos="1272"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Attached hereto as Exhibit A is a list describing all inventions, original works of authorship, developments, improvements, and trade secrets which were conceived, developed, reduced to practice, or created by Employee prior to Employee’s employment with Company, which belong to Employee, and which are not assigned to Company hereunder (collectively referred to as “Prior Inventions”). If nothing is listed on Exhibit A, or if no such list is attached, Employee represents that there are no such Prior Inventions. If, in the course of Employee’s employment with Company, Employee incorporates into a Company product, process, service, or other work a Prior Invention owned by Employee or in which Employee has an interest, Employee hereby grants to Company and Company shall have a nonexclusive, royalty-free, irrevocable, perpetual, worldwide license to make, have made, modify, use, sell, offer to sell, copy, reproduce, distribute, make derivative works of and publicly display or perform such Prior Invention as part of or in connection with such product, process, service, or other work and to practice any method related thereto and to sublicense the foregoing rights.</w:t>
      </w:r>
    </w:p>
    <w:p>
      <w:pPr>
        <w:spacing w:after="0" w:line="36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17" w:right="379" w:bottom="1440" w:gutter="0" w:footer="0" w:header="0"/>
        </w:sectPr>
      </w:pPr>
    </w:p>
    <w:bookmarkStart w:id="187" w:name="page188"/>
    <w:bookmarkEnd w:id="187"/>
    <w:p>
      <w:pPr>
        <w:ind w:left="180" w:right="2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Employee agrees to promptly make full written disclosure to Company, will hold in trust for the sole right and benefit of Company, and hereby assigns to Company, or its designee, all of Employee’s right, title, and interest in and to any and all inventions, original works of authorship, developments, improvements, concepts, processes, designs, discoveries, ideas, technology advances, unique solutions to business problems, trademarks, or trade secrets, whether or not patentable, and whether or not registrable under copyright or other federal or state laws, which Employee may solely or jointly conceive, develop, create, or reduce to practice, or cause to be conceived, developed, created or reduced to practice, and which also satisfy any one of the following: (i) was within the scope of Employee’s employment; (ii) was on Company’s time; (iii) was with the aid, assistance, or use of any of Company’s property, equipment, facilities, supplies, resources, or intellectual property; (iv) was the result of any work, services, or duties performed by Employee for Company; (v) was related to Company’s industry or trade; and/or (vi) was related to the current or demonstrably anticipated business, research, or development of Company (collectively referred to as “Inventions”).</w:t>
      </w:r>
    </w:p>
    <w:p>
      <w:pPr>
        <w:spacing w:after="0" w:line="194" w:lineRule="exact"/>
        <w:rPr>
          <w:sz w:val="20"/>
          <w:szCs w:val="20"/>
          <w:color w:val="auto"/>
        </w:rPr>
      </w:pPr>
    </w:p>
    <w:p>
      <w:pPr>
        <w:ind w:left="180" w:right="4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Employee further acknowledges that all original works of authorship that are made by Employee (solely or jointly with others) within the scope of and during the period of employment with Company and that are protectable by copyright are “works made for hire,” as that term is defined in the United States Copyright Act.</w:t>
      </w:r>
    </w:p>
    <w:p>
      <w:pPr>
        <w:spacing w:after="0" w:line="176" w:lineRule="exact"/>
        <w:rPr>
          <w:sz w:val="20"/>
          <w:szCs w:val="20"/>
          <w:color w:val="auto"/>
        </w:rPr>
      </w:pPr>
    </w:p>
    <w:p>
      <w:pPr>
        <w:ind w:left="180" w:right="26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Employee understands and agrees that the decision whether or not to commercialize or market any Inventions developed by Employee solely or jointly with others is within Company’s sole discretion and for Company’s sole benefit and that no royalty will be due to Employee as a result of Company’s efforts to commercialize or market any such Invention.</w:t>
      </w:r>
    </w:p>
    <w:p>
      <w:pPr>
        <w:spacing w:after="0" w:line="176" w:lineRule="exact"/>
        <w:rPr>
          <w:sz w:val="20"/>
          <w:szCs w:val="20"/>
          <w:color w:val="auto"/>
        </w:rPr>
      </w:pPr>
    </w:p>
    <w:p>
      <w:pPr>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Employee agrees to keep and maintain adequate and current written records of all Inventions made by Employee (solely or jointly with others) during the term of employment with Company. The records will be in the form of notes, sketches, drawings, and any other format that may be specified by Company. The records will be available to and remain the sole property of Company at all times.</w:t>
      </w:r>
    </w:p>
    <w:p>
      <w:pPr>
        <w:spacing w:after="0" w:line="176" w:lineRule="exact"/>
        <w:rPr>
          <w:sz w:val="20"/>
          <w:szCs w:val="20"/>
          <w:color w:val="auto"/>
        </w:rPr>
      </w:pPr>
    </w:p>
    <w:p>
      <w:pPr>
        <w:ind w:left="180" w:right="4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Employee agrees to assist Company, or its designee, at Company’s expense, in every proper way to secure, obtain, maintain, reissue, defend, and enforce Company’s rights in the Inventions and any copyrights, patents, trademarks, trade secrets, mask work rights or any other intellectual property rights whatsoever relating thereto in any and all countries, including the disclosure to Company of all pertinent information and data with respect thereto, the execution of all applications, specifications, oaths, assignments, and all other instruments that Company shall deem necessary in order to apply for, obtain, maintain, reissue, defend, and enforce such rights (including, but not limited to, improvements, renewals, extensions, continuations, divisions or continuations in part thereof) and in order to assign and convey to Company, its successors, assigns, and nominees the sole and exclusive right, title, and interest in and to such Inventions, and any copyrights, patents, trademarks, trade secrets, mask work rights or any other intellectual property rights whatsoever relating thereto. Employee further agrees that Employee’s obligation to execute or cause to be executed, when it is in Employee’s power to do so, any such instrument or papers shall continue after the termination of this Agreement. If Company is unable because of Employee’s mental or physical incapacity or for any other reason to secure Employee’s signature to apply for or to pursue any application for any United States or foreign patents or copyright registrations covering Inventions or original works of authorship assigned to Company as above, or execute any of the other above instruments or papers, then Employee hereby irrevocably designates and appoints Company and its duly authorized officers and agents as Employee’s agent and attorney in fact, to act for and in Employee’s behalf and stead to execute and file any such applications and to do all other lawfully permitted acts to further the prosecution, maintenance, reissue, defense, enforcement, and issuance of letters patent or copyright registrations thereon with the same legal force and effect as if executed by Employee.</w:t>
      </w:r>
    </w:p>
    <w:p>
      <w:pPr>
        <w:spacing w:after="0" w:line="36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88" w:name="page189"/>
    <w:bookmarkEnd w:id="188"/>
    <w:p>
      <w:pPr>
        <w:ind w:left="332" w:hanging="332"/>
        <w:spacing w:after="0"/>
        <w:tabs>
          <w:tab w:leader="none" w:pos="33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Non-Disclosure and Assignment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92" w:hanging="647"/>
        <w:spacing w:after="0" w:line="252" w:lineRule="auto"/>
        <w:tabs>
          <w:tab w:leader="none" w:pos="1272"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Employee acknowledges that during the term of employment with Company, Employee will have access or be exposed to, or learn or develop, Confidential Information. Employee understands that “Confidential Information” means any Company information, data, or physical property that relates to the actual or anticipated business or research and development of Company, Company proprietary information, technical data, trade secrets, or know-how, including, but not limited to: research; formulas; business plans; strategic plans; product and marketing plans; sales compensation plans; sales methods; financial information; vendor information (both actual and potential), including, without limitation, vendor lists, and vendor contact, volume, and pricing information; supplier information (both actual and potential), including, without limitation, supplier lists, and supplier contact, volume, and pricing information; distributor information (both actual and potential), including, but not limited to; distributor lists, and distributor contact information, volume, sales, ability, performance, compensation, downline, upline, and personally identifiable information; employee information (both actual and potential), including, but not limited to, employee lists, and employee contact information, experience, qualification, ability, performance, compensation, and personally identifiable information; markets; market development strategies; sales strategies; strategies for the acquisition, retention, acquisition, and growth of distributors; software and computer programs; specifications; reports; designs; drawings; prototypes; procedures; inventions; operations; procedures; manufacturing techniques, engineering processes; technology; unpublished patent applications and invention disclosures; production planning information; sales and purchasing quantities, prices, or quotations; budget plans; contracts; risk analysis; correspondence with distributors, suppliers, and vendors; and other business information disclosed to me by Company, directly or indirectly, that is proprietary, confidential, or secret, whether in digital, hard copy, verbal, visual, tangible, intangible, or other form.</w:t>
      </w:r>
    </w:p>
    <w:p>
      <w:pPr>
        <w:spacing w:after="0" w:line="14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189" w:name="page190"/>
    <w:bookmarkEnd w:id="189"/>
    <w:p>
      <w:pPr>
        <w:jc w:val="both"/>
        <w:ind w:left="180" w:right="160" w:hanging="647"/>
        <w:spacing w:after="0" w:line="258" w:lineRule="auto"/>
        <w:tabs>
          <w:tab w:leader="none" w:pos="1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During and after Employee’s employment, Employee shall hold the Confidential Information and/or Inventions in strictest confidence and shall protect them with utmost care. Employee shall not disclose, copy, remove from Company’s premises, or permit any person to disclose or copy any of the Confidential Information and/or Inventions, and Employee shall not use any of the Confidential Information and/or Inventions, except for the exclusive benefit of Company and only as necessary to perform Employee’s duties as an employee of Company.</w:t>
      </w:r>
    </w:p>
    <w:p>
      <w:pPr>
        <w:spacing w:after="0" w:line="183" w:lineRule="exact"/>
        <w:rPr>
          <w:sz w:val="20"/>
          <w:szCs w:val="20"/>
          <w:color w:val="auto"/>
        </w:rPr>
      </w:pPr>
    </w:p>
    <w:p>
      <w:pPr>
        <w:ind w:left="180" w:right="4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During employment with Company, Employee shall not improperly use or disclose any confidential or proprietary information or trade secrets of any former or concurrent employer or previously obtained from or provided by any other person or entity. On signing this Agreement, Employee shall disclose to Company the existence of agreements Employee has with prior employers or such other persons or entities, and shall comply with the terms of all such agreements with respect to confidential or proprietary information or trade secrets. Employee agrees and represents that Employee’s employment with Company does not cause Employee to be in breach of any contract or agreement with any former or concurrent employer.</w:t>
      </w:r>
    </w:p>
    <w:p>
      <w:pPr>
        <w:spacing w:after="0" w:line="187" w:lineRule="exact"/>
        <w:rPr>
          <w:sz w:val="20"/>
          <w:szCs w:val="20"/>
          <w:color w:val="auto"/>
        </w:rPr>
      </w:pPr>
    </w:p>
    <w:p>
      <w:pPr>
        <w:ind w:left="180" w:right="4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Employee recognizes that Company has received and in the future will receive from third parties their confidential or proprietary information subject to a duty on Company’s part to maintain the confidentiality of such information and to use it only for certain limited purposes. Employee agrees to hold all such confidential or proprietary information in the strictest confidence and to not use or disclose it except as necessary in carrying out Employee’s work for Company consistent with Company’s agreement with such third party.</w:t>
      </w:r>
    </w:p>
    <w:p>
      <w:pPr>
        <w:spacing w:after="0" w:line="180" w:lineRule="exact"/>
        <w:rPr>
          <w:sz w:val="20"/>
          <w:szCs w:val="20"/>
          <w:color w:val="auto"/>
        </w:rPr>
      </w:pPr>
    </w:p>
    <w:p>
      <w:pPr>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This Agreement will not be interpreted to prevent the use or disclosure of information that: (a) is required by law to be disclosed, but only to the extent that such disclosure is legally required, (b) becomes a part of the public knowledge other than by a breach of an obligation of confidentiality, or (c) is rightfully received from a third party not obligated to hold such information confidential. The Federal Defend Trade Secrets Act provides immunity to individuals under any federal or state trade secret law for the disclosure of a trade secret that is made: (i) in confidence to a federal, state, or local government official, either directly or indirectly, or to an attorney solely for the purpose of reporting or investigating a suspected violation of law; or (ii) in a complaint or other document filed in a lawsuit or other proceedings,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If Employee brings suit against Company in connection with Employee’s employment relationship with Company, Employee may disclose Confidential Information to Employee’s attorney and use the Confidential Information in the court proceeding, if Employee files any document containing Confidential Information under seal and does not disclose the Confidential Information, except pursuant to court order. Other than as described or addressed in this subparagraph, or as outlined in Paragraph 17 below, Employee must advise Company prior to disclosure of Confidential Information to be communicated pursuant to law so that Company may obtain a protective order as necessary to protect its confidentiality interests.</w:t>
      </w:r>
    </w:p>
    <w:p>
      <w:pPr>
        <w:spacing w:after="0" w:line="3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90" w:name="page191"/>
    <w:bookmarkEnd w:id="190"/>
    <w:p>
      <w:pPr>
        <w:ind w:left="652" w:hanging="652"/>
        <w:spacing w:after="0" w:line="259" w:lineRule="auto"/>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Future Inventions</w:t>
      </w:r>
      <w:r>
        <w:rPr>
          <w:rFonts w:ascii="Times New Roman" w:cs="Times New Roman" w:eastAsia="Times New Roman" w:hAnsi="Times New Roman"/>
          <w:sz w:val="18"/>
          <w:szCs w:val="18"/>
          <w:color w:val="auto"/>
        </w:rPr>
        <w:t>: Employee recognizes that inventions, original works of authorship, developments, improvements, and trade secrets that relate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Employee’s activities while working for Company, and which are conceived, developed, reduced to practice, or created by Employee, whether alone or with others, within one year after termination of Employee’s employment (“future inventions”), may constitute Inventions as that term is defined above. Accordingly, Employee agrees that Company’s rights and Employee’s obligations with respect to Inventions apply to future inventions, unless and until Employee has established the contrary.</w:t>
      </w:r>
    </w:p>
    <w:p>
      <w:pPr>
        <w:spacing w:after="0" w:line="179" w:lineRule="exact"/>
        <w:rPr>
          <w:rFonts w:ascii="Times New Roman" w:cs="Times New Roman" w:eastAsia="Times New Roman" w:hAnsi="Times New Roman"/>
          <w:sz w:val="18"/>
          <w:szCs w:val="18"/>
          <w:color w:val="auto"/>
        </w:rPr>
      </w:pPr>
    </w:p>
    <w:p>
      <w:pPr>
        <w:jc w:val="both"/>
        <w:ind w:left="652" w:right="240" w:hanging="652"/>
        <w:spacing w:after="0" w:line="268" w:lineRule="auto"/>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Ethical Standards</w:t>
      </w:r>
      <w:r>
        <w:rPr>
          <w:rFonts w:ascii="Times New Roman" w:cs="Times New Roman" w:eastAsia="Times New Roman" w:hAnsi="Times New Roman"/>
          <w:sz w:val="18"/>
          <w:szCs w:val="18"/>
          <w:color w:val="auto"/>
        </w:rPr>
        <w:t>: Employee agrees to maintain the highest ethical and legal standards in Employee’s conduct, to be scrupulously honest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straightforward in all of Employee’s dealings, and to avoid all situations which might create the appearance or perception of unethical or illegal conduct.</w:t>
      </w:r>
    </w:p>
    <w:p>
      <w:pPr>
        <w:spacing w:after="0" w:line="170" w:lineRule="exact"/>
        <w:rPr>
          <w:rFonts w:ascii="Times New Roman" w:cs="Times New Roman" w:eastAsia="Times New Roman" w:hAnsi="Times New Roman"/>
          <w:sz w:val="18"/>
          <w:szCs w:val="18"/>
          <w:color w:val="auto"/>
        </w:rPr>
      </w:pPr>
    </w:p>
    <w:p>
      <w:pPr>
        <w:ind w:left="652" w:right="160" w:hanging="652"/>
        <w:spacing w:after="0" w:line="262" w:lineRule="auto"/>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Product Resale</w:t>
      </w:r>
      <w:r>
        <w:rPr>
          <w:rFonts w:ascii="Times New Roman" w:cs="Times New Roman" w:eastAsia="Times New Roman" w:hAnsi="Times New Roman"/>
          <w:sz w:val="18"/>
          <w:szCs w:val="18"/>
          <w:color w:val="auto"/>
        </w:rPr>
        <w:t>: As an employee of Company, Employee may receive Company products and materials either at no charge or at a discount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from time to time by Company in its sole discretion. Employee agrees that the products and materials received shall be used strictly in accordance with the applicable policies of Company and shall not be sold, distributed, or transferred in any manner that would violate such policies.</w:t>
      </w:r>
    </w:p>
    <w:p>
      <w:pPr>
        <w:spacing w:after="0" w:line="176" w:lineRule="exact"/>
        <w:rPr>
          <w:rFonts w:ascii="Times New Roman" w:cs="Times New Roman" w:eastAsia="Times New Roman" w:hAnsi="Times New Roman"/>
          <w:sz w:val="18"/>
          <w:szCs w:val="18"/>
          <w:color w:val="auto"/>
        </w:rPr>
      </w:pPr>
    </w:p>
    <w:p>
      <w:pPr>
        <w:ind w:left="652" w:right="280" w:hanging="652"/>
        <w:spacing w:after="0" w:line="286" w:lineRule="auto"/>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Gratuities</w:t>
      </w:r>
      <w:r>
        <w:rPr>
          <w:rFonts w:ascii="Times New Roman" w:cs="Times New Roman" w:eastAsia="Times New Roman" w:hAnsi="Times New Roman"/>
          <w:sz w:val="18"/>
          <w:szCs w:val="18"/>
          <w:color w:val="auto"/>
        </w:rPr>
        <w:t>: Employee shall neither seek nor retain gifts, gratuities, entertainment, or other forms of compensation, benefit, or persuasion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suppliers, distributors, vendors, or their representatives except in compliance with Company policy.</w:t>
      </w:r>
    </w:p>
    <w:p>
      <w:pPr>
        <w:spacing w:after="0" w:line="154"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Non-Solicitation</w:t>
      </w:r>
      <w:r>
        <w:rPr>
          <w:rFonts w:ascii="Times New Roman" w:cs="Times New Roman" w:eastAsia="Times New Roman" w:hAnsi="Times New Roman"/>
          <w:sz w:val="18"/>
          <w:szCs w:val="18"/>
          <w:color w:val="auto"/>
        </w:rPr>
        <w:t>: Employee shall not in any way, directly or indirectly, on Employee’s own behalf or on behalf of others, either alone or with,</w:t>
      </w:r>
    </w:p>
    <w:p>
      <w:pPr>
        <w:spacing w:after="0" w:line="31" w:lineRule="exact"/>
        <w:rPr>
          <w:rFonts w:ascii="Times New Roman" w:cs="Times New Roman" w:eastAsia="Times New Roman" w:hAnsi="Times New Roman"/>
          <w:sz w:val="18"/>
          <w:szCs w:val="18"/>
          <w:color w:val="auto"/>
        </w:rPr>
      </w:pPr>
    </w:p>
    <w:p>
      <w:pPr>
        <w:ind w:left="652"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or through others, at any time during employment or within one year after either a voluntary or involuntary employment termination: (a) solicit, divert, take away, or interfere with Company’s distributors, employees, suppliers, or vendors, including, without limitation, inducing, facilitating, recruiting, or encouraging Company’s distributors, employees, suppliers, or vendors to terminate or alter their relationship with Company or to do business with any person or entity that competes with Company, regardless of whether or not Employee initiates any such contact; or (b) attempt to do any of the foregoing.</w:t>
      </w:r>
    </w:p>
    <w:p>
      <w:pPr>
        <w:spacing w:after="0" w:line="3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191" w:name="page192"/>
    <w:bookmarkEnd w:id="191"/>
    <w:p>
      <w:pPr>
        <w:ind w:left="652" w:right="280" w:hanging="652"/>
        <w:spacing w:after="0" w:line="268" w:lineRule="auto"/>
        <w:tabs>
          <w:tab w:leader="none" w:pos="6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Non-Disparagement</w:t>
      </w:r>
      <w:r>
        <w:rPr>
          <w:rFonts w:ascii="Times New Roman" w:cs="Times New Roman" w:eastAsia="Times New Roman" w:hAnsi="Times New Roman"/>
          <w:sz w:val="18"/>
          <w:szCs w:val="18"/>
          <w:color w:val="auto"/>
        </w:rPr>
        <w:t>: Subject to Paragraph 17 below, Employee shall not in any way, directly or indirectly, at any time during employment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either voluntary or involuntary employment termination, disparage Company, Company products, Company employees, or Company distributors, including, without limitation, the business, reputation, practices, or conduct of any of the foregoing.</w:t>
      </w:r>
    </w:p>
    <w:p>
      <w:pPr>
        <w:spacing w:after="0" w:line="170"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Non-Competition</w:t>
      </w:r>
      <w:r>
        <w:rPr>
          <w:rFonts w:ascii="Times New Roman" w:cs="Times New Roman" w:eastAsia="Times New Roman" w:hAnsi="Times New Roman"/>
          <w:sz w:val="18"/>
          <w:szCs w:val="18"/>
          <w:color w:val="auto"/>
        </w:rPr>
        <w:t>: In exchange for the benefits of continued employment by Company, Employee shall not, without the prior written consent of</w:t>
      </w:r>
    </w:p>
    <w:p>
      <w:pPr>
        <w:spacing w:after="0" w:line="31" w:lineRule="exact"/>
        <w:rPr>
          <w:rFonts w:ascii="Times New Roman" w:cs="Times New Roman" w:eastAsia="Times New Roman" w:hAnsi="Times New Roman"/>
          <w:sz w:val="18"/>
          <w:szCs w:val="18"/>
          <w:color w:val="auto"/>
        </w:rPr>
      </w:pPr>
    </w:p>
    <w:p>
      <w:pPr>
        <w:ind w:left="652"/>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 serve in any capacity whatsoever, including, but not limited to, as a partner, joint venturer, employee, distributor, consultant, principal, officer, director, manager, member, affiliate, representative, agent, associate, contractor, inventor, advisor, licensor, licensee, promoter, or investor for; (ii) directly or indirectly, own, purchase, organize or take preparatory steps for the organization of; or (iii) build, design, finance, acquire, lease, operate, manage, control, invest in, participate in, work or consult for or otherwise join or participate in or affiliate with or provide service to any direct selling or multilevel marketing company or entity, including, without limitation, any direct or indirect affiliate or subsidiary of such company or entity, that competes with the business of Company whether for market share of products or for independent distributors; provided, however, Employee may own publicly traded securities of a company whose securities are publicly traded on a national securities exchange that is registered with the Securities and Exchange Commission if Employee’s ownership interest is less than 1% of the total outstanding securities of such company. The foregoing covenant shall cover Employee’s activities in every part of the Territory. “Territory” shall mean: (i) all states of the United States of America; and (ii) any other countries in which Company maintains non-trivial operations or facilities, provides goods or services, has customers or distributors, or otherwise conducts business during the time of employment. Employee shall not engage in activities that may require or inevitably require disclosure of Confidential Information. The restrictions set forth in this paragraph shall remain in effect during Employee’s employment with Company.</w:t>
      </w:r>
    </w:p>
    <w:p>
      <w:pPr>
        <w:spacing w:after="0" w:line="18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to Use Image, Name, Voice, and Likeness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92" w:right="40" w:hanging="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11.1Employee hereby grants Company and its agents, licensees and assigns a perpetual, non-revocable, and non-exclusive right to use, distribute, and/or display, throughout the world in any form now known or later developed, Employee’s name, image, likeness, title, picture, portrait, appearance, words, voice, biographical information, and/or actions (the “Personal Information”), by incorporating it into any form of commercial, informational, educational, advertising, and/or promotional material (the “Works”), even if such Works are created after the termination of Employee’s employment, so long as such Personal Information was obtained during Employee’s employment with Company. Employee expressly consents to Company’s use of the Personal Information to create Works that express or imply that Employee approves, endorses, have endorsed, or will endorse the specific subject matter of the Works. Company may use the Personal Information for any purpose, in its sole discretion, except that Company will not use the Personal Information for any criminal or illegal purpose.</w:t>
      </w:r>
    </w:p>
    <w:p>
      <w:pPr>
        <w:spacing w:after="0" w:line="3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192" w:name="page193"/>
    <w:bookmarkEnd w:id="192"/>
    <w:p>
      <w:pPr>
        <w:jc w:val="both"/>
        <w:ind w:left="1292" w:right="280" w:hanging="728"/>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Employee agrees to indemnify and defend Company, its agents, employees, licensees and assigns from any and all claims or causes of action that Employee, or any third party, may have now or in the future, arising out of the use, distribution, or display of the Personal Information.</w:t>
      </w:r>
    </w:p>
    <w:p>
      <w:pPr>
        <w:spacing w:after="0" w:line="176" w:lineRule="exact"/>
        <w:rPr>
          <w:sz w:val="20"/>
          <w:szCs w:val="20"/>
          <w:color w:val="auto"/>
        </w:rPr>
      </w:pPr>
    </w:p>
    <w:p>
      <w:pPr>
        <w:ind w:left="1292" w:hanging="728"/>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Employee agrees that Company is and shall be the exclusive owner of all right, title, and interest, including copyright, in the Works. Employee agrees that Employee will not be entitled to compensation of any kind for the use of the Personal Information and/or the Works unless otherwise agreed to in writing.</w:t>
      </w:r>
    </w:p>
    <w:p>
      <w:pPr>
        <w:spacing w:after="0" w:line="172" w:lineRule="exact"/>
        <w:rPr>
          <w:sz w:val="20"/>
          <w:szCs w:val="20"/>
          <w:color w:val="auto"/>
        </w:rPr>
      </w:pPr>
    </w:p>
    <w:p>
      <w:pPr>
        <w:ind w:left="652" w:right="80" w:hanging="652"/>
        <w:spacing w:after="0" w:line="254" w:lineRule="auto"/>
        <w:tabs>
          <w:tab w:leader="none" w:pos="6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color w:val="auto"/>
        </w:rPr>
        <w:t>: Employee acknowledges that Employee’s fulfillment of the obligations contained in this Agreement,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Employee’s confidentiality, non-solicitation, non-disparagement, and non-competition covenants in Paragraphs 3 and 8-10 above, are fair and reasonable, are necessary to protect the Company’s Confidential Information and, consequently, to preserve the value and goodwill of the Company, and should be construed to apply to the fullest extent possible by applicable laws. Employee further acknowledges the time, geographic, and scope limitations of these obligations are reasonable, and that Employee will not be precluded from gainful employment if obligated not to compete with Company during the period and within the Territory as described in this Agreement. Employee has carefully read this Agreement, has consulted with independent legal counsel to the extent Employee deems appropriate, and has given careful consideration to the restraints imposed by the Agreement. Employee acknowledges that the terms of this Agreement are enforceable regardless of the manner in which Employee’s employment is terminated, whether voluntary or involuntary. In the event that Employee is to be employed as an attorney for a competitive business, Company and Employee acknowledge that Paragraph 10 is not intended to restrict the right of Employee to practice law in violation of any applicable rules of professional conduct.</w:t>
      </w:r>
    </w:p>
    <w:p>
      <w:pPr>
        <w:spacing w:after="0" w:line="182" w:lineRule="exact"/>
        <w:rPr>
          <w:rFonts w:ascii="Times New Roman" w:cs="Times New Roman" w:eastAsia="Times New Roman" w:hAnsi="Times New Roman"/>
          <w:sz w:val="18"/>
          <w:szCs w:val="18"/>
          <w:color w:val="auto"/>
        </w:rPr>
      </w:pPr>
    </w:p>
    <w:p>
      <w:pPr>
        <w:ind w:left="652" w:right="80" w:hanging="652"/>
        <w:spacing w:after="0" w:line="254" w:lineRule="auto"/>
        <w:tabs>
          <w:tab w:leader="none" w:pos="6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Separate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confidentiality, non-solicitation, non-disparagement, and non-competition covenants in Paragraphs 3 and 8-10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shall be construed as a series of separate covenants, one for each city, county, and state of any geographic area in the Territory. Except for geographic coverage, each such separate covenant shall be deemed identical in terms to the covenants contained above. If, in any judicial or arbitral proceeding, a court or arbitrator refuses to enforce any of such separate covenants (or any part thereof), then such unenforceable covenant (or such part) shall be revised, or if revision is not permitted it shall be eliminated from this Agreement, to the extent necessary to permit the remaining separate covenants (or portions thereof) to be enforced. In the event that the provisions of Paragraphs 3 and 8-10 above are deemed to exceed the time, geographic, or scope limitations permitted by applicable law, then such provisions shall be reformed to the maximum time, geographic, or scope limitations, as the case may be, then permitted by such law. In the event that the applicable court or arbitrator does not exercise the power granted to it in the prior sentence, Employee and Company agree to replace such invalid or unenforceable term or provision with a valid and enforceable term or provision that will achieve, to the extent possible, the economic, business, and other purposes of such invalid or unenforceable term.</w:t>
      </w:r>
    </w:p>
    <w:p>
      <w:pPr>
        <w:spacing w:after="0" w:line="3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93" w:name="page194"/>
    <w:bookmarkEnd w:id="193"/>
    <w:p>
      <w:pPr>
        <w:ind w:left="652" w:right="200" w:hanging="652"/>
        <w:spacing w:after="0" w:line="271" w:lineRule="auto"/>
        <w:tabs>
          <w:tab w:leader="none" w:pos="652"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Return of Equipment and Information upon Termination</w:t>
      </w:r>
      <w:r>
        <w:rPr>
          <w:rFonts w:ascii="Times New Roman" w:cs="Times New Roman" w:eastAsia="Times New Roman" w:hAnsi="Times New Roman"/>
          <w:sz w:val="17"/>
          <w:szCs w:val="17"/>
          <w:color w:val="auto"/>
        </w:rPr>
        <w:t>: On Company’s request at any time, and in any event on the termination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for any reason, Employee shall promptly deliver to Company (and will not keep in Employee’s possession, in hard copy or digital form, or recreate, copy, or deliver to anyone else) any and all Confidential Information and Inventions, including, but not limited to, any distributor, supplier, and vendor contact information and notes or summaries thereof. Employee will also deliver to the Company (and will not keep in Employee’s possession, in hard copy or digital form, or recreate, copy, or deliver to anyone else) any and all devices, assets, equipment, property, passwords, documents, records, data, notes, reports, proposals, lists, correspondence, formulae, specifications, drawings, or any other items or materials whatsoever (or any copies or reproductions of any of the aforementioned items), developed by Employee pursuant to Employee’s employment with Company or otherwise belonging to Company. Employee understands and agrees that compliance with this paragraph may require that data be removed from Employee’s personal computer equipment and electronic storage devices of any kind, and Employee agrees to give the qualified personnel of Company or its contractors access to such computer equipment or devices for that purpose.</w:t>
      </w:r>
    </w:p>
    <w:p>
      <w:pPr>
        <w:spacing w:after="0" w:line="168" w:lineRule="exact"/>
        <w:rPr>
          <w:rFonts w:ascii="Times New Roman" w:cs="Times New Roman" w:eastAsia="Times New Roman" w:hAnsi="Times New Roman"/>
          <w:sz w:val="17"/>
          <w:szCs w:val="17"/>
          <w:color w:val="auto"/>
        </w:rPr>
      </w:pPr>
    </w:p>
    <w:p>
      <w:pPr>
        <w:ind w:left="652" w:hanging="652"/>
        <w:spacing w:after="0" w:line="268" w:lineRule="auto"/>
        <w:tabs>
          <w:tab w:leader="none" w:pos="652"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Remedies and Enforcement of Restrictive Covenants</w:t>
      </w:r>
      <w:r>
        <w:rPr>
          <w:rFonts w:ascii="Times New Roman" w:cs="Times New Roman" w:eastAsia="Times New Roman" w:hAnsi="Times New Roman"/>
          <w:sz w:val="17"/>
          <w:szCs w:val="17"/>
          <w:color w:val="auto"/>
        </w:rPr>
        <w:t>: Employee acknowledges that: (a) compliance with the provisions of the restrictive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covenants contained in this Agreement is necessary to protect the business and goodwill of Company; and (b) a breach of such provisions will result in irreparable and continuing harm to Company, for which money damages will not provide adequate relief. Consequently, Employee agrees that, in the event Employee breaches or threatens to breach any of such provisions, Company shall be entitled to temporary, preliminary, and/or permanent injunctive relief to prevent the threatened harm or the continuation of harm. Employee agrees that Company does not need to post a bond to obtain an injunction and waives Employee’s right to require such a bond. The seeking and/or obtaining of such injunctive relief shall be without prejudice to, and are in addition to, Company’s right to seek any other remedies available to Company for such breach or threatened breach, including the recovery of damages from Employee, and remedies available under federal and state laws, including, but not limited to, the Federal Defend Trade Secrets Act, and the parties agree that all remedies are cumulative. It is further recognized and agreed that the provisions of Paragraphs 3, 8, 9, or 10 of this Agreement and [Paragraphs 3 and 5] of the Addendum are for the purpose of restricting Employee’s activities to the extent necessary for the protection of the legitimate business interests of Company and that Employee agrees that said provisions do not and will not preclude Employee from engaging in activities sufficient for the purposes of earning a living. Unless prohibited by law, Employee also agrees that any breach by Employee of the provisions of Paragraphs 3, 8, 9, or 10 of this Agreement and [Paragraphs 3 and 5] of the Addendum during employment by Company shall be grounds for forfeiture of any accrued bonuses or commissions as liquidated damages, which shall be in addition to and not exclusive of any and all other rights and remedies Company may have against Employee.</w:t>
      </w:r>
    </w:p>
    <w:p>
      <w:pPr>
        <w:spacing w:after="0" w:line="35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17" w:right="379" w:bottom="1440" w:gutter="0" w:footer="0" w:header="0"/>
        </w:sectPr>
      </w:pPr>
    </w:p>
    <w:bookmarkStart w:id="194" w:name="page195"/>
    <w:bookmarkEnd w:id="194"/>
    <w:p>
      <w:pPr>
        <w:ind w:left="652" w:right="40" w:hanging="652"/>
        <w:spacing w:after="0" w:line="268" w:lineRule="auto"/>
        <w:tabs>
          <w:tab w:leader="none" w:pos="6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If any party to this Agreement breaches any of the terms of this Agreement, then that party shall pay to the non-defaulting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non-defaulting party’s costs and expenses, including reasonable attorney’s fees, incurred by that party in enforcing the terms of this Agreement.</w:t>
      </w:r>
    </w:p>
    <w:p>
      <w:pPr>
        <w:spacing w:after="0" w:line="170" w:lineRule="exact"/>
        <w:rPr>
          <w:rFonts w:ascii="Times New Roman" w:cs="Times New Roman" w:eastAsia="Times New Roman" w:hAnsi="Times New Roman"/>
          <w:sz w:val="18"/>
          <w:szCs w:val="18"/>
          <w:color w:val="auto"/>
        </w:rPr>
      </w:pPr>
    </w:p>
    <w:p>
      <w:pPr>
        <w:ind w:left="652" w:hanging="652"/>
        <w:spacing w:after="0" w:line="255" w:lineRule="auto"/>
        <w:tabs>
          <w:tab w:leader="none" w:pos="6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Protected Activity.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is intended, or should be interpreted, to restrict, impede, or otherwise limit the rights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to report possible violations of law or regulation to any governmental agency or entity tasked with enforcing such laws and regulations, including but not limited to the United States Department of Justice, the Securities and Exchange Commission, the Equal Employment Opportunity Commission, the Department of Labor, Congress, and any agency Inspector General, or to participate in an investigation by any such agencies or entities; nor is this Agreement intended to limit employees’ rights to discuss among themselves or others wages, benefits, and other terms and conditions of employment or workplace matters of mutual concern, as protected by the National Labor Relations Act or other law. Employee is not required to notify Company of his or her intention to file such a report or participate in such an investigation prior to contacting the agency or entity.</w:t>
      </w:r>
    </w:p>
    <w:p>
      <w:pPr>
        <w:spacing w:after="0" w:line="184" w:lineRule="exact"/>
        <w:rPr>
          <w:rFonts w:ascii="Times New Roman" w:cs="Times New Roman" w:eastAsia="Times New Roman" w:hAnsi="Times New Roman"/>
          <w:sz w:val="18"/>
          <w:szCs w:val="18"/>
          <w:color w:val="auto"/>
        </w:rPr>
      </w:pPr>
    </w:p>
    <w:p>
      <w:pPr>
        <w:ind w:left="652" w:right="120" w:hanging="652"/>
        <w:spacing w:after="0" w:line="262" w:lineRule="auto"/>
        <w:tabs>
          <w:tab w:leader="none" w:pos="6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paragraph, or subparagraph of this Agreement is adjudged by any court or administrative agency to be void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whole or in part, this adjudication shall not affect the validity of the remainder of the Agreement, including any other provision, paragraph, or subparagraph. Each provision, paragraph, and subparagraph of this Agreement is severable from every other provision, paragraph, and subparagraph and constitutes a separate and distinct covenant.</w:t>
      </w:r>
    </w:p>
    <w:p>
      <w:pPr>
        <w:spacing w:after="0" w:line="176" w:lineRule="exact"/>
        <w:rPr>
          <w:rFonts w:ascii="Times New Roman" w:cs="Times New Roman" w:eastAsia="Times New Roman" w:hAnsi="Times New Roman"/>
          <w:sz w:val="18"/>
          <w:szCs w:val="18"/>
          <w:color w:val="auto"/>
        </w:rPr>
      </w:pPr>
    </w:p>
    <w:p>
      <w:pPr>
        <w:ind w:left="652" w:right="20" w:hanging="652"/>
        <w:spacing w:after="0" w:line="268" w:lineRule="auto"/>
        <w:tabs>
          <w:tab w:leader="none" w:pos="6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Forum</w:t>
      </w:r>
      <w:r>
        <w:rPr>
          <w:rFonts w:ascii="Times New Roman" w:cs="Times New Roman" w:eastAsia="Times New Roman" w:hAnsi="Times New Roman"/>
          <w:sz w:val="18"/>
          <w:szCs w:val="18"/>
          <w:color w:val="auto"/>
        </w:rPr>
        <w:t>: This Agreement shall be governed and enforced in accordance with the laws of the State of Utah, excepting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choice of law rules, and any litigation between the parties relating to this Agreement shall be conducted in the state or federal courts in or for Utah County in the State of Utah.</w:t>
      </w:r>
    </w:p>
    <w:p>
      <w:pPr>
        <w:spacing w:after="0" w:line="170" w:lineRule="exact"/>
        <w:rPr>
          <w:rFonts w:ascii="Times New Roman" w:cs="Times New Roman" w:eastAsia="Times New Roman" w:hAnsi="Times New Roman"/>
          <w:sz w:val="18"/>
          <w:szCs w:val="18"/>
          <w:color w:val="auto"/>
        </w:rPr>
      </w:pPr>
    </w:p>
    <w:p>
      <w:pPr>
        <w:ind w:left="652" w:right="60" w:hanging="652"/>
        <w:spacing w:after="0" w:line="262" w:lineRule="auto"/>
        <w:tabs>
          <w:tab w:leader="none" w:pos="6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 At Will</w:t>
      </w:r>
      <w:r>
        <w:rPr>
          <w:rFonts w:ascii="Times New Roman" w:cs="Times New Roman" w:eastAsia="Times New Roman" w:hAnsi="Times New Roman"/>
          <w:sz w:val="18"/>
          <w:szCs w:val="18"/>
          <w:color w:val="auto"/>
        </w:rPr>
        <w:t>: Employee understands that employment with Company is at-will, meaning that employment with Company is completely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voluntary and for an indefinite term and that either Employee or Company is free to terminate the employment relationship at any time, with or without cause or advance notice. Employee further understands that any representation to the contrary is unauthorized and not valid unless obtained in writing and approved by the Company’s board of directors.</w:t>
      </w:r>
    </w:p>
    <w:p>
      <w:pPr>
        <w:spacing w:after="0" w:line="35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195" w:name="page196"/>
    <w:bookmarkEnd w:id="195"/>
    <w:p>
      <w:pPr>
        <w:ind w:left="660" w:right="180" w:hanging="652"/>
        <w:spacing w:after="0" w:line="262"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 Subject to Company’s Policies and Procedures</w:t>
      </w:r>
      <w:r>
        <w:rPr>
          <w:rFonts w:ascii="Times New Roman" w:cs="Times New Roman" w:eastAsia="Times New Roman" w:hAnsi="Times New Roman"/>
          <w:sz w:val="18"/>
          <w:szCs w:val="18"/>
          <w:color w:val="auto"/>
        </w:rPr>
        <w:t>: The parties acknowledge and agree that Company has established,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various workplace policies and procedures, which Company may modify in its sole discretion from time to time. Employee acknowledges such policies and procedures, and agrees to abide by such policies and procedures, as they may be implemented or modified from time to time.</w:t>
      </w:r>
    </w:p>
    <w:p>
      <w:pPr>
        <w:spacing w:after="0" w:line="176" w:lineRule="exact"/>
        <w:rPr>
          <w:rFonts w:ascii="Times New Roman" w:cs="Times New Roman" w:eastAsia="Times New Roman" w:hAnsi="Times New Roman"/>
          <w:sz w:val="18"/>
          <w:szCs w:val="18"/>
          <w:color w:val="auto"/>
        </w:rPr>
      </w:pPr>
    </w:p>
    <w:p>
      <w:pPr>
        <w:ind w:left="660" w:hanging="652"/>
        <w:spacing w:after="0" w:line="259"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Company and Employee understand and agree that this Agreement shall constitute the entire agreement between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the subject matter contained herein, and that all prior understandings or agreements regarding these matters are hereby superseded and replaced, including, without limitation, any written agreements previously signed by the parties. Any amendment or addendum to, or modification or supplementation of, this Agreement must be in writing signed by the parties hereto and stating the intent of the parties to amend or modify this Agreement.</w:t>
      </w:r>
    </w:p>
    <w:p>
      <w:pPr>
        <w:spacing w:after="0" w:line="179" w:lineRule="exact"/>
        <w:rPr>
          <w:rFonts w:ascii="Times New Roman" w:cs="Times New Roman" w:eastAsia="Times New Roman" w:hAnsi="Times New Roman"/>
          <w:sz w:val="18"/>
          <w:szCs w:val="18"/>
          <w:color w:val="auto"/>
        </w:rPr>
      </w:pPr>
    </w:p>
    <w:p>
      <w:pPr>
        <w:jc w:val="both"/>
        <w:ind w:left="660" w:right="320" w:hanging="652"/>
        <w:spacing w:after="0" w:line="268"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Survivability of Obligations</w:t>
      </w:r>
      <w:r>
        <w:rPr>
          <w:rFonts w:ascii="Times New Roman" w:cs="Times New Roman" w:eastAsia="Times New Roman" w:hAnsi="Times New Roman"/>
          <w:sz w:val="18"/>
          <w:szCs w:val="18"/>
          <w:color w:val="auto"/>
        </w:rPr>
        <w:t>: This Agreement sets forth several obligations which continue after the termination of Employee’s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Company, including, without limitation, those obligations set forth in Paragraphs 1, 2, 3, 4, 6, 8, 9, 11 and 12, and the parties specifically acknowledge and agree that such obligations shall survive the termination of Employee’s employment for any reason.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HAS BEEN READ, UNDERSTOOD, AND FREELY ACCEPTED BY:</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26035</wp:posOffset>
            </wp:positionV>
            <wp:extent cx="142303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250317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6" w:name="page197"/>
    <w:bookmarkEnd w:id="196"/>
    <w:p>
      <w:pPr>
        <w:jc w:val="center"/>
        <w:ind w:right="-1100"/>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LIST OF PRIOR INVENTIONS</w:t>
      </w:r>
    </w:p>
    <w:p>
      <w:pPr>
        <w:spacing w:after="0" w:line="223" w:lineRule="exact"/>
        <w:rPr>
          <w:sz w:val="20"/>
          <w:szCs w:val="20"/>
          <w:color w:val="auto"/>
        </w:rPr>
      </w:pPr>
    </w:p>
    <w:p>
      <w:pPr>
        <w:jc w:val="both"/>
        <w:ind w:left="1540"/>
        <w:spacing w:after="0"/>
        <w:tabs>
          <w:tab w:leader="none" w:pos="3360" w:val="left"/>
          <w:tab w:leader="none" w:pos="6740" w:val="left"/>
        </w:tabs>
        <w:rPr>
          <w:sz w:val="20"/>
          <w:szCs w:val="20"/>
          <w:color w:val="auto"/>
        </w:rPr>
      </w:pPr>
      <w:r>
        <w:rPr>
          <w:rFonts w:ascii="Times New Roman" w:cs="Times New Roman" w:eastAsia="Times New Roman" w:hAnsi="Times New Roman"/>
          <w:sz w:val="18"/>
          <w:szCs w:val="18"/>
          <w:i w:val="1"/>
          <w:iCs w:val="1"/>
          <w:color w:val="auto"/>
        </w:rPr>
        <w:t>Title</w:t>
      </w:r>
      <w:r>
        <w:rPr>
          <w:sz w:val="20"/>
          <w:szCs w:val="20"/>
          <w:color w:val="auto"/>
        </w:rPr>
        <w:tab/>
      </w:r>
      <w:r>
        <w:rPr>
          <w:rFonts w:ascii="Times New Roman" w:cs="Times New Roman" w:eastAsia="Times New Roman" w:hAnsi="Times New Roman"/>
          <w:sz w:val="18"/>
          <w:szCs w:val="18"/>
          <w:i w:val="1"/>
          <w:iCs w:val="1"/>
          <w:color w:val="auto"/>
        </w:rPr>
        <w:t>Date</w:t>
      </w:r>
      <w:r>
        <w:rPr>
          <w:sz w:val="20"/>
          <w:szCs w:val="20"/>
          <w:color w:val="auto"/>
        </w:rPr>
        <w:tab/>
      </w:r>
      <w:r>
        <w:rPr>
          <w:rFonts w:ascii="Times New Roman" w:cs="Times New Roman" w:eastAsia="Times New Roman" w:hAnsi="Times New Roman"/>
          <w:sz w:val="17"/>
          <w:szCs w:val="17"/>
          <w:i w:val="1"/>
          <w:iCs w:val="1"/>
          <w:color w:val="auto"/>
        </w:rPr>
        <w:t>Identifying Number or Brief Description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No inventions or improvements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Additional Sheets Attached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178308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178308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142303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color w:val="auto"/>
        </w:rPr>
        <w:t>ADDENDUM TO EMPLOYEE COVENANTS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KEY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Employee entered an Employee Covenants Agreement dated ______________. (“Employee Covenants Agreement”). As a condition of and</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consideration of employment or continued employment with Company, Company and Employee hereby acknowledge and agree to modify and/or supplement the terms of the Employee Covenants Agreement as follows:</w:t>
      </w:r>
    </w:p>
    <w:p>
      <w:pPr>
        <w:spacing w:after="0" w:line="177" w:lineRule="exact"/>
        <w:rPr>
          <w:sz w:val="20"/>
          <w:szCs w:val="20"/>
          <w:color w:val="auto"/>
        </w:rPr>
      </w:pPr>
    </w:p>
    <w:p>
      <w:pPr>
        <w:jc w:val="both"/>
        <w:ind w:left="660" w:hanging="652"/>
        <w:spacing w:after="0" w:line="262"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Terms of Employee Covenants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Employee agree that the defined terms in the Employee Covenants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same meaning in this Addendum. Company and Employee further agree that all terms of the Employee Covenants Agreement remain in full force and effect, except as modified herein. To the extent of a conflict between terms of the Employee Covenants Agreement and this Addendum, the applicable portion or portions of this Addendum shall control.</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 of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Paragraph 1 and subparagraphs 1.1 through 1.3 of the Employee Covenants Agreement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“supervisor,” and “HR” shall be replaced with Company’s General Counsel. For example, and without limiting the provisions of that Paragraph and subparagraphs, Employee shall direct questions concerning conflicts of interest to, report actual or potential conflicts of interest to, seek an appropriate waiver or resolution of such conflict of interest from, and provide any required notifications or disclosures to, Company’s General Counsel. The General Counsel shall direct questions concerning conflicts of interest to, report actual or potential conflicts of interest to, seek an appropriate waiver or resolution of such conflict of interest from, and provide any required notifications or disclosures to, the Chair of the Compensation and Human Capital Committee.</w:t>
      </w:r>
    </w:p>
    <w:p>
      <w:pPr>
        <w:spacing w:after="0" w:line="182"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Non-Competition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the restrictions in Paragraph 10 of the Employee Covenants Agreement shall remain in effect during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one year following termination of Employee’s employment for any reason. In the event of any breach or violation of these restrictions prior to or during this one-year period, or a good faith allegation by Company of Employee’s breach or violation of these restrictions, this one-year period shall be extended until such breach or violation of these restrictions, or dispute related to an allegation by Company that Employee has breached or violated these restrictions, has been duly cured or resolved, as applicable.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in the Employee Covenants Agreement and this Addendum, should Employee obtain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service as a director during Employee’s employment with Company, or within one year immediately following Employee’s termination for any reason, Employee shall provide written notice to the Company’s General Counsel of the name and address of the new employer, the position Employee expects to hold, and a general description of Employee’s expected duties and responsibilities, at least three days prior to starting such employment or service. Employee shall also provide a copy of the Employee Covenants Agreement and this Addendum to the new employer.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jc w:val="both"/>
        <w:ind w:left="660" w:hanging="652"/>
        <w:spacing w:after="0" w:line="259"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Non-Endorsement</w:t>
      </w:r>
      <w:r>
        <w:rPr>
          <w:rFonts w:ascii="Times New Roman" w:cs="Times New Roman" w:eastAsia="Times New Roman" w:hAnsi="Times New Roman"/>
          <w:sz w:val="18"/>
          <w:szCs w:val="18"/>
          <w:color w:val="auto"/>
        </w:rPr>
        <w:t>: Employee shall not in any way, directly or indirectly, at any time during employment or within one year after either a voluntary or involuntary employment termination, endorse any sales compensation plan of another person or entity that competes with Company or any products of Company, promote or speak on behalf of any person or entity whose products compete with those of Company, or allow Employee’s name or likeness to be used in any way to promote any person, entity, or product that competes with Company or any products of Company.]</w:t>
      </w:r>
      <w:r>
        <w:rPr>
          <w:rFonts w:ascii="Times New Roman" w:cs="Times New Roman" w:eastAsia="Times New Roman" w:hAnsi="Times New Roman"/>
          <w:sz w:val="18"/>
          <w:szCs w:val="18"/>
          <w:i w:val="1"/>
          <w:iCs w:val="1"/>
          <w:color w:val="auto"/>
        </w:rPr>
        <w:t>[Paragraph to be included for employees as deemed appropriate by the Company]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the acknowledgment of Paragraph 12 of the Agreement, Employee further acknowledges that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 and work activities with the Company are “key” and vital to the on-going success of Company’s operation in each product category and in the Territory. In addition, Employee acknowledges that Employee’s employment or involvement with any other direct selling or multilevel marketing company in particular would create the impression that Employee has left Company for a “better opportunity,” which could damage Company by this perception in the minds of Company’s employees, distributors, or other persons. Therefore, Employee acknowledges that Employee’s non-competition covenant in this Addendum is fair and reasonable, is necessary to protect the Company’s Confidential Information and, consequently, to preserve the value and goodwill of the Company, and should be construed to apply to the fullest extent possible by applicable laws. Employee further acknowledges the time, geographic, and scope limitations of this obligation are reasonable, and that Employee will not be precluded from gainful employment if obligated not to compete with Company during the period and within the Territory as described in the Agreement and this Addendum. Employee has carefully read this Addendum, has consulted with independent legal counsel to the extent Employee deems appropriate, and has given careful consideration to the restraints imposed by this Addendum. Employee acknowledges that the terms of this Addendum are enforceable regardless of the manner in which Employee’s employment is terminated, whether voluntary or involuntary. In the event that Employee is to be employed as an attorney for a competitive business, Company and Employee acknowledge that this Addendum is not intended to restrict the right of Employee to practice law in violation of any applicable rules of professional conduct.</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ADDENDUM TO EMPLOYEE COVENANTS AGREEMENT FOR KEY EMPLOYEES HAS BEEN READ, UNDERSTOOD, AND FREELY ACCEPTED BY:</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26035</wp:posOffset>
            </wp:positionV>
            <wp:extent cx="142303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250317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Beauty Biosciences LLC , a Texas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Big Planet,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Corner Canyon Canada, Inc., an Ontario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Corner Canyon Manufacturing,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Elevate Nutraceuticals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Grōv Technologies,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 Solutions Tech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Xingchuang Daily-Use &amp; Health Products Co. Ltd., a Chinese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Ingredient Innovations International Company,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Innuvate Health Sciences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LifeDNA,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L&amp;W Holdings,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MyFavoriteThings,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NOX Technologies,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NSE Asia Products, Pte. Ltd., a Singapore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NSE Investments,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NSE Products Europe BV, a Belgium private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NSE Products,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NSEMC,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NSJ Ltd., a Japan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Berry,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(China) Daily-Use &amp; Health Products Co., Ltd., a Chinese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(Malaysia) Sdn. Bhd., a Malaysia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Argentina,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Asia Holdings, Pte. Ltd., a Singapore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color w:val="auto"/>
        </w:rPr>
        <w:t>Nu Skin Asia Investment,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Beauty and Wellness Co. Ltd., a Chinese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Brazil, Ltda., a Brazil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Canada,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Colombia,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Czech Republic, s.r.o., a Czech Republic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Eastern Europe Kft., a Hungary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El Salvador, S.A. de C.V., an El Salvador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(Thailand) Limited,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(Thailand) Limited, a Thailand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Australia,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Chile Ltda., a Chile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de Venezuela, C.A., a Venezuela corporation</w:t>
      </w:r>
    </w:p>
    <w:p>
      <w:pPr>
        <w:spacing w:after="0" w:line="225" w:lineRule="exact"/>
        <w:rPr>
          <w:sz w:val="20"/>
          <w:szCs w:val="20"/>
          <w:color w:val="auto"/>
        </w:rPr>
      </w:pPr>
    </w:p>
    <w:p>
      <w:pPr>
        <w:ind w:right="4599"/>
        <w:spacing w:after="0" w:line="500" w:lineRule="auto"/>
        <w:rPr>
          <w:sz w:val="20"/>
          <w:szCs w:val="20"/>
          <w:color w:val="auto"/>
        </w:rPr>
      </w:pPr>
      <w:r>
        <w:rPr>
          <w:rFonts w:ascii="Times New Roman" w:cs="Times New Roman" w:eastAsia="Times New Roman" w:hAnsi="Times New Roman"/>
          <w:sz w:val="18"/>
          <w:szCs w:val="18"/>
          <w:color w:val="auto"/>
        </w:rPr>
        <w:t>Nu Skin Enterprises Hong Kong, LLC, a Delaware limited liability company Nu Skin Enterprises New Zealand, Inc., a Utah corporation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Philippines,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Poland Sp. z o.o., a Poland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Singapore Pte. Ltd., a Singapore corporation</w:t>
      </w:r>
    </w:p>
    <w:p>
      <w:pPr>
        <w:spacing w:after="0" w:line="225" w:lineRule="exact"/>
        <w:rPr>
          <w:sz w:val="20"/>
          <w:szCs w:val="20"/>
          <w:color w:val="auto"/>
        </w:rPr>
      </w:pPr>
    </w:p>
    <w:p>
      <w:pPr>
        <w:ind w:right="2879"/>
        <w:spacing w:after="0" w:line="500" w:lineRule="auto"/>
        <w:rPr>
          <w:sz w:val="20"/>
          <w:szCs w:val="20"/>
          <w:color w:val="auto"/>
        </w:rPr>
      </w:pPr>
      <w:r>
        <w:rPr>
          <w:rFonts w:ascii="Times New Roman" w:cs="Times New Roman" w:eastAsia="Times New Roman" w:hAnsi="Times New Roman"/>
          <w:sz w:val="18"/>
          <w:szCs w:val="18"/>
          <w:color w:val="auto"/>
        </w:rPr>
        <w:t>Nu Skin Enterprises South Africa (Proprietary) Limited, a South Africa proprietary limited company Nu Skin Enterprises SRL, a Romania limited liability company</w:t>
      </w:r>
    </w:p>
    <w:p>
      <w:pPr>
        <w:spacing w:after="0" w:line="2" w:lineRule="exact"/>
        <w:rPr>
          <w:sz w:val="20"/>
          <w:szCs w:val="20"/>
          <w:color w:val="auto"/>
        </w:rPr>
      </w:pPr>
    </w:p>
    <w:p>
      <w:pPr>
        <w:ind w:right="4979"/>
        <w:spacing w:after="0" w:line="530" w:lineRule="auto"/>
        <w:rPr>
          <w:sz w:val="20"/>
          <w:szCs w:val="20"/>
          <w:color w:val="auto"/>
        </w:rPr>
      </w:pPr>
      <w:r>
        <w:rPr>
          <w:rFonts w:ascii="Times New Roman" w:cs="Times New Roman" w:eastAsia="Times New Roman" w:hAnsi="Times New Roman"/>
          <w:sz w:val="17"/>
          <w:szCs w:val="17"/>
          <w:color w:val="auto"/>
        </w:rPr>
        <w:t>Nu Skin Enterprises Ukraine, LLC, a Ukraine limited liability company Nu Skin Enterprises United States, Inc., a Delaware corporation</w:t>
      </w:r>
    </w:p>
    <w:p>
      <w:pPr>
        <w:spacing w:after="0" w:line="1" w:lineRule="exact"/>
        <w:rPr>
          <w:sz w:val="20"/>
          <w:szCs w:val="20"/>
          <w:color w:val="auto"/>
        </w:rPr>
      </w:pPr>
    </w:p>
    <w:p>
      <w:pPr>
        <w:ind w:right="3319"/>
        <w:spacing w:after="0" w:line="500" w:lineRule="auto"/>
        <w:rPr>
          <w:sz w:val="20"/>
          <w:szCs w:val="20"/>
          <w:color w:val="auto"/>
        </w:rPr>
      </w:pPr>
      <w:r>
        <w:rPr>
          <w:rFonts w:ascii="Times New Roman" w:cs="Times New Roman" w:eastAsia="Times New Roman" w:hAnsi="Times New Roman"/>
          <w:sz w:val="18"/>
          <w:szCs w:val="18"/>
          <w:color w:val="auto"/>
        </w:rPr>
        <w:t>Nu Skin Enterprises Vietnam Limited Liability Company, a Vietnam limited liability company Nu Skin France, SRL, a France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Germany, GmbH, a Germany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Honduras, S.A., a Honduras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color w:val="auto"/>
        </w:rPr>
        <w:t>Nu Skin International Management Group,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International,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Islandi ehf., an Iceland private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Israel,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Italy, Srl, an Italy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Japan Company, Limited, a Japan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Korea Ltd., a Korea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Malaysia Holdings Sdn. Bhd., a Malaysia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Mexico, S.A. de C.V., a Mexico corporation</w:t>
      </w:r>
    </w:p>
    <w:p>
      <w:pPr>
        <w:spacing w:after="0" w:line="225" w:lineRule="exact"/>
        <w:rPr>
          <w:sz w:val="20"/>
          <w:szCs w:val="20"/>
          <w:color w:val="auto"/>
        </w:rPr>
      </w:pPr>
    </w:p>
    <w:p>
      <w:pPr>
        <w:ind w:right="4719"/>
        <w:spacing w:after="0" w:line="500" w:lineRule="auto"/>
        <w:rPr>
          <w:sz w:val="20"/>
          <w:szCs w:val="20"/>
          <w:color w:val="auto"/>
        </w:rPr>
      </w:pPr>
      <w:r>
        <w:rPr>
          <w:rFonts w:ascii="Times New Roman" w:cs="Times New Roman" w:eastAsia="Times New Roman" w:hAnsi="Times New Roman"/>
          <w:sz w:val="18"/>
          <w:szCs w:val="18"/>
          <w:color w:val="auto"/>
        </w:rPr>
        <w:t>Nu Skin Netherlands, B.V., a Netherlands private limited liability company Nu Skin New Caledonia EURL, a France limited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Norway AS, a Norway private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Peru S.A.C., a Peru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Scandinavia A/S, a Denmark stock-based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Services Costa Rica S.A., a Costa Rica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Slovakia s.r.o., a Slovak Republic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Taiwan,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United Kingdom Ltd, a United Kingdom private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NuSkin Belgium, NV, a Belgium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NuSkin Pharmanex (B) Sdn. Bhd, a Brunei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Pharmanex (Huzhou) Health Products Co., Ltd., a Chinese company</w:t>
      </w:r>
    </w:p>
    <w:p>
      <w:pPr>
        <w:spacing w:after="0" w:line="225" w:lineRule="exact"/>
        <w:rPr>
          <w:sz w:val="20"/>
          <w:szCs w:val="20"/>
          <w:color w:val="auto"/>
        </w:rPr>
      </w:pPr>
    </w:p>
    <w:p>
      <w:pPr>
        <w:ind w:right="4039"/>
        <w:spacing w:after="0" w:line="500" w:lineRule="auto"/>
        <w:rPr>
          <w:sz w:val="20"/>
          <w:szCs w:val="20"/>
          <w:color w:val="auto"/>
        </w:rPr>
      </w:pPr>
      <w:r>
        <w:rPr>
          <w:rFonts w:ascii="Times New Roman" w:cs="Times New Roman" w:eastAsia="Times New Roman" w:hAnsi="Times New Roman"/>
          <w:sz w:val="18"/>
          <w:szCs w:val="18"/>
          <w:color w:val="auto"/>
        </w:rPr>
        <w:t>Pharmanex Electronic-Optical Technology (Shanghai) Co., Ltd., a Chinese company Pharmanex, LLC, a Delaware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Nu Skin Distribution Indonesia, an Indonesia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Nusa Selaras Indonesia, an Indonesia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RHYZ Analytical, Inc., a Utah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color w:val="auto"/>
        </w:rPr>
        <w:t>RHYZ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NU Town E-commerce Co. Ltd., a Chinese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Shanghai Nuskin Chuangxing Daily-Use &amp; Health Product Co. Ltd., a Chinese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Treviso,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Vertical Eden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Wasatch Product Development, LLC, a Utah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333-130304, 333-167690, 333-190508, 333-211617, 333-238908 and 333-252976) of Nu Skin Enterprises, Inc. of our report dated February 14, 2024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S. Napierski, certify that:</w:t>
      </w:r>
    </w:p>
    <w:p>
      <w:pPr>
        <w:spacing w:after="0" w:line="225"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Nu Skin Enterprises,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7"/>
          <w:szCs w:val="17"/>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17145</wp:posOffset>
            </wp:positionV>
            <wp:extent cx="241744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D. Thomas, certify that:</w:t>
      </w:r>
    </w:p>
    <w:p>
      <w:pPr>
        <w:spacing w:after="0" w:line="225" w:lineRule="exact"/>
        <w:rPr>
          <w:sz w:val="20"/>
          <w:szCs w:val="20"/>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Nu Skin Enterprises,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7"/>
          <w:szCs w:val="17"/>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17145</wp:posOffset>
            </wp:positionV>
            <wp:extent cx="241744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EXECUTIVE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of Nu Skin Enterprises, Inc. (the “Company”) on Form 10-K for the period ended December 31, 2023 (the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S. Napierski, Chief Executive Officer of the Company, certify, pursuant to 18 U.S.C. §1350, as adopted pursuant to Section 906 of the Sarbanes-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that to the best of my knowledge:</w:t>
      </w:r>
    </w:p>
    <w:p>
      <w:pPr>
        <w:spacing w:after="0" w:line="207" w:lineRule="exact"/>
        <w:rPr>
          <w:sz w:val="20"/>
          <w:szCs w:val="20"/>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7"/>
          <w:szCs w:val="17"/>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17145</wp:posOffset>
            </wp:positionV>
            <wp:extent cx="240855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2408555" cy="17145"/>
                    </a:xfrm>
                    <a:prstGeom prst="rect">
                      <a:avLst/>
                    </a:prstGeom>
                    <a:noFill/>
                  </pic:spPr>
                </pic:pic>
              </a:graphicData>
            </a:graphic>
          </wp:anchor>
        </w:drawing>
      </w:r>
    </w:p>
    <w:p>
      <w:pPr>
        <w:spacing w:after="0" w:line="1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FINANCIAL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of Nu Skin Enterprises, Inc. (the “Company”) on Form 10-K for the period ended December 31, 2023 (the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D. Thomas, Chief Financial Officer of the Company, certify, pursuant to 18 U.S.C. §1350, as adopted pursuant to Section 906 of the Sarbanes-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that to the best of my knowledge:</w:t>
      </w:r>
    </w:p>
    <w:p>
      <w:pPr>
        <w:spacing w:after="0" w:line="207" w:lineRule="exact"/>
        <w:rPr>
          <w:sz w:val="20"/>
          <w:szCs w:val="20"/>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7"/>
          <w:szCs w:val="17"/>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17145</wp:posOffset>
            </wp:positionV>
            <wp:extent cx="240855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2408555" cy="17145"/>
                    </a:xfrm>
                    <a:prstGeom prst="rect">
                      <a:avLst/>
                    </a:prstGeom>
                    <a:noFill/>
                  </pic:spPr>
                </pic:pic>
              </a:graphicData>
            </a:graphic>
          </wp:anchor>
        </w:drawing>
      </w:r>
    </w:p>
    <w:p>
      <w:pPr>
        <w:spacing w:after="0" w:line="1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Incentive Compensation Recovery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November 9, 2023)</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tab/>
        <w:t>Purpose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Nu Skin Enterprises,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this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to require the recovery of certain executive compensation in the event that the Company is required to prepare an Accounting Restatement. This Policy is designed to comply with Section 10D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Rule 10D-1 thereunder, and Section 303A.14 of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Listed Company Manual (“</w:t>
      </w:r>
      <w:r>
        <w:rPr>
          <w:rFonts w:ascii="Times New Roman" w:cs="Times New Roman" w:eastAsia="Times New Roman" w:hAnsi="Times New Roman"/>
          <w:sz w:val="18"/>
          <w:szCs w:val="18"/>
          <w:u w:val="single" w:color="auto"/>
          <w:color w:val="auto"/>
        </w:rPr>
        <w:t>Section 303A.14</w:t>
      </w:r>
      <w:r>
        <w:rPr>
          <w:rFonts w:ascii="Times New Roman" w:cs="Times New Roman" w:eastAsia="Times New Roman" w:hAnsi="Times New Roman"/>
          <w:sz w:val="18"/>
          <w:szCs w:val="18"/>
          <w:color w:val="auto"/>
        </w:rPr>
        <w:t>”) and will be interpreted and applied accordingly.</w:t>
      </w:r>
    </w:p>
    <w:p>
      <w:pPr>
        <w:spacing w:after="0" w:line="1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This Policy will be administered by the Committee. The Committee is authorized to interpret and construe this Policy and to make all determinations necessary, appropriate, or advisable for the administration of this Policy. Any determinations made by the Committee will be final and binding on all affected individuals.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tab/>
        <w:t>Covered Executives</w:t>
      </w:r>
    </w:p>
    <w:p>
      <w:pPr>
        <w:spacing w:after="0" w:line="188" w:lineRule="exact"/>
        <w:rPr>
          <w:sz w:val="20"/>
          <w:szCs w:val="20"/>
          <w:color w:val="auto"/>
        </w:rPr>
      </w:pPr>
    </w:p>
    <w:p>
      <w:pPr>
        <w:ind w:right="180"/>
        <w:spacing w:after="0" w:line="236" w:lineRule="exact"/>
        <w:rPr>
          <w:sz w:val="20"/>
          <w:szCs w:val="20"/>
          <w:color w:val="auto"/>
        </w:rPr>
      </w:pPr>
      <w:r>
        <w:rPr>
          <w:rFonts w:ascii="Times New Roman" w:cs="Times New Roman" w:eastAsia="Times New Roman" w:hAnsi="Times New Roman"/>
          <w:sz w:val="18"/>
          <w:szCs w:val="18"/>
          <w:color w:val="auto"/>
        </w:rPr>
        <w:t>This Policy applies to the Company’s current and former “officers” as determined pursuant to Rule 16a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1(f) promulgated under the Exchange Act and including “executive officers” identified under Item 401(b) of Regulation S-K (“</w:t>
      </w:r>
      <w:r>
        <w:rPr>
          <w:rFonts w:ascii="Times New Roman" w:cs="Times New Roman" w:eastAsia="Times New Roman" w:hAnsi="Times New Roman"/>
          <w:sz w:val="18"/>
          <w:szCs w:val="18"/>
          <w:u w:val="single" w:color="auto"/>
          <w:color w:val="auto"/>
        </w:rPr>
        <w:t>Executive Officers</w:t>
      </w:r>
      <w:r>
        <w:rPr>
          <w:rFonts w:ascii="Times New Roman" w:cs="Times New Roman" w:eastAsia="Times New Roman" w:hAnsi="Times New Roman"/>
          <w:sz w:val="18"/>
          <w:szCs w:val="18"/>
          <w:color w:val="auto"/>
        </w:rPr>
        <w:t>,” and together with any former Executive Officer, the “</w:t>
      </w:r>
      <w:r>
        <w:rPr>
          <w:rFonts w:ascii="Times New Roman" w:cs="Times New Roman" w:eastAsia="Times New Roman" w:hAnsi="Times New Roman"/>
          <w:sz w:val="18"/>
          <w:szCs w:val="18"/>
          <w:u w:val="single" w:color="auto"/>
          <w:color w:val="auto"/>
        </w:rPr>
        <w:t>Covered Executives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tab/>
        <w:t>Recoupment upon an Accounting Restatement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event that the Company is required to prepare an Accounting Restatement, the Company will recover reasonably promptly all Erroneously Awarded Compensation from each Covered Executive, unless the Committee determines that such recovery is Impracticable.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and all other provisions of this Policy:</w:t>
      </w:r>
    </w:p>
    <w:p>
      <w:pPr>
        <w:spacing w:after="0" w:line="225" w:lineRule="exact"/>
        <w:rPr>
          <w:sz w:val="20"/>
          <w:szCs w:val="20"/>
          <w:color w:val="auto"/>
        </w:rPr>
      </w:pPr>
    </w:p>
    <w:p>
      <w:pPr>
        <w:ind w:left="660" w:right="200" w:hanging="328"/>
        <w:spacing w:after="0" w:line="258"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Restatement</w:t>
      </w:r>
      <w:r>
        <w:rPr>
          <w:rFonts w:ascii="Times New Roman" w:cs="Times New Roman" w:eastAsia="Times New Roman" w:hAnsi="Times New Roman"/>
          <w:sz w:val="18"/>
          <w:szCs w:val="18"/>
          <w:color w:val="auto"/>
        </w:rPr>
        <w:t>” means an accounting restatement of any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to correct an error that is not material to previously issued financial statements, but would result in a material misstatement if the error were corrected in the current period or left uncorrected in the current period, within the meaning of Rule 10D-1 and Section 303A.14.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9" w:name="page210"/>
    <w:bookmarkEnd w:id="209"/>
    <w:p>
      <w:pPr>
        <w:ind w:left="328" w:right="220" w:hanging="328"/>
        <w:spacing w:after="0" w:line="257" w:lineRule="auto"/>
        <w:tabs>
          <w:tab w:leader="none" w:pos="32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Incentive Compensation</w:t>
      </w:r>
      <w:r>
        <w:rPr>
          <w:rFonts w:ascii="Times New Roman" w:cs="Times New Roman" w:eastAsia="Times New Roman" w:hAnsi="Times New Roman"/>
          <w:sz w:val="18"/>
          <w:szCs w:val="18"/>
          <w:color w:val="auto"/>
        </w:rPr>
        <w:t>” means Incentive Compensation that is Received on or after October 2, 2023 by a person: (i) after beginning service as an Executive Officer, (ii) who served as an Executive Officer at any time during the performance period for that Incentive Compensation, (iii) while the Company has a class of securities listed on a national securities exchange or a national securities association, and</w:t>
      </w:r>
    </w:p>
    <w:p>
      <w:pPr>
        <w:spacing w:after="0" w:line="1" w:lineRule="exact"/>
        <w:rPr>
          <w:rFonts w:ascii="Times New Roman" w:cs="Times New Roman" w:eastAsia="Times New Roman" w:hAnsi="Times New Roman"/>
          <w:sz w:val="18"/>
          <w:szCs w:val="18"/>
          <w:color w:val="auto"/>
        </w:rPr>
      </w:pPr>
    </w:p>
    <w:p>
      <w:pPr>
        <w:ind w:left="328" w:hanging="4"/>
        <w:spacing w:after="0" w:line="253" w:lineRule="auto"/>
        <w:tabs>
          <w:tab w:leader="none" w:pos="633"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date that the Company is required to prepare the Accounting Restatement (or such longer period as required under Section 303A.14 in the event the Company changes its fiscal year). The date that the Company is required to prepare the Accounting Restatement will be the earlier of (x) the date the Board concluded or reasonably should have concluded that the Accounting Restatement is required and (y) the date a court, regulator or other authorized body directs the Company to prepare the Accounting Restatement.</w:t>
      </w:r>
    </w:p>
    <w:p>
      <w:pPr>
        <w:spacing w:after="0" w:line="186" w:lineRule="exact"/>
        <w:rPr>
          <w:rFonts w:ascii="Times New Roman" w:cs="Times New Roman" w:eastAsia="Times New Roman" w:hAnsi="Times New Roman"/>
          <w:sz w:val="18"/>
          <w:szCs w:val="18"/>
          <w:color w:val="auto"/>
        </w:rPr>
      </w:pPr>
    </w:p>
    <w:p>
      <w:pPr>
        <w:ind w:left="328" w:right="140" w:hanging="328"/>
        <w:spacing w:after="0" w:line="254" w:lineRule="auto"/>
        <w:tabs>
          <w:tab w:leader="none" w:pos="32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the amount of Covered Incentive Compensation that was Received by each Covered Executive in excess of the Covered Incentive Compensation that would have been Received by the Covered Executive had such Covered Incentive Compensation been determined based on the restated Financial Reporting Measure following an Accounting Restatement, computed without regard to taxes paid. For this purpose, if the amount of Covered Incentive Compensation that is Received by a Covered Executive was based on the Company’s stock price or total shareholder return and is not subject to mathematical recalculation directly from the Accounting Restatement, the amount to be recovered as Erroneously Awarded Compensation shall be based on a reasonable estimate of the effect of the Accounting Restatement on the Financial Reporting Measure upon which the Covered Incentive Compensation was Received. The Company’s Corporate Secretary shall, on behalf of the Committee, obtain and maintain all documentation of the determination of any such reasonable estimate and provide such documentation to the NYSE when required.</w:t>
      </w:r>
    </w:p>
    <w:p>
      <w:pPr>
        <w:spacing w:after="0" w:line="188" w:lineRule="exact"/>
        <w:rPr>
          <w:rFonts w:ascii="Times New Roman" w:cs="Times New Roman" w:eastAsia="Times New Roman" w:hAnsi="Times New Roman"/>
          <w:sz w:val="18"/>
          <w:szCs w:val="18"/>
          <w:color w:val="auto"/>
        </w:rPr>
      </w:pPr>
    </w:p>
    <w:p>
      <w:pPr>
        <w:ind w:left="328" w:right="240" w:hanging="328"/>
        <w:spacing w:after="0" w:line="261" w:lineRule="auto"/>
        <w:tabs>
          <w:tab w:leader="none" w:pos="32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w:t>
      </w:r>
      <w:r>
        <w:rPr>
          <w:rFonts w:ascii="Times New Roman" w:cs="Times New Roman" w:eastAsia="Times New Roman" w:hAnsi="Times New Roman"/>
          <w:sz w:val="18"/>
          <w:szCs w:val="18"/>
          <w:color w:val="auto"/>
        </w:rPr>
        <w:t>” means (i) any measure that is determined and presented in accordance with the accounting principles used in preparing the Company’s financial statements and any measure that is derived wholly or in part from any such measure, and (ii) the Company’s stock price and the total shareholder return of the Company. A measure, however, need not be presented within the financial statements or included in a filing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to constitute a Financial Reporting Measure.</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Impracticable</w:t>
      </w:r>
      <w:r>
        <w:rPr>
          <w:rFonts w:ascii="Times New Roman" w:cs="Times New Roman" w:eastAsia="Times New Roman" w:hAnsi="Times New Roman"/>
          <w:sz w:val="18"/>
          <w:szCs w:val="18"/>
          <w:color w:val="auto"/>
        </w:rPr>
        <w:t>” means that (i) the direct expense paid to a third party to assist in enforcing the Policy would exceed the amount to be recovered,</w:t>
      </w:r>
    </w:p>
    <w:p>
      <w:pPr>
        <w:spacing w:after="0" w:line="27" w:lineRule="exact"/>
        <w:rPr>
          <w:rFonts w:ascii="Times New Roman" w:cs="Times New Roman" w:eastAsia="Times New Roman" w:hAnsi="Times New Roman"/>
          <w:sz w:val="18"/>
          <w:szCs w:val="18"/>
          <w:color w:val="auto"/>
        </w:rPr>
      </w:pPr>
    </w:p>
    <w:p>
      <w:pPr>
        <w:ind w:left="328" w:right="40" w:hanging="4"/>
        <w:spacing w:after="0" w:line="251" w:lineRule="auto"/>
        <w:tabs>
          <w:tab w:leader="none" w:pos="593"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an applicable home country law adopted prior to November 28, 2022, or (iii) recovery would likely cause an otherwise tax-qualified, broad-based retirement plan of the Company to fail to meet the requirements of 26 U.S.C. 401(a)(13) or 26 U.S.C. 411(a) and regulations thereunder. Before concluding that it would be impracticable to recover any Erroneously Awarded Compensation based on the expense of enforcement, the Company shall make a reasonable attempt to recover such Erroneously Awarded Compensation, and the Company’s Corporate Secretary, on behalf of the Committee, shall document such reasonable attempt(s) to recover and provide that documentation to the NYSE when required. Before concluding that it would be impracticable to recover any amount of Erroneously Awarded Compensation based on violation of law, the Committee shall engage legal counsel experienced and qualified to practice law in the applicable jurisdiction (if such counsel is acceptable to the NYSE) to render an opinion that recovery would result in a violation of law and shall provide such opinion to the NYSE. The Company shall provide funding for the fees and expenses of such legal counsel as approved by the Committee.</w:t>
      </w:r>
    </w:p>
    <w:p>
      <w:pPr>
        <w:spacing w:after="0" w:line="193" w:lineRule="exact"/>
        <w:rPr>
          <w:rFonts w:ascii="Times New Roman" w:cs="Times New Roman" w:eastAsia="Times New Roman" w:hAnsi="Times New Roman"/>
          <w:sz w:val="18"/>
          <w:szCs w:val="18"/>
          <w:color w:val="auto"/>
        </w:rPr>
      </w:pPr>
    </w:p>
    <w:p>
      <w:pPr>
        <w:ind w:left="328" w:right="60" w:hanging="328"/>
        <w:spacing w:after="0" w:line="258" w:lineRule="auto"/>
        <w:tabs>
          <w:tab w:leader="none" w:pos="3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For the avoidance of doubt, Incentive Compensation shall also be deemed to include any amounts which were determined based on (or were otherwise calculated by reference to) Incentive Compensation (including, without limitation, any amounts under any long-term disability, life insurance or supplemental retirement plan or any notional account that is based on Incentive Compensation, as well as any earnings accrued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239395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121" w:right="359" w:bottom="1440" w:gutter="0" w:footer="0" w:header="0"/>
        </w:sectPr>
      </w:pPr>
    </w:p>
    <w:bookmarkStart w:id="210" w:name="page211"/>
    <w:bookmarkEnd w:id="210"/>
    <w:p>
      <w:pPr>
        <w:ind w:left="660" w:right="640" w:hanging="328"/>
        <w:spacing w:after="0" w:line="282"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Incentive Compensation is deemed “received” in the Company’s fiscal period during which the Financial Reporting Measure specified in such Incentive Compensation is attained.</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Recoupment of Erroneously Awarded Compensation pursuant to this Policy is made on a “no fault” basis, without regard to whether any misconduct occurred or whether any Covered Executive has responsibility for the noncompliance that resulted in the Accounting Restatement.</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Method of Recoupment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will determine, in its sole discretion, the method for recouping Erroneously Awarded Compensation hereunder, which may include, without limitation, any of the following, to the extent permitted by applicable law:</w:t>
      </w:r>
    </w:p>
    <w:p>
      <w:pPr>
        <w:spacing w:after="0" w:line="162" w:lineRule="exact"/>
        <w:rPr>
          <w:sz w:val="20"/>
          <w:szCs w:val="20"/>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27"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or value realized on or since the vesting, exercise, settlement, sale, transfer, or other disposition of any equity-based awards;</w:t>
      </w:r>
    </w:p>
    <w:p>
      <w:pPr>
        <w:ind w:left="660" w:right="40" w:hanging="328"/>
        <w:spacing w:after="0" w:line="250"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from any compensation otherwise owed by the Company to the Covered Executive (including, without limitation, any severance otherwise payable by the Company to the Covered Executive);</w:t>
      </w: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deduction from the Covered Executive’s salary;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Covered Executive to transfer back to the Company any shares he or she received pursuant to an equity award;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reducing the number of shares subject to, or the value of, outstanding vested or unvested equity awards; and/or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Committee.</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Committee will consider Section 409A of the U.S. Internal Revenue Code of 1986, as amended, prior to offsetting recouped amounts against future payments of deferred compensation.</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F.</w:t>
        <w:tab/>
        <w:t>No Indemnification or Insurance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Neither the Company nor any of its subsidiaries or affiliates shall indemnify any Covered Executive against the loss of any Erroneously Awarded Compensation. Further, neither the Company nor any of its subsidiaries or affiliates shall pay or reimburse any Covered Executive for any insurance policy entered into by a Covered Executive that provides for full or partial coverage of any recoupment obligation under this Policy.</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Amendment; Termination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Board or the Committee may amend this Policy from time to time in its discretion in any manner consistent with applicable law and regulation. The Board or Committee may terminate this Policy at any time when the Company does not have a class of securities listed on a national securities exchange or a national securities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1" w:name="page212"/>
    <w:bookmarkEnd w:id="211"/>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Other Recoupment Rights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Any right of recoupment under this Policy is in addition to, and not in lieu of, any other remedies or rights of recoupment that may be available to the Company pursuant to the terms of the Company’s code of conduct, any similar policy or recoupment provision in any employment agreement, equity award agreement, bonus plan, or similar agreement or plan and any other legal remedies available to the Company (collectively, “Other Recoupment Provisions”). Further, the provisions of this Policy are in addition to (and not in lieu of) any rights to repayment the Company may have under Section 304 of the Sarbanes-Oxley Act of 2002 and other applicable laws. However, there shall be no duplication of recovery under this Policy, Other Recoupment Provisions, or the Sarbanes-Oxley Act.</w:t>
      </w:r>
    </w:p>
    <w:p>
      <w:pPr>
        <w:spacing w:after="0" w:line="18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I.</w:t>
        <w:tab/>
        <w:t>Successors</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J.</w:t>
        <w:tab/>
        <w:t>Disclosure</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circumstances of any recoupment pursuant to this Policy will be publicly disclosed where required by Rule 10D-1, Item 402 of Regulation S-K and Section 303A.14. In accordance with Rule 10D-1, the Policy shall be filed with the SEC as an exhibit to the Company’s Form 10-K, as provided in Item 601(b) of Regulation S-K.</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K.</w:t>
      </w:r>
      <w:r>
        <w:rPr>
          <w:sz w:val="20"/>
          <w:szCs w:val="20"/>
          <w:color w:val="auto"/>
        </w:rPr>
        <w:tab/>
      </w:r>
      <w:r>
        <w:rPr>
          <w:rFonts w:ascii="Times New Roman" w:cs="Times New Roman" w:eastAsia="Times New Roman" w:hAnsi="Times New Roman"/>
          <w:sz w:val="17"/>
          <w:szCs w:val="17"/>
          <w:b w:val="1"/>
          <w:bCs w:val="1"/>
          <w:color w:val="auto"/>
        </w:rPr>
        <w:t>Change of Listing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that the Company lists its securities on any national securities exchange or national securities association other than the NYSE, all references to “NYSE” in this Policy shall mean each national securities exchange or national securities association upon which the Company has a class of securities then listed and “Section 303A.14” shall mean the rule(s) relating to recovery of erroneously awarded compensation under the listing rules of such other applicable exchange or association.</w:t>
      </w:r>
    </w:p>
    <w:p>
      <w:pPr>
        <w:spacing w:after="0" w:line="17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L.</w:t>
        <w:tab/>
        <w:t>Acknowledgement</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Each Executive Officer will be required to sign a statement, in a form to be approved by the Committee, acknowledging receipt of this Policy and agreeing to comply with it. This Policy will be binding on all Covered Executives regardless of whether such acknowledgement is executed.</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M.</w:t>
      </w:r>
      <w:r>
        <w:rPr>
          <w:sz w:val="20"/>
          <w:szCs w:val="20"/>
          <w:color w:val="auto"/>
        </w:rPr>
        <w:tab/>
      </w:r>
      <w:r>
        <w:rPr>
          <w:rFonts w:ascii="Times New Roman" w:cs="Times New Roman" w:eastAsia="Times New Roman" w:hAnsi="Times New Roman"/>
          <w:sz w:val="17"/>
          <w:szCs w:val="17"/>
          <w:b w:val="1"/>
          <w:bCs w:val="1"/>
          <w:color w:val="auto"/>
        </w:rPr>
        <w:t>Governing Law and Venue</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Policy and all determinations made and actions taken hereunder, to the extent not otherwise governed by the laws of the United States, shall be governed by the laws of the State of Utah, United States of America, without reference to principles of conflict of laws, and construed accordingly. The jurisdiction and venue for any disputes arising under, or any actions brought to enforce (or otherwise relating to), the Policy will be exclusively in the courts of Utah County, Utah or the federal courts of the United States for the District of Utah (should federal jurisdiction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1)"/>
      <w:numFmt w:val="decimal"/>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1)"/>
      <w:numFmt w:val="decimal"/>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1)"/>
      <w:numFmt w:val="decimal"/>
      <w:start w:val="1"/>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
      <w:numFmt w:val="bullet"/>
      <w:start w:val="1"/>
    </w:lvl>
  </w:abstractNum>
  <w:abstractNum w:abstractNumId="40">
    <w:nsid w:val="50801EE1"/>
    <w:multiLevelType w:val="hybridMultilevel"/>
    <w:lvl w:ilvl="0">
      <w:lvlJc w:val="left"/>
      <w:lvlText w:val="(%1)"/>
      <w:numFmt w:val="decimal"/>
      <w:start w:val="1"/>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
      <w:numFmt w:val="bullet"/>
      <w:start w:val="1"/>
    </w:lvl>
  </w:abstractNum>
  <w:abstractNum w:abstractNumId="43">
    <w:nsid w:val="6AA78F7F"/>
    <w:multiLevelType w:val="hybridMultilevel"/>
    <w:lvl w:ilvl="0">
      <w:lvlJc w:val="left"/>
      <w:lvlText w:val="%1."/>
      <w:numFmt w:val="decimal"/>
      <w:start w:val="2"/>
    </w:lvl>
  </w:abstractNum>
  <w:abstractNum w:abstractNumId="44">
    <w:nsid w:val="7672BD23"/>
    <w:multiLevelType w:val="hybridMultilevel"/>
    <w:lvl w:ilvl="0">
      <w:lvlJc w:val="left"/>
      <w:lvlText w:val="%1."/>
      <w:numFmt w:val="decimal"/>
      <w:start w:val="1"/>
    </w:lvl>
  </w:abstractNum>
  <w:abstractNum w:abstractNumId="45">
    <w:nsid w:val="6FC75AF8"/>
    <w:multiLevelType w:val="hybridMultilevel"/>
    <w:lvl w:ilvl="0">
      <w:lvlJc w:val="left"/>
      <w:lvlText w:val="%1."/>
      <w:numFmt w:val="decimal"/>
      <w:start w:val="2"/>
    </w:lvl>
  </w:abstractNum>
  <w:abstractNum w:abstractNumId="46">
    <w:nsid w:val="6A5F7029"/>
    <w:multiLevelType w:val="hybridMultilevel"/>
    <w:lvl w:ilvl="0">
      <w:lvlJc w:val="left"/>
      <w:lvlText w:val="(%1)"/>
      <w:numFmt w:val="decimal"/>
      <w:start w:val="1"/>
    </w:lvl>
  </w:abstractNum>
  <w:abstractNum w:abstractNumId="47">
    <w:nsid w:val="7D5E18F8"/>
    <w:multiLevelType w:val="hybridMultilevel"/>
    <w:lvl w:ilvl="0">
      <w:lvlJc w:val="left"/>
      <w:lvlText w:val="●"/>
      <w:numFmt w:val="bullet"/>
      <w:start w:val="1"/>
    </w:lvl>
  </w:abstractNum>
  <w:abstractNum w:abstractNumId="48">
    <w:nsid w:val="5F3534A4"/>
    <w:multiLevelType w:val="hybridMultilevel"/>
    <w:lvl w:ilvl="0">
      <w:lvlJc w:val="left"/>
      <w:lvlText w:val="(%1)"/>
      <w:numFmt w:val="decimal"/>
      <w:start w:val="1"/>
    </w:lvl>
  </w:abstractNum>
  <w:abstractNum w:abstractNumId="49">
    <w:nsid w:val="73A1821B"/>
    <w:multiLevelType w:val="hybridMultilevel"/>
    <w:lvl w:ilvl="0">
      <w:lvlJc w:val="left"/>
      <w:lvlText w:val="%1."/>
      <w:numFmt w:val="decimal"/>
      <w:start w:val="4"/>
    </w:lvl>
  </w:abstractNum>
  <w:abstractNum w:abstractNumId="50">
    <w:nsid w:val="7DE67713"/>
    <w:multiLevelType w:val="hybridMultilevel"/>
    <w:lvl w:ilvl="0">
      <w:lvlJc w:val="left"/>
      <w:lvlText w:val="%1."/>
      <w:numFmt w:val="decimal"/>
      <w:start w:val="5"/>
    </w:lvl>
  </w:abstractNum>
  <w:abstractNum w:abstractNumId="51">
    <w:nsid w:val="555C55B5"/>
    <w:multiLevelType w:val="hybridMultilevel"/>
    <w:lvl w:ilvl="0">
      <w:lvlJc w:val="left"/>
      <w:lvlText w:val="%1."/>
      <w:numFmt w:val="decimal"/>
      <w:start w:val="6"/>
    </w:lvl>
  </w:abstractNum>
  <w:abstractNum w:abstractNumId="52">
    <w:nsid w:val="3FA62ACA"/>
    <w:multiLevelType w:val="hybridMultilevel"/>
    <w:lvl w:ilvl="0">
      <w:lvlJc w:val="left"/>
      <w:lvlText w:val="(%1)"/>
      <w:numFmt w:val="decimal"/>
      <w:start w:val="1"/>
    </w:lvl>
  </w:abstractNum>
  <w:abstractNum w:abstractNumId="53">
    <w:nsid w:val="14FCE74E"/>
    <w:multiLevelType w:val="hybridMultilevel"/>
    <w:lvl w:ilvl="0">
      <w:lvlJc w:val="left"/>
      <w:lvlText w:val="%1."/>
      <w:numFmt w:val="decimal"/>
      <w:start w:val="7"/>
    </w:lvl>
  </w:abstractNum>
  <w:abstractNum w:abstractNumId="54">
    <w:nsid w:val="6A3DD3E8"/>
    <w:multiLevelType w:val="hybridMultilevel"/>
    <w:lvl w:ilvl="0">
      <w:lvlJc w:val="left"/>
      <w:lvlText w:val="%1."/>
      <w:numFmt w:val="decimal"/>
      <w:start w:val="8"/>
    </w:lvl>
  </w:abstractNum>
  <w:abstractNum w:abstractNumId="55">
    <w:nsid w:val="71C91298"/>
    <w:multiLevelType w:val="hybridMultilevel"/>
    <w:lvl w:ilvl="0">
      <w:lvlJc w:val="left"/>
      <w:lvlText w:val="%1."/>
      <w:numFmt w:val="decimal"/>
      <w:start w:val="9"/>
    </w:lvl>
  </w:abstractNum>
  <w:abstractNum w:abstractNumId="56">
    <w:nsid w:val="9DAF632"/>
    <w:multiLevelType w:val="hybridMultilevel"/>
    <w:lvl w:ilvl="0">
      <w:lvlJc w:val="left"/>
      <w:lvlText w:val="(%1)"/>
      <w:numFmt w:val="decimal"/>
      <w:start w:val="1"/>
    </w:lvl>
  </w:abstractNum>
  <w:abstractNum w:abstractNumId="57">
    <w:nsid w:val="53299938"/>
    <w:multiLevelType w:val="hybridMultilevel"/>
    <w:lvl w:ilvl="0">
      <w:lvlJc w:val="left"/>
      <w:lvlText w:val="%1."/>
      <w:numFmt w:val="decimal"/>
      <w:start w:val="10"/>
    </w:lvl>
  </w:abstractNum>
  <w:abstractNum w:abstractNumId="58">
    <w:nsid w:val="1FBFE8E0"/>
    <w:multiLevelType w:val="hybridMultilevel"/>
    <w:lvl w:ilvl="0">
      <w:lvlJc w:val="left"/>
      <w:lvlText w:val="%1."/>
      <w:numFmt w:val="decimal"/>
      <w:start w:val="11"/>
    </w:lvl>
  </w:abstractNum>
  <w:abstractNum w:abstractNumId="59">
    <w:nsid w:val="5092CA79"/>
    <w:multiLevelType w:val="hybridMultilevel"/>
    <w:lvl w:ilvl="0">
      <w:lvlJc w:val="left"/>
      <w:lvlText w:val="(%1)"/>
      <w:numFmt w:val="decimal"/>
      <w:start w:val="1"/>
    </w:lvl>
  </w:abstractNum>
  <w:abstractNum w:abstractNumId="60">
    <w:nsid w:val="1D545C4D"/>
    <w:multiLevelType w:val="hybridMultilevel"/>
    <w:lvl w:ilvl="0">
      <w:lvlJc w:val="left"/>
      <w:lvlText w:val="%1."/>
      <w:numFmt w:val="decimal"/>
      <w:start w:val="12"/>
    </w:lvl>
  </w:abstractNum>
  <w:abstractNum w:abstractNumId="61">
    <w:nsid w:val="59ADEA3D"/>
    <w:multiLevelType w:val="hybridMultilevel"/>
    <w:lvl w:ilvl="0">
      <w:lvlJc w:val="left"/>
      <w:lvlText w:val="%1."/>
      <w:numFmt w:val="decimal"/>
      <w:start w:val="13"/>
    </w:lvl>
  </w:abstractNum>
  <w:abstractNum w:abstractNumId="62">
    <w:nsid w:val="288F1A34"/>
    <w:multiLevelType w:val="hybridMultilevel"/>
    <w:lvl w:ilvl="0">
      <w:lvlJc w:val="left"/>
      <w:lvlText w:val="%1."/>
      <w:numFmt w:val="decimal"/>
      <w:start w:val="14"/>
    </w:lvl>
  </w:abstractNum>
  <w:abstractNum w:abstractNumId="63">
    <w:nsid w:val="2A155DBC"/>
    <w:multiLevelType w:val="hybridMultilevel"/>
    <w:lvl w:ilvl="0">
      <w:lvlJc w:val="left"/>
      <w:lvlText w:val="%1."/>
      <w:numFmt w:val="decimal"/>
      <w:start w:val="15"/>
    </w:lvl>
  </w:abstractNum>
  <w:abstractNum w:abstractNumId="64">
    <w:nsid w:val="1D9F6E5F"/>
    <w:multiLevelType w:val="hybridMultilevel"/>
    <w:lvl w:ilvl="0">
      <w:lvlJc w:val="left"/>
      <w:lvlText w:val="(%1)"/>
      <w:numFmt w:val="decimal"/>
      <w:start w:val="1"/>
    </w:lvl>
  </w:abstractNum>
  <w:abstractNum w:abstractNumId="65">
    <w:nsid w:val="97E1B4E"/>
    <w:multiLevelType w:val="hybridMultilevel"/>
    <w:lvl w:ilvl="0">
      <w:lvlJc w:val="left"/>
      <w:lvlText w:val="%1."/>
      <w:numFmt w:val="decimal"/>
      <w:start w:val="16"/>
    </w:lvl>
  </w:abstractNum>
  <w:abstractNum w:abstractNumId="66">
    <w:nsid w:val="51088277"/>
    <w:multiLevelType w:val="hybridMultilevel"/>
    <w:lvl w:ilvl="0">
      <w:lvlJc w:val="left"/>
      <w:lvlText w:val="(%1)"/>
      <w:numFmt w:val="lowerRoman"/>
      <w:start w:val="1"/>
    </w:lvl>
  </w:abstractNum>
  <w:abstractNum w:abstractNumId="67">
    <w:nsid w:val="1CA0C5FA"/>
    <w:multiLevelType w:val="hybridMultilevel"/>
    <w:lvl w:ilvl="0">
      <w:lvlJc w:val="left"/>
      <w:lvlText w:val="%1."/>
      <w:numFmt w:val="decimal"/>
      <w:start w:val="17"/>
    </w:lvl>
  </w:abstractNum>
  <w:abstractNum w:abstractNumId="68">
    <w:nsid w:val="53584BCB"/>
    <w:multiLevelType w:val="hybridMultilevel"/>
    <w:lvl w:ilvl="0">
      <w:lvlJc w:val="left"/>
      <w:lvlText w:val="%1."/>
      <w:numFmt w:val="decimal"/>
      <w:start w:val="18"/>
    </w:lvl>
  </w:abstractNum>
  <w:abstractNum w:abstractNumId="69">
    <w:nsid w:val="415E286C"/>
    <w:multiLevelType w:val="hybridMultilevel"/>
    <w:lvl w:ilvl="0">
      <w:lvlJc w:val="left"/>
      <w:lvlText w:val="%1."/>
      <w:numFmt w:val="decimal"/>
      <w:start w:val="19"/>
    </w:lvl>
  </w:abstractNum>
  <w:abstractNum w:abstractNumId="70">
    <w:nsid w:val="7C58FD05"/>
    <w:multiLevelType w:val="hybridMultilevel"/>
    <w:lvl w:ilvl="0">
      <w:lvlJc w:val="left"/>
      <w:lvlText w:val="%1."/>
      <w:numFmt w:val="decimal"/>
      <w:start w:val="20"/>
    </w:lvl>
  </w:abstractNum>
  <w:abstractNum w:abstractNumId="71">
    <w:nsid w:val="23D86AAC"/>
    <w:multiLevelType w:val="hybridMultilevel"/>
    <w:lvl w:ilvl="0">
      <w:lvlJc w:val="left"/>
      <w:lvlText w:val="●"/>
      <w:numFmt w:val="bullet"/>
      <w:start w:val="1"/>
    </w:lvl>
  </w:abstractNum>
  <w:abstractNum w:abstractNumId="72">
    <w:nsid w:val="45E6D486"/>
    <w:multiLevelType w:val="hybridMultilevel"/>
    <w:lvl w:ilvl="0">
      <w:lvlJc w:val="left"/>
      <w:lvlText w:val="%1."/>
      <w:numFmt w:val="decimal"/>
      <w:start w:val="1"/>
    </w:lvl>
  </w:abstractNum>
  <w:abstractNum w:abstractNumId="73">
    <w:nsid w:val="5C10FE21"/>
    <w:multiLevelType w:val="hybridMultilevel"/>
    <w:lvl w:ilvl="0">
      <w:lvlJc w:val="left"/>
      <w:lvlText w:val="*"/>
      <w:numFmt w:val="bullet"/>
      <w:start w:val="1"/>
    </w:lvl>
  </w:abstractNum>
  <w:abstractNum w:abstractNumId="74">
    <w:nsid w:val="E7FFA2B"/>
    <w:multiLevelType w:val="hybridMultilevel"/>
    <w:lvl w:ilvl="0">
      <w:lvlJc w:val="left"/>
      <w:lvlText w:val="#"/>
      <w:numFmt w:val="bullet"/>
      <w:start w:val="1"/>
    </w:lvl>
  </w:abstractNum>
  <w:abstractNum w:abstractNumId="75">
    <w:nsid w:val="3C5991AA"/>
    <w:multiLevelType w:val="hybridMultilevel"/>
    <w:lvl w:ilvl="0">
      <w:lvlJc w:val="left"/>
      <w:lvlText w:val="•"/>
      <w:numFmt w:val="bullet"/>
      <w:start w:val="1"/>
    </w:lvl>
  </w:abstractNum>
  <w:abstractNum w:abstractNumId="76">
    <w:nsid w:val="4BD8591A"/>
    <w:multiLevelType w:val="hybridMultilevel"/>
    <w:lvl w:ilvl="0">
      <w:lvlJc w:val="left"/>
      <w:lvlText w:val="o"/>
      <w:numFmt w:val="bullet"/>
      <w:start w:val="1"/>
    </w:lvl>
  </w:abstractNum>
  <w:abstractNum w:abstractNumId="77">
    <w:nsid w:val="78DF6A55"/>
    <w:multiLevelType w:val="hybridMultilevel"/>
    <w:lvl w:ilvl="0">
      <w:lvlJc w:val="left"/>
      <w:lvlText w:val="•"/>
      <w:numFmt w:val="bullet"/>
      <w:start w:val="1"/>
    </w:lvl>
  </w:abstractNum>
  <w:abstractNum w:abstractNumId="78">
    <w:nsid w:val="39B7AAA2"/>
    <w:multiLevelType w:val="hybridMultilevel"/>
    <w:lvl w:ilvl="0">
      <w:lvlJc w:val="left"/>
      <w:lvlText w:val="%1."/>
      <w:numFmt w:val="decimal"/>
      <w:start w:val="1"/>
    </w:lvl>
  </w:abstractNum>
  <w:abstractNum w:abstractNumId="79">
    <w:nsid w:val="2B0D8DBE"/>
    <w:multiLevelType w:val="hybridMultilevel"/>
    <w:lvl w:ilvl="0">
      <w:lvlJc w:val="left"/>
      <w:lvlText w:val="(%1)"/>
      <w:numFmt w:val="lowerLetter"/>
      <w:start w:val="1"/>
    </w:lvl>
  </w:abstractNum>
  <w:abstractNum w:abstractNumId="80">
    <w:nsid w:val="6C80EC70"/>
    <w:multiLevelType w:val="hybridMultilevel"/>
    <w:lvl w:ilvl="0">
      <w:lvlJc w:val="left"/>
      <w:lvlText w:val="(%1)"/>
      <w:numFmt w:val="lowerLetter"/>
      <w:start w:val="1"/>
    </w:lvl>
  </w:abstractNum>
  <w:abstractNum w:abstractNumId="81">
    <w:nsid w:val="379E21B5"/>
    <w:multiLevelType w:val="hybridMultilevel"/>
    <w:lvl w:ilvl="0">
      <w:lvlJc w:val="left"/>
      <w:lvlText w:val="(%1)"/>
      <w:numFmt w:val="lowerLetter"/>
      <w:start w:val="6"/>
    </w:lvl>
  </w:abstractNum>
  <w:abstractNum w:abstractNumId="82">
    <w:nsid w:val="69E373"/>
    <w:multiLevelType w:val="hybridMultilevel"/>
    <w:lvl w:ilvl="0">
      <w:lvlJc w:val="left"/>
      <w:lvlText w:val="%1."/>
      <w:numFmt w:val="decimal"/>
      <w:start w:val="2"/>
    </w:lvl>
  </w:abstractNum>
  <w:abstractNum w:abstractNumId="83">
    <w:nsid w:val="2C27173B"/>
    <w:multiLevelType w:val="hybridMultilevel"/>
    <w:lvl w:ilvl="0">
      <w:lvlJc w:val="left"/>
      <w:lvlText w:val="%1."/>
      <w:numFmt w:val="decimal"/>
      <w:start w:val="5"/>
    </w:lvl>
    <w:lvl w:ilvl="1">
      <w:lvlJc w:val="left"/>
      <w:lvlText w:val="(%2)"/>
      <w:numFmt w:val="lowerLetter"/>
      <w:start w:val="1"/>
    </w:lvl>
  </w:abstractNum>
  <w:abstractNum w:abstractNumId="84">
    <w:nsid w:val="4C9B0904"/>
    <w:multiLevelType w:val="hybridMultilevel"/>
    <w:lvl w:ilvl="0">
      <w:lvlJc w:val="left"/>
      <w:lvlText w:val="%1."/>
      <w:numFmt w:val="decimal"/>
      <w:start w:val="7"/>
    </w:lvl>
  </w:abstractNum>
  <w:abstractNum w:abstractNumId="85">
    <w:nsid w:val="6AA7B75C"/>
    <w:multiLevelType w:val="hybridMultilevel"/>
    <w:lvl w:ilvl="0">
      <w:lvlJc w:val="left"/>
      <w:lvlText w:val="%1."/>
      <w:numFmt w:val="decimal"/>
      <w:start w:val="9"/>
    </w:lvl>
    <w:lvl w:ilvl="1">
      <w:lvlJc w:val="left"/>
      <w:lvlText w:val="(%2)"/>
      <w:numFmt w:val="lowerLetter"/>
      <w:start w:val="1"/>
    </w:lvl>
  </w:abstractNum>
  <w:abstractNum w:abstractNumId="86">
    <w:nsid w:val="1DF029D3"/>
    <w:multiLevelType w:val="hybridMultilevel"/>
    <w:lvl w:ilvl="0">
      <w:lvlJc w:val="left"/>
      <w:lvlText w:val="(%1)"/>
      <w:numFmt w:val="lowerLetter"/>
      <w:start w:val="4"/>
    </w:lvl>
  </w:abstractNum>
  <w:abstractNum w:abstractNumId="87">
    <w:nsid w:val="5675FF36"/>
    <w:multiLevelType w:val="hybridMultilevel"/>
    <w:lvl w:ilvl="0">
      <w:lvlJc w:val="left"/>
      <w:lvlText w:val="%1"/>
      <w:numFmt w:val="decimal"/>
      <w:start w:val="1"/>
    </w:lvl>
    <w:lvl w:ilvl="1">
      <w:lvlJc w:val="left"/>
      <w:lvlText w:val="(%2)"/>
      <w:numFmt w:val="lowerLetter"/>
      <w:start w:val="13"/>
    </w:lvl>
  </w:abstractNum>
  <w:abstractNum w:abstractNumId="88">
    <w:nsid w:val="3DD15094"/>
    <w:multiLevelType w:val="hybridMultilevel"/>
    <w:lvl w:ilvl="0">
      <w:lvlJc w:val="left"/>
      <w:lvlText w:val="%1."/>
      <w:numFmt w:val="decimal"/>
      <w:start w:val="10"/>
    </w:lvl>
    <w:lvl w:ilvl="1">
      <w:lvlJc w:val="left"/>
      <w:lvlText w:val="%2"/>
      <w:numFmt w:val="lowerLetter"/>
      <w:start w:val="1"/>
    </w:lvl>
  </w:abstractNum>
  <w:abstractNum w:abstractNumId="89">
    <w:nsid w:val="3DB012B3"/>
    <w:multiLevelType w:val="hybridMultilevel"/>
    <w:lvl w:ilvl="0">
      <w:lvlJc w:val="left"/>
      <w:lvlText w:val="%1."/>
      <w:numFmt w:val="decimal"/>
      <w:start w:val="11"/>
    </w:lvl>
  </w:abstractNum>
  <w:abstractNum w:abstractNumId="90">
    <w:nsid w:val="2708C9AF"/>
    <w:multiLevelType w:val="hybridMultilevel"/>
    <w:lvl w:ilvl="0">
      <w:lvlJc w:val="left"/>
      <w:lvlText w:val="%1."/>
      <w:numFmt w:val="decimal"/>
      <w:start w:val="1"/>
    </w:lvl>
  </w:abstractNum>
  <w:abstractNum w:abstractNumId="91">
    <w:nsid w:val="5B25ACE2"/>
    <w:multiLevelType w:val="hybridMultilevel"/>
    <w:lvl w:ilvl="0">
      <w:lvlJc w:val="left"/>
      <w:lvlText w:val="%1."/>
      <w:numFmt w:val="decimal"/>
      <w:start w:val="2"/>
    </w:lvl>
  </w:abstractNum>
  <w:abstractNum w:abstractNumId="92">
    <w:nsid w:val="175DFCF0"/>
    <w:multiLevelType w:val="hybridMultilevel"/>
    <w:lvl w:ilvl="0">
      <w:lvlJc w:val="left"/>
      <w:lvlText w:val="%1."/>
      <w:numFmt w:val="decimal"/>
      <w:start w:val="3"/>
    </w:lvl>
  </w:abstractNum>
  <w:abstractNum w:abstractNumId="93">
    <w:nsid w:val="4F97E3E4"/>
    <w:multiLevelType w:val="hybridMultilevel"/>
    <w:lvl w:ilvl="0">
      <w:lvlJc w:val="left"/>
      <w:lvlText w:val="%1."/>
      <w:numFmt w:val="decimal"/>
      <w:start w:val="4"/>
    </w:lvl>
  </w:abstractNum>
  <w:abstractNum w:abstractNumId="94">
    <w:nsid w:val="53B0A9E"/>
    <w:multiLevelType w:val="hybridMultilevel"/>
    <w:lvl w:ilvl="0">
      <w:lvlJc w:val="left"/>
      <w:lvlText w:val="%1."/>
      <w:numFmt w:val="decimal"/>
      <w:start w:val="5"/>
    </w:lvl>
  </w:abstractNum>
  <w:abstractNum w:abstractNumId="95">
    <w:nsid w:val="34FD6B4F"/>
    <w:multiLevelType w:val="hybridMultilevel"/>
    <w:lvl w:ilvl="0">
      <w:lvlJc w:val="left"/>
      <w:lvlText w:val="%1."/>
      <w:numFmt w:val="decimal"/>
      <w:start w:val="6"/>
    </w:lvl>
  </w:abstractNum>
  <w:abstractNum w:abstractNumId="96">
    <w:nsid w:val="5915FF32"/>
    <w:multiLevelType w:val="hybridMultilevel"/>
    <w:lvl w:ilvl="0">
      <w:lvlJc w:val="left"/>
      <w:lvlText w:val="%1."/>
      <w:numFmt w:val="decimal"/>
      <w:start w:val="1"/>
    </w:lvl>
  </w:abstractNum>
  <w:abstractNum w:abstractNumId="97">
    <w:nsid w:val="56438D15"/>
    <w:multiLevelType w:val="hybridMultilevel"/>
    <w:lvl w:ilvl="0">
      <w:lvlJc w:val="left"/>
      <w:lvlText w:val="(%1)"/>
      <w:numFmt w:val="lowerLetter"/>
      <w:start w:val="1"/>
    </w:lvl>
  </w:abstractNum>
  <w:abstractNum w:abstractNumId="98">
    <w:nsid w:val="519E3149"/>
    <w:multiLevelType w:val="hybridMultilevel"/>
    <w:lvl w:ilvl="0">
      <w:lvlJc w:val="left"/>
      <w:lvlText w:val="(%1)"/>
      <w:numFmt w:val="lowerLetter"/>
      <w:start w:val="1"/>
    </w:lvl>
  </w:abstractNum>
  <w:abstractNum w:abstractNumId="99">
    <w:nsid w:val="2C6E4AFD"/>
    <w:multiLevelType w:val="hybridMultilevel"/>
    <w:lvl w:ilvl="0">
      <w:lvlJc w:val="left"/>
      <w:lvlText w:val="(%1)"/>
      <w:numFmt w:val="lowerLetter"/>
      <w:start w:val="5"/>
    </w:lvl>
  </w:abstractNum>
  <w:abstractNum w:abstractNumId="100">
    <w:nsid w:val="17A1B582"/>
    <w:multiLevelType w:val="hybridMultilevel"/>
    <w:lvl w:ilvl="0">
      <w:lvlJc w:val="left"/>
      <w:lvlText w:val="%1."/>
      <w:numFmt w:val="decimal"/>
      <w:start w:val="2"/>
    </w:lvl>
  </w:abstractNum>
  <w:abstractNum w:abstractNumId="101">
    <w:nsid w:val="4DF72E4E"/>
    <w:multiLevelType w:val="hybridMultilevel"/>
    <w:lvl w:ilvl="0">
      <w:lvlJc w:val="left"/>
      <w:lvlText w:val="%1."/>
      <w:numFmt w:val="decimal"/>
      <w:start w:val="5"/>
    </w:lvl>
    <w:lvl w:ilvl="1">
      <w:lvlJc w:val="left"/>
      <w:lvlText w:val="(%2)"/>
      <w:numFmt w:val="lowerLetter"/>
      <w:start w:val="1"/>
    </w:lvl>
  </w:abstractNum>
  <w:abstractNum w:abstractNumId="102">
    <w:nsid w:val="5046B5A9"/>
    <w:multiLevelType w:val="hybridMultilevel"/>
    <w:lvl w:ilvl="0">
      <w:lvlJc w:val="left"/>
      <w:lvlText w:val="%1."/>
      <w:numFmt w:val="decimal"/>
      <w:start w:val="6"/>
    </w:lvl>
  </w:abstractNum>
  <w:abstractNum w:abstractNumId="103">
    <w:nsid w:val="5D888A08"/>
    <w:multiLevelType w:val="hybridMultilevel"/>
    <w:lvl w:ilvl="0">
      <w:lvlJc w:val="left"/>
      <w:lvlText w:val="%1."/>
      <w:numFmt w:val="decimal"/>
      <w:start w:val="9"/>
    </w:lvl>
    <w:lvl w:ilvl="1">
      <w:lvlJc w:val="left"/>
      <w:lvlText w:val="(%2)"/>
      <w:numFmt w:val="lowerLetter"/>
      <w:start w:val="1"/>
    </w:lvl>
  </w:abstractNum>
  <w:abstractNum w:abstractNumId="104">
    <w:nsid w:val="2A082C70"/>
    <w:multiLevelType w:val="hybridMultilevel"/>
    <w:lvl w:ilvl="0">
      <w:lvlJc w:val="left"/>
      <w:lvlText w:val="(%1)"/>
      <w:numFmt w:val="lowerLetter"/>
      <w:start w:val="10"/>
    </w:lvl>
  </w:abstractNum>
  <w:abstractNum w:abstractNumId="105">
    <w:nsid w:val="5EC6AFD4"/>
    <w:multiLevelType w:val="hybridMultilevel"/>
    <w:lvl w:ilvl="0">
      <w:lvlJc w:val="left"/>
      <w:lvlText w:val="%1."/>
      <w:numFmt w:val="decimal"/>
      <w:start w:val="10"/>
    </w:lvl>
  </w:abstractNum>
  <w:abstractNum w:abstractNumId="106">
    <w:nsid w:val="19E21BB2"/>
    <w:multiLevelType w:val="hybridMultilevel"/>
    <w:lvl w:ilvl="0">
      <w:lvlJc w:val="left"/>
      <w:lvlText w:val="%1."/>
      <w:numFmt w:val="decimal"/>
      <w:start w:val="11"/>
    </w:lvl>
  </w:abstractNum>
  <w:abstractNum w:abstractNumId="107">
    <w:nsid w:val="75E0858A"/>
    <w:multiLevelType w:val="hybridMultilevel"/>
    <w:lvl w:ilvl="0">
      <w:lvlJc w:val="left"/>
      <w:lvlText w:val="(%1)"/>
      <w:numFmt w:val="decimal"/>
      <w:start w:val="4"/>
    </w:lvl>
  </w:abstractNum>
  <w:abstractNum w:abstractNumId="108">
    <w:nsid w:val="57A61A29"/>
    <w:multiLevelType w:val="hybridMultilevel"/>
    <w:lvl w:ilvl="0">
      <w:lvlJc w:val="left"/>
      <w:lvlText w:val="(%1)"/>
      <w:numFmt w:val="decimal"/>
      <w:start w:val="4"/>
    </w:lvl>
  </w:abstractNum>
  <w:abstractNum w:abstractNumId="109">
    <w:nsid w:val="5399C654"/>
    <w:multiLevelType w:val="hybridMultilevel"/>
    <w:lvl w:ilvl="0">
      <w:lvlJc w:val="left"/>
      <w:lvlText w:val="%1."/>
      <w:numFmt w:val="decimal"/>
      <w:start w:val="1"/>
    </w:lvl>
  </w:abstractNum>
  <w:abstractNum w:abstractNumId="110">
    <w:nsid w:val="20EE1348"/>
    <w:multiLevelType w:val="hybridMultilevel"/>
    <w:lvl w:ilvl="0">
      <w:lvlJc w:val="left"/>
      <w:lvlText w:val="%1."/>
      <w:numFmt w:val="decimal"/>
      <w:start w:val="2"/>
    </w:lvl>
  </w:abstractNum>
  <w:abstractNum w:abstractNumId="111">
    <w:nsid w:val="4427069A"/>
    <w:multiLevelType w:val="hybridMultilevel"/>
    <w:lvl w:ilvl="0">
      <w:lvlJc w:val="left"/>
      <w:lvlText w:val="%1."/>
      <w:numFmt w:val="decimal"/>
      <w:start w:val="3"/>
    </w:lvl>
  </w:abstractNum>
  <w:abstractNum w:abstractNumId="112">
    <w:nsid w:val="B37E80A"/>
    <w:multiLevelType w:val="hybridMultilevel"/>
    <w:lvl w:ilvl="0">
      <w:lvlJc w:val="left"/>
      <w:lvlText w:val="%1."/>
      <w:numFmt w:val="decimal"/>
      <w:start w:val="4"/>
    </w:lvl>
  </w:abstractNum>
  <w:abstractNum w:abstractNumId="113">
    <w:nsid w:val="2157F6BC"/>
    <w:multiLevelType w:val="hybridMultilevel"/>
    <w:lvl w:ilvl="0">
      <w:lvlJc w:val="left"/>
      <w:lvlText w:val="%1."/>
      <w:numFmt w:val="decimal"/>
      <w:start w:val="5"/>
    </w:lvl>
  </w:abstractNum>
  <w:abstractNum w:abstractNumId="114">
    <w:nsid w:val="704E1DD5"/>
    <w:multiLevelType w:val="hybridMultilevel"/>
    <w:lvl w:ilvl="0">
      <w:lvlJc w:val="left"/>
      <w:lvlText w:val="%1."/>
      <w:numFmt w:val="decimal"/>
      <w:start w:val="6"/>
    </w:lvl>
  </w:abstractNum>
  <w:abstractNum w:abstractNumId="115">
    <w:nsid w:val="57D2F10E"/>
    <w:multiLevelType w:val="hybridMultilevel"/>
    <w:lvl w:ilvl="0">
      <w:lvlJc w:val="left"/>
      <w:lvlText w:val="(%1)"/>
      <w:numFmt w:val="lowerRoman"/>
      <w:start w:val="1"/>
    </w:lvl>
  </w:abstractNum>
  <w:abstractNum w:abstractNumId="116">
    <w:nsid w:val="BFFAE18"/>
    <w:multiLevelType w:val="hybridMultilevel"/>
    <w:lvl w:ilvl="0">
      <w:lvlJc w:val="left"/>
      <w:lvlText w:val="(%1)"/>
      <w:numFmt w:val="lowerRoman"/>
      <w:start w:val="3"/>
    </w:lvl>
  </w:abstractNum>
  <w:abstractNum w:abstractNumId="117">
    <w:nsid w:val="E3E47A8"/>
    <w:multiLevelType w:val="hybridMultilevel"/>
    <w:lvl w:ilvl="0">
      <w:lvlJc w:val="left"/>
      <w:lvlText w:val="(%1)"/>
      <w:numFmt w:val="lowerRoman"/>
      <w:start w:val="1"/>
    </w:lvl>
  </w:abstractNum>
  <w:abstractNum w:abstractNumId="118">
    <w:nsid w:val="2E48F044"/>
    <w:multiLevelType w:val="hybridMultilevel"/>
    <w:lvl w:ilvl="0">
      <w:lvlJc w:val="left"/>
      <w:lvlText w:val="(%1)"/>
      <w:numFmt w:val="lowerRoman"/>
      <w:start w:val="2"/>
    </w:lvl>
  </w:abstractNum>
  <w:abstractNum w:abstractNumId="119">
    <w:nsid w:val="49D0FEAC"/>
    <w:multiLevelType w:val="hybridMultilevel"/>
    <w:lvl w:ilvl="0">
      <w:lvlJc w:val="left"/>
      <w:lvlText w:val="(%1)"/>
      <w:numFmt w:val="lowerRoman"/>
      <w:start w:val="1"/>
    </w:lvl>
  </w:abstractNum>
  <w:abstractNum w:abstractNumId="120">
    <w:nsid w:val="4BEE5A5B"/>
    <w:multiLevelType w:val="hybridMultilevel"/>
    <w:lvl w:ilvl="0">
      <w:lvlJc w:val="left"/>
      <w:lvlText w:val="(%1)"/>
      <w:numFmt w:val="lowerRoman"/>
      <w:start w:val="2"/>
    </w:lvl>
  </w:abstractNum>
  <w:abstractNum w:abstractNumId="121">
    <w:nsid w:val="5551B9F3"/>
    <w:multiLevelType w:val="hybridMultilevel"/>
    <w:lvl w:ilvl="0">
      <w:lvlJc w:val="left"/>
      <w:lvlText w:val="%1."/>
      <w:numFmt w:val="upperLetter"/>
      <w:start w:val="1"/>
    </w:lvl>
  </w:abstractNum>
  <w:abstractNum w:abstractNumId="122">
    <w:nsid w:val="24F6AB8E"/>
    <w:multiLevelType w:val="hybridMultilevel"/>
    <w:lvl w:ilvl="0">
      <w:lvlJc w:val="left"/>
      <w:lvlText w:val="%1."/>
      <w:numFmt w:val="decimal"/>
      <w:start w:val="1"/>
    </w:lvl>
  </w:abstractNum>
  <w:abstractNum w:abstractNumId="123">
    <w:nsid w:val="634C574C"/>
    <w:multiLevelType w:val="hybridMultilevel"/>
    <w:lvl w:ilvl="0">
      <w:lvlJc w:val="left"/>
      <w:lvlText w:val="%1."/>
      <w:numFmt w:val="decimal"/>
      <w:start w:val="2"/>
    </w:lvl>
  </w:abstractNum>
  <w:abstractNum w:abstractNumId="124">
    <w:nsid w:val="24E99DD7"/>
    <w:multiLevelType w:val="hybridMultilevel"/>
    <w:lvl w:ilvl="0">
      <w:lvlJc w:val="left"/>
      <w:lvlText w:val="(%1)"/>
      <w:numFmt w:val="lowerLetter"/>
      <w:start w:val="1"/>
    </w:lvl>
  </w:abstractNum>
  <w:abstractNum w:abstractNumId="125">
    <w:nsid w:val="2A31B62D"/>
    <w:multiLevelType w:val="hybridMultilevel"/>
    <w:lvl w:ilvl="0">
      <w:lvlJc w:val="left"/>
      <w:lvlText w:val="%1."/>
      <w:numFmt w:val="decimal"/>
      <w:start w:val="3"/>
    </w:lvl>
    <w:lvl w:ilvl="1">
      <w:lvlJc w:val="left"/>
      <w:lvlText w:val="(%2)"/>
      <w:numFmt w:val="lowerLetter"/>
      <w:start w:val="1"/>
    </w:lvl>
  </w:abstractNum>
  <w:abstractNum w:abstractNumId="126">
    <w:nsid w:val="1849C29B"/>
    <w:multiLevelType w:val="hybridMultilevel"/>
    <w:lvl w:ilvl="0">
      <w:lvlJc w:val="left"/>
      <w:lvlText w:val="%1"/>
      <w:numFmt w:val="decimal"/>
      <w:start w:val="1"/>
    </w:lvl>
    <w:lvl w:ilvl="1">
      <w:lvlJc w:val="left"/>
      <w:lvlText w:val="(%2)"/>
      <w:numFmt w:val="lowerLetter"/>
      <w:start w:val="3"/>
    </w:lvl>
  </w:abstractNum>
  <w:abstractNum w:abstractNumId="127">
    <w:nsid w:val="7DFF9D09"/>
    <w:multiLevelType w:val="hybridMultilevel"/>
    <w:lvl w:ilvl="0">
      <w:lvlJc w:val="left"/>
      <w:lvlText w:val="%1."/>
      <w:numFmt w:val="decimal"/>
      <w:start w:val="4"/>
    </w:lvl>
    <w:lvl w:ilvl="1">
      <w:lvlJc w:val="left"/>
      <w:lvlText w:val="%2"/>
      <w:numFmt w:val="lowerLetter"/>
      <w:start w:val="1"/>
    </w:lvl>
  </w:abstractNum>
  <w:abstractNum w:abstractNumId="128">
    <w:nsid w:val="754342"/>
    <w:multiLevelType w:val="hybridMultilevel"/>
    <w:lvl w:ilvl="0">
      <w:lvlJc w:val="left"/>
      <w:lvlText w:val="%1."/>
      <w:numFmt w:val="decimal"/>
      <w:start w:val="5"/>
    </w:lvl>
  </w:abstractNum>
  <w:abstractNum w:abstractNumId="129">
    <w:nsid w:val="69E7F3E5"/>
    <w:multiLevelType w:val="hybridMultilevel"/>
    <w:lvl w:ilvl="0">
      <w:lvlJc w:val="left"/>
      <w:lvlText w:val="%1."/>
      <w:numFmt w:val="decimal"/>
      <w:start w:val="6"/>
    </w:lvl>
  </w:abstractNum>
  <w:abstractNum w:abstractNumId="130">
    <w:nsid w:val="2A6DE806"/>
    <w:multiLevelType w:val="hybridMultilevel"/>
    <w:lvl w:ilvl="0">
      <w:lvlJc w:val="left"/>
      <w:lvlText w:val="%1."/>
      <w:numFmt w:val="decimal"/>
      <w:start w:val="10"/>
    </w:lvl>
  </w:abstractNum>
  <w:abstractNum w:abstractNumId="131">
    <w:nsid w:val="1816F8C4"/>
    <w:multiLevelType w:val="hybridMultilevel"/>
    <w:lvl w:ilvl="0">
      <w:lvlJc w:val="left"/>
      <w:lvlText w:val="%1."/>
      <w:numFmt w:val="decimal"/>
      <w:start w:val="15"/>
    </w:lvl>
  </w:abstractNum>
  <w:abstractNum w:abstractNumId="132">
    <w:nsid w:val="37DF2233"/>
    <w:multiLevelType w:val="hybridMultilevel"/>
    <w:lvl w:ilvl="0">
      <w:lvlJc w:val="left"/>
      <w:lvlText w:val="%1."/>
      <w:numFmt w:val="decimal"/>
      <w:start w:val="1"/>
    </w:lvl>
  </w:abstractNum>
  <w:abstractNum w:abstractNumId="133">
    <w:nsid w:val="7AB49DAF"/>
    <w:multiLevelType w:val="hybridMultilevel"/>
    <w:lvl w:ilvl="0">
      <w:lvlJc w:val="left"/>
      <w:lvlText w:val="%1."/>
      <w:numFmt w:val="decimal"/>
      <w:start w:val="2"/>
    </w:lvl>
  </w:abstractNum>
  <w:abstractNum w:abstractNumId="134">
    <w:nsid w:val="759F82CD"/>
    <w:multiLevelType w:val="hybridMultilevel"/>
    <w:lvl w:ilvl="0">
      <w:lvlJc w:val="left"/>
      <w:lvlText w:val="%1."/>
      <w:numFmt w:val="decimal"/>
      <w:start w:val="3"/>
    </w:lvl>
  </w:abstractNum>
  <w:abstractNum w:abstractNumId="135">
    <w:nsid w:val="61E74EA3"/>
    <w:multiLevelType w:val="hybridMultilevel"/>
    <w:lvl w:ilvl="0">
      <w:lvlJc w:val="left"/>
      <w:lvlText w:val="%1."/>
      <w:numFmt w:val="decimal"/>
      <w:start w:val="4"/>
    </w:lvl>
  </w:abstractNum>
  <w:abstractNum w:abstractNumId="136">
    <w:nsid w:val="597B4D84"/>
    <w:multiLevelType w:val="hybridMultilevel"/>
    <w:lvl w:ilvl="0">
      <w:lvlJc w:val="left"/>
      <w:lvlText w:val="%1."/>
      <w:numFmt w:val="decimal"/>
      <w:start w:val="9"/>
    </w:lvl>
  </w:abstractNum>
  <w:abstractNum w:abstractNumId="137">
    <w:nsid w:val="F819E7F"/>
    <w:multiLevelType w:val="hybridMultilevel"/>
    <w:lvl w:ilvl="0">
      <w:lvlJc w:val="left"/>
      <w:lvlText w:val="%1."/>
      <w:numFmt w:val="decimal"/>
      <w:start w:val="12"/>
    </w:lvl>
  </w:abstractNum>
  <w:abstractNum w:abstractNumId="138">
    <w:nsid w:val="57C7D42D"/>
    <w:multiLevelType w:val="hybridMultilevel"/>
    <w:lvl w:ilvl="0">
      <w:lvlJc w:val="left"/>
      <w:lvlText w:val="%1."/>
      <w:numFmt w:val="decimal"/>
      <w:start w:val="14"/>
    </w:lvl>
  </w:abstractNum>
  <w:abstractNum w:abstractNumId="139">
    <w:nsid w:val="312167AD"/>
    <w:multiLevelType w:val="hybridMultilevel"/>
    <w:lvl w:ilvl="0">
      <w:lvlJc w:val="left"/>
      <w:lvlText w:val="%1."/>
      <w:numFmt w:val="decimal"/>
      <w:start w:val="16"/>
    </w:lvl>
  </w:abstractNum>
  <w:abstractNum w:abstractNumId="140">
    <w:nsid w:val="631B64D4"/>
    <w:multiLevelType w:val="hybridMultilevel"/>
    <w:lvl w:ilvl="0">
      <w:lvlJc w:val="left"/>
      <w:lvlText w:val="%1."/>
      <w:numFmt w:val="decimal"/>
      <w:start w:val="21"/>
    </w:lvl>
  </w:abstractNum>
  <w:abstractNum w:abstractNumId="141">
    <w:nsid w:val="78B5E776"/>
    <w:multiLevelType w:val="hybridMultilevel"/>
    <w:lvl w:ilvl="0">
      <w:lvlJc w:val="left"/>
      <w:lvlText w:val="%1."/>
      <w:numFmt w:val="decimal"/>
      <w:start w:val="1"/>
    </w:lvl>
  </w:abstractNum>
  <w:abstractNum w:abstractNumId="142">
    <w:nsid w:val="75486E47"/>
    <w:multiLevelType w:val="hybridMultilevel"/>
    <w:lvl w:ilvl="0">
      <w:lvlJc w:val="left"/>
      <w:lvlText w:val="%1."/>
      <w:numFmt w:val="decimal"/>
      <w:start w:val="5"/>
    </w:lvl>
  </w:abstractNum>
  <w:abstractNum w:abstractNumId="143">
    <w:nsid w:val="6E534CDE"/>
    <w:multiLevelType w:val="hybridMultilevel"/>
    <w:lvl w:ilvl="0">
      <w:lvlJc w:val="left"/>
      <w:lvlText w:val="%1."/>
      <w:numFmt w:val="decimal"/>
      <w:start w:val="1"/>
    </w:lvl>
    <w:lvl w:ilvl="1">
      <w:lvlJc w:val="left"/>
      <w:lvlText w:val="(%2)"/>
      <w:numFmt w:val="lowerLetter"/>
      <w:start w:val="1"/>
    </w:lvl>
  </w:abstractNum>
  <w:abstractNum w:abstractNumId="144">
    <w:nsid w:val="1A0DDE32"/>
    <w:multiLevelType w:val="hybridMultilevel"/>
    <w:lvl w:ilvl="0">
      <w:lvlJc w:val="left"/>
      <w:lvlText w:val="%1."/>
      <w:numFmt w:val="decimal"/>
      <w:start w:val="1"/>
    </w:lvl>
    <w:lvl w:ilvl="1">
      <w:lvlJc w:val="left"/>
      <w:lvlText w:val="(%2)"/>
      <w:numFmt w:val="lowerLetter"/>
      <w:start w:val="1"/>
    </w:lvl>
  </w:abstractNum>
  <w:abstractNum w:abstractNumId="145">
    <w:nsid w:val="65968C1C"/>
    <w:multiLevelType w:val="hybridMultilevel"/>
    <w:lvl w:ilvl="0">
      <w:lvlJc w:val="left"/>
      <w:lvlText w:val="%1."/>
      <w:numFmt w:val="decimal"/>
      <w:start w:val="1"/>
    </w:lvl>
  </w:abstractNum>
  <w:abstractNum w:abstractNumId="146">
    <w:nsid w:val="46263DEC"/>
    <w:multiLevelType w:val="hybridMultilevel"/>
    <w:lvl w:ilvl="0">
      <w:lvlJc w:val="left"/>
      <w:lvlText w:val="%1."/>
      <w:numFmt w:val="decimal"/>
      <w:start w:val="1"/>
    </w:lvl>
  </w:abstractNum>
  <w:abstractNum w:abstractNumId="147">
    <w:nsid w:val="260D8C4A"/>
    <w:multiLevelType w:val="hybridMultilevel"/>
    <w:lvl w:ilvl="0">
      <w:lvlJc w:val="left"/>
      <w:lvlText w:val="%1."/>
      <w:numFmt w:val="decimal"/>
      <w:start w:val="1"/>
    </w:lvl>
  </w:abstractNum>
  <w:abstractNum w:abstractNumId="148">
    <w:nsid w:val="73D4D3C4"/>
    <w:multiLevelType w:val="hybridMultilevel"/>
    <w:lvl w:ilvl="0">
      <w:lvlJc w:val="left"/>
      <w:lvlText w:val="%1."/>
      <w:numFmt w:val="decimal"/>
      <w:start w:val="2"/>
    </w:lvl>
    <w:lvl w:ilvl="1">
      <w:lvlJc w:val="left"/>
      <w:lvlText w:val="(%2)"/>
      <w:numFmt w:val="lowerRoman"/>
      <w:start w:val="4"/>
    </w:lvl>
  </w:abstractNum>
  <w:abstractNum w:abstractNumId="149">
    <w:nsid w:val="746F2E30"/>
    <w:multiLevelType w:val="hybridMultilevel"/>
    <w:lvl w:ilvl="0">
      <w:lvlJc w:val="left"/>
      <w:lvlText w:val="%1"/>
      <w:numFmt w:val="decimal"/>
      <w:start w:val="1"/>
    </w:lvl>
    <w:lvl w:ilvl="1">
      <w:lvlJc w:val="left"/>
      <w:lvlText w:val="(%2)"/>
      <w:numFmt w:val="lowerRoman"/>
      <w:start w:val="2"/>
    </w:lvl>
  </w:abstractNum>
  <w:abstractNum w:abstractNumId="150">
    <w:nsid w:val="6FDE8AF6"/>
    <w:multiLevelType w:val="hybridMultilevel"/>
    <w:lvl w:ilvl="0">
      <w:lvlJc w:val="left"/>
      <w:lvlText w:val="%1."/>
      <w:numFmt w:val="decimal"/>
      <w:start w:val="6"/>
    </w:lvl>
    <w:lvl w:ilvl="1">
      <w:lvlJc w:val="left"/>
      <w:lvlText w:val="%2"/>
      <w:numFmt w:val="lowerRoman"/>
      <w:start w:val="1"/>
    </w:lvl>
  </w:abstractNum>
  <w:abstractNum w:abstractNumId="151">
    <w:nsid w:val="3FC32E20"/>
    <w:multiLevelType w:val="hybridMultilevel"/>
    <w:lvl w:ilvl="0">
      <w:lvlJc w:val="left"/>
      <w:lvlText w:val="%1."/>
      <w:numFmt w:val="decimal"/>
      <w:start w:val="7"/>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3" Type="http://schemas.openxmlformats.org/officeDocument/2006/relationships/image" Target="media/image95.png"/><Relationship Id="rId105" Type="http://schemas.openxmlformats.org/officeDocument/2006/relationships/image" Target="media/image96.png"/><Relationship Id="rId107" Type="http://schemas.openxmlformats.org/officeDocument/2006/relationships/image" Target="media/image97.png"/><Relationship Id="rId109"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4" Type="http://schemas.openxmlformats.org/officeDocument/2006/relationships/image" Target="media/image101.png"/><Relationship Id="rId116" Type="http://schemas.openxmlformats.org/officeDocument/2006/relationships/image" Target="media/image102.png"/><Relationship Id="rId118"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7" Type="http://schemas.openxmlformats.org/officeDocument/2006/relationships/image" Target="media/image109.png"/><Relationship Id="rId129" Type="http://schemas.openxmlformats.org/officeDocument/2006/relationships/image" Target="media/image110.png"/><Relationship Id="rId131" Type="http://schemas.openxmlformats.org/officeDocument/2006/relationships/image" Target="media/image111.png"/><Relationship Id="rId133"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102" Type="http://schemas.openxmlformats.org/officeDocument/2006/relationships/hyperlink" Target="https://www.sec.gov/Archives/edgar/data/1021561/0000950109-96-005995.txt" TargetMode="External"/><Relationship Id="rId104" Type="http://schemas.openxmlformats.org/officeDocument/2006/relationships/hyperlink" Target="https://www.sec.gov/Archives/edgar/data/1021561/000102156110000024/ex3-2.htm" TargetMode="External"/><Relationship Id="rId106" Type="http://schemas.openxmlformats.org/officeDocument/2006/relationships/hyperlink" Target="https://www.sec.gov/Archives/edgar/data/1021561/000103393205000011/ex3-3.htm" TargetMode="External"/><Relationship Id="rId108" Type="http://schemas.openxmlformats.org/officeDocument/2006/relationships/hyperlink" Target="https://www.sec.gov/Archives/edgar/data/1021561/000114036124005870/ef20020750_ex3-1.htm" TargetMode="External"/><Relationship Id="rId110" Type="http://schemas.openxmlformats.org/officeDocument/2006/relationships/hyperlink" Target="https://www.sec.gov/Archives/edgar/data/1021561/000114036123007348/brhc10046901_ex4-1.htm" TargetMode="External"/><Relationship Id="rId113" Type="http://schemas.openxmlformats.org/officeDocument/2006/relationships/hyperlink" Target="https://www.sec.gov/Archives/edgar/data/1021561/000114036122023342/brhc10038831_ex10-1.htm" TargetMode="External"/><Relationship Id="rId115" Type="http://schemas.openxmlformats.org/officeDocument/2006/relationships/hyperlink" Target="https://www.sec.gov/Archives/edgar/data/1021561/000102156116000134/ex10-1.htm" TargetMode="External"/><Relationship Id="rId117" Type="http://schemas.openxmlformats.org/officeDocument/2006/relationships/hyperlink" Target="https://www.sec.gov/Archives/edgar/data/1021561/000114036120002997/exhibit10_13.htm" TargetMode="External"/><Relationship Id="rId119" Type="http://schemas.openxmlformats.org/officeDocument/2006/relationships/hyperlink" Target="https://www.sec.gov/Archives/edgar/data/1021561/000114036120012979/ex99_1.htm" TargetMode="External"/><Relationship Id="rId123" Type="http://schemas.openxmlformats.org/officeDocument/2006/relationships/hyperlink" Target="https://www.sec.gov/Archives/edgar/data/1021561/000114036123007348/brhc10046901_ex10-13.htm" TargetMode="External"/><Relationship Id="rId126" Type="http://schemas.openxmlformats.org/officeDocument/2006/relationships/hyperlink" Target="https://www.sec.gov/Archives/edgar/data/1021561/000114036121004212/brhc10019752_ex10-14.htm" TargetMode="External"/><Relationship Id="rId128" Type="http://schemas.openxmlformats.org/officeDocument/2006/relationships/hyperlink" Target="https://www.sec.gov/Archives/edgar/data/1021561/000114036123037437/brhc20056518_ex10-1.htm" TargetMode="External"/><Relationship Id="rId130" Type="http://schemas.openxmlformats.org/officeDocument/2006/relationships/hyperlink" Target="https://www.sec.gov/Archives/edgar/data/1021561/000114036122005656/brhc10033829_ex10-18.htm" TargetMode="External"/><Relationship Id="rId132" Type="http://schemas.openxmlformats.org/officeDocument/2006/relationships/hyperlink" Target="https://www.sec.gov/Archives/edgar/data/1021561/000114036123037437/brhc20056518_ex10-2.htm" TargetMode="External"/><Relationship Id="rId134" Type="http://schemas.openxmlformats.org/officeDocument/2006/relationships/hyperlink" Target="https://www.sec.gov/Archives/edgar/data/1021561/000102156116000188/ex10-1.htm" TargetMode="External"/><Relationship Id="rId137" Type="http://schemas.openxmlformats.org/officeDocument/2006/relationships/hyperlink" Target="https://www.sec.gov/Archives/edgar/data/1021561/000114036120023403/brhc1001605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2024-02-15T06:11:02Z</dcterms:created>
  <dcterms:modified xsi:type="dcterms:W3CDTF">2024-02-15T06:11:02Z</dcterms:modified>
</cp:coreProperties>
</file>