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Hatchett Steven Keith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NU SKIN ENTERPRISES,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75 W CENTER STREET</w:t>
      </w:r>
    </w:p>
    <w:p>
      <w:pPr>
        <w:spacing w:after="0" w:line="299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PROVO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84601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14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147" w:lineRule="exact"/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6"/>
                  <w:szCs w:val="16"/>
                  <w:color w:val="0000EE"/>
                </w:rPr>
                <w:t xml:space="preserve">NU SKIN ENTERPRISES, INC. </w:t>
              </w:r>
            </w:hyperlink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NUS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7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Chief Product Officer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90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2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8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Common Stock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02/26/2026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26,001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D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right"/>
              <w:ind w:righ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8.63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182,877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Shares withheld to cover tax withholding obligations related to the vesting of previously granted restricted stock units.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/s/ Gregory Belliston as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04203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42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Attorney-in-Fact for Steven</w:t>
        <w:tab/>
        <w:t>03/02/2026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89738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738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Hatchett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37274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274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80182" TargetMode="External"/><Relationship Id="rId14" Type="http://schemas.openxmlformats.org/officeDocument/2006/relationships/hyperlink" Target="http://www.sec.gov/cgi-bin/browse-edgar?action=getcompany&amp;CIK=000102156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2026-03-02T16:06:46Z</dcterms:created>
  <dcterms:modified xsi:type="dcterms:W3CDTF">2026-03-02T16:06:46Z</dcterms:modified>
</cp:coreProperties>
</file>