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35560</wp:posOffset>
            </wp:positionV>
            <wp:extent cx="4277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001-12421</w:t>
            </w:r>
          </w:p>
        </w:tc>
        <w:tc>
          <w:tcPr>
            <w:tcW w:w="200" w:type="dxa"/>
            <w:vAlign w:val="bottom"/>
          </w:tcPr>
          <w:p>
            <w:pPr>
              <w:spacing w:after="0"/>
              <w:rPr>
                <w:sz w:val="21"/>
                <w:szCs w:val="21"/>
                <w:color w:val="auto"/>
              </w:rPr>
            </w:pPr>
          </w:p>
        </w:tc>
        <w:tc>
          <w:tcPr>
            <w:tcW w:w="360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234"/>
        </w:trPr>
        <w:tc>
          <w:tcPr>
            <w:tcW w:w="3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91"/>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c>
          <w:tcPr>
            <w:tcW w:w="136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(801) 345-1000</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511"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NUS</w:t>
            </w: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March 5, 2025, Zheqing (Simon) Shen informed Nu Skin Enterprises, Inc. (the “Company”) that he has decided not to stand for re-election to the Company’s Board of Directors (the “Board”) at the Company’s 2025 Annual Meeting of Stockholders due to other professional commitments. The Company and Board extend their gratitude to Mr. Shen for his contributions and many years of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2025-03-06T05:12:54Z</dcterms:created>
  <dcterms:modified xsi:type="dcterms:W3CDTF">2025-03-06T05:12:54Z</dcterms:modified>
</cp:coreProperties>
</file>