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500" w:hanging="492"/>
        <w:spacing w:after="0" w:line="282"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500" w:hanging="49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001-12421</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30480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Delaware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87-0565309</w:t>
            </w:r>
          </w:p>
        </w:tc>
      </w:tr>
      <w:tr>
        <w:trPr>
          <w:trHeight w:val="202"/>
        </w:trPr>
        <w:tc>
          <w:tcPr>
            <w:tcW w:w="33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1"/>
        </w:trPr>
        <w:tc>
          <w:tcPr>
            <w:tcW w:w="3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8"/>
                <w:szCs w:val="18"/>
                <w:b w:val="1"/>
                <w:bCs w:val="1"/>
                <w:color w:val="auto"/>
                <w:w w:val="90"/>
              </w:rPr>
              <w:t>Provo, Utah 84601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gridSpan w:val="6"/>
          </w:tcPr>
          <w:p>
            <w:pPr>
              <w:jc w:val="center"/>
              <w:ind w:right="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p>
        </w:tc>
      </w:tr>
      <w:tr>
        <w:trPr>
          <w:trHeight w:val="425"/>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Arial" w:cs="Arial" w:eastAsia="Arial" w:hAnsi="Arial"/>
                <w:sz w:val="18"/>
                <w:szCs w:val="18"/>
                <w:b w:val="1"/>
                <w:bCs w:val="1"/>
                <w:color w:val="auto"/>
                <w:w w:val="90"/>
              </w:rPr>
              <w:t>(801) 345-1000</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8"/>
        </w:trPr>
        <w:tc>
          <w:tcPr>
            <w:tcW w:w="77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Arial" w:cs="Arial" w:eastAsia="Arial" w:hAnsi="Arial"/>
                <w:sz w:val="18"/>
                <w:szCs w:val="18"/>
                <w:color w:val="auto"/>
                <w:w w:val="91"/>
              </w:rPr>
              <w:t>Trading Symbol(s)</w:t>
            </w:r>
          </w:p>
        </w:tc>
        <w:tc>
          <w:tcPr>
            <w:tcW w:w="3540" w:type="dxa"/>
            <w:vAlign w:val="bottom"/>
            <w:gridSpan w:val="4"/>
          </w:tcPr>
          <w:p>
            <w:pPr>
              <w:jc w:val="center"/>
              <w:ind w:right="21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460" w:type="dxa"/>
            <w:vAlign w:val="bottom"/>
            <w:tcBorders>
              <w:top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4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2022, 50,208,228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gridSpan w:val="8"/>
          </w:tcPr>
          <w:p>
            <w:pPr>
              <w:jc w:val="center"/>
              <w:ind w:right="3620"/>
              <w:spacing w:after="0"/>
              <w:rPr>
                <w:sz w:val="20"/>
                <w:szCs w:val="20"/>
                <w:color w:val="auto"/>
              </w:rPr>
            </w:pPr>
            <w:r>
              <w:rPr>
                <w:rFonts w:ascii="Arial" w:cs="Arial" w:eastAsia="Arial" w:hAnsi="Arial"/>
                <w:sz w:val="18"/>
                <w:szCs w:val="18"/>
                <w:b w:val="1"/>
                <w:bCs w:val="1"/>
                <w:color w:val="auto"/>
                <w:w w:val="99"/>
              </w:rPr>
              <w:t>NU SKIN ENTERPRISES, INC.</w:t>
            </w:r>
          </w:p>
        </w:tc>
        <w:tc>
          <w:tcPr>
            <w:tcW w:w="6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60" w:type="dxa"/>
            <w:vAlign w:val="bottom"/>
            <w:gridSpan w:val="15"/>
          </w:tcPr>
          <w:p>
            <w:pPr>
              <w:jc w:val="center"/>
              <w:ind w:right="1960"/>
              <w:spacing w:after="0"/>
              <w:rPr>
                <w:sz w:val="20"/>
                <w:szCs w:val="20"/>
                <w:color w:val="auto"/>
              </w:rPr>
            </w:pPr>
            <w:r>
              <w:rPr>
                <w:rFonts w:ascii="Arial" w:cs="Arial" w:eastAsia="Arial" w:hAnsi="Arial"/>
                <w:sz w:val="18"/>
                <w:szCs w:val="18"/>
                <w:b w:val="1"/>
                <w:bCs w:val="1"/>
                <w:color w:val="auto"/>
                <w:w w:val="98"/>
              </w:rPr>
              <w:t>QUARTERLY REPORT ON FORM 10-Q – FIRST QUARTER 2022</w:t>
            </w:r>
          </w:p>
        </w:tc>
        <w:tc>
          <w:tcPr>
            <w:tcW w:w="6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gridSpan w:val="7"/>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Page</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960" w:type="dxa"/>
            <w:vAlign w:val="bottom"/>
            <w:gridSpan w:val="17"/>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6860" w:type="dxa"/>
            <w:vAlign w:val="bottom"/>
            <w:tcBorders>
              <w:bottom w:val="single" w:sz="8" w:color="CCEEFF"/>
            </w:tcBorders>
            <w:gridSpan w:val="1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6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w:t>
              </w:r>
            </w:hyperlink>
          </w:p>
        </w:tc>
        <w:tc>
          <w:tcPr>
            <w:tcW w:w="522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6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w:t>
              </w:r>
            </w:hyperlink>
          </w:p>
        </w:tc>
        <w:tc>
          <w:tcPr>
            <w:tcW w:w="608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60" w:type="dxa"/>
            <w:vAlign w:val="bottom"/>
            <w:gridSpan w:val="1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75"/>
        </w:trPr>
        <w:tc>
          <w:tcPr>
            <w:tcW w:w="84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96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180" w:type="dxa"/>
            <w:vAlign w:val="bottom"/>
            <w:tcBorders>
              <w:bottom w:val="single" w:sz="8" w:color="CCEEFF"/>
            </w:tcBorders>
            <w:gridSpan w:val="1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6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960" w:type="dxa"/>
            <w:vAlign w:val="bottom"/>
            <w:gridSpan w:val="1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6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8960" w:type="dxa"/>
            <w:vAlign w:val="bottom"/>
            <w:gridSpan w:val="1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6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8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6640" w:type="dxa"/>
            <w:vAlign w:val="bottom"/>
            <w:tcBorders>
              <w:top w:val="single" w:sz="8" w:color="CCEEFF"/>
            </w:tcBorders>
            <w:gridSpan w:val="10"/>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7640" w:type="dxa"/>
            <w:vAlign w:val="bottom"/>
            <w:tcBorders>
              <w:bottom w:val="single" w:sz="8" w:color="CCEEFF"/>
            </w:tcBorders>
            <w:gridSpan w:val="1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84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8960" w:type="dxa"/>
            <w:vAlign w:val="bottom"/>
            <w:gridSpan w:val="17"/>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700" w:type="dxa"/>
            <w:vAlign w:val="bottom"/>
            <w:tcBorders>
              <w:bottom w:val="single" w:sz="8" w:color="0000EE"/>
            </w:tcBorders>
          </w:tcPr>
          <w:p>
            <w:pPr>
              <w:spacing w:after="0" w:line="17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Signature</w:t>
              </w:r>
            </w:hyperlink>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NU SKIN ENTERPRISES,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(Unaudited)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(U.S. dollars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339,593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Current investments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15,221</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41,299</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381,585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399,931</w:t>
            </w:r>
          </w:p>
        </w:tc>
      </w:tr>
      <w:tr>
        <w:trPr>
          <w:trHeight w:val="223"/>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97,923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76,906</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849,208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872,950</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448,822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453,674</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206,432</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76,991</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2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179,964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175,460</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343,737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372,201</w:t>
            </w:r>
          </w:p>
        </w:tc>
      </w:tr>
      <w:tr>
        <w:trPr>
          <w:trHeight w:val="223"/>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107,500</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494,456</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529,694</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88,759</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268,781</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106,474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958,049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(Notes 5 and 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Class A common stock – 500 million shares authorized, $0.001 par value, 90.6 million shares issued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601,703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Treasury stock, at cost – 40.4 million and 40.7 million shares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(1,526,778)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(1,526,860)</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(73,896)</w:t>
            </w:r>
          </w:p>
        </w:tc>
      </w:tr>
      <w:tr>
        <w:trPr>
          <w:trHeight w:val="223"/>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1,931,157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1,911,734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1,892,249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1,906,480</w:t>
            </w: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r>
              <w:rPr>
                <w:rFonts w:ascii="Arial" w:cs="Arial" w:eastAsia="Arial" w:hAnsi="Arial"/>
                <w:sz w:val="18"/>
                <w:szCs w:val="18"/>
                <w:color w:val="auto"/>
              </w:rPr>
              <w:t>,</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677,026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161,499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170,566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443,400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Selling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242,699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275,965</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148,556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391,255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443,547</w:t>
            </w:r>
          </w:p>
        </w:tc>
        <w:tc>
          <w:tcPr>
            <w:tcW w:w="100" w:type="dxa"/>
            <w:vAlign w:val="bottom"/>
          </w:tcPr>
          <w:p>
            <w:pPr>
              <w:spacing w:after="0"/>
              <w:rPr>
                <w:sz w:val="19"/>
                <w:szCs w:val="19"/>
                <w:color w:val="auto"/>
              </w:rPr>
            </w:pP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52,145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62,913</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w:t>
            </w:r>
          </w:p>
        </w:tc>
      </w:tr>
      <w:tr>
        <w:trPr>
          <w:trHeight w:val="216"/>
        </w:trPr>
        <w:tc>
          <w:tcPr>
            <w:tcW w:w="980" w:type="dxa"/>
            <w:vAlign w:val="bottom"/>
            <w:tcBorders>
              <w:top w:val="single" w:sz="8" w:color="CCEEFF"/>
            </w:tcBorders>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50,692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17,065</w:t>
            </w:r>
          </w:p>
        </w:tc>
        <w:tc>
          <w:tcPr>
            <w:tcW w:w="100" w:type="dxa"/>
            <w:vAlign w:val="bottom"/>
          </w:tcPr>
          <w:p>
            <w:pPr>
              <w:spacing w:after="0"/>
              <w:rPr>
                <w:sz w:val="19"/>
                <w:szCs w:val="19"/>
                <w:color w:val="auto"/>
              </w:rPr>
            </w:pP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38,716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47,430</w:t>
            </w:r>
          </w:p>
        </w:tc>
      </w:tr>
      <w:tr>
        <w:trPr>
          <w:trHeight w:val="21"/>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 per share (Note 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(000s):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50,706</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51,066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52,172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4"/>
              </w:rPr>
              <w:t>Foreign currency translation adjustment, net of taxes of $(7) and $(2) for the three months ended March 31,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and 2021, respectively</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(9,919)</w:t>
            </w:r>
          </w:p>
        </w:tc>
      </w:tr>
      <w:tr>
        <w:trPr>
          <w:trHeight w:val="202"/>
        </w:trPr>
        <w:tc>
          <w:tcPr>
            <w:tcW w:w="86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Net unrealized gains/(losses) on foreign currency cash flow hedges, net of taxes of $(1,743) and $(839) for the three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months ended March 31, 2022 and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02"/>
        </w:trPr>
        <w:tc>
          <w:tcPr>
            <w:tcW w:w="86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Reclassification adjustment for realized losses/(gains) in current earnings, net of taxes of $(4) and $(6) for the three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months ended March 31, 2022 and 2021,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98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40,572</w:t>
            </w:r>
          </w:p>
        </w:tc>
      </w:tr>
      <w:tr>
        <w:trPr>
          <w:trHeight w:val="21"/>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1"/>
          </w:tcPr>
          <w:p>
            <w:pPr>
              <w:jc w:val="right"/>
              <w:ind w:right="1080"/>
              <w:spacing w:after="0"/>
              <w:rPr>
                <w:sz w:val="20"/>
                <w:szCs w:val="20"/>
                <w:color w:val="auto"/>
              </w:rPr>
            </w:pPr>
            <w:r>
              <w:rPr>
                <w:rFonts w:ascii="Arial" w:cs="Arial" w:eastAsia="Arial" w:hAnsi="Arial"/>
                <w:sz w:val="18"/>
                <w:szCs w:val="18"/>
                <w:b w:val="1"/>
                <w:bCs w:val="1"/>
                <w:color w:val="auto"/>
              </w:rPr>
              <w:t>For the Three Months Ended March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(10,006)</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(0.4</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(6,572)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10,088</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(19,293)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(19,293)</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jc w:val="right"/>
              <w:ind w:right="1080"/>
              <w:spacing w:after="0"/>
              <w:rPr>
                <w:sz w:val="20"/>
                <w:szCs w:val="20"/>
                <w:color w:val="auto"/>
              </w:rPr>
            </w:pPr>
            <w:r>
              <w:rPr>
                <w:rFonts w:ascii="Arial" w:cs="Arial" w:eastAsia="Arial" w:hAnsi="Arial"/>
                <w:sz w:val="18"/>
                <w:szCs w:val="18"/>
                <w:b w:val="1"/>
                <w:bCs w:val="1"/>
                <w:color w:val="auto"/>
              </w:rPr>
              <w:t>For the Three Months Ended March 31,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579,801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(1,461,593)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1,840,740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(6,858)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(6,858)</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(50,406)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(50,406)</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(0.3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(7,400)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6,923</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(19,289)</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579,204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1,868,881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Adjustments to reconcile net income to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18,344</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10,581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13,298</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Foreign currency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r>
      <w:tr>
        <w:trPr>
          <w:trHeight w:val="216"/>
        </w:trPr>
        <w:tc>
          <w:tcPr>
            <w:tcW w:w="8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(12,463)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(53,776)</w:t>
            </w: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(18,110)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(19,241)</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(2,786)</w:t>
            </w: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(5,663)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(36,779)</w:t>
            </w:r>
          </w:p>
        </w:tc>
      </w:tr>
      <w:tr>
        <w:trPr>
          <w:trHeight w:val="223"/>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(8,839)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by/(used in)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shd w:val="clear" w:color="auto" w:fill="CCEEFF"/>
          </w:tcPr>
          <w:p>
            <w:pPr>
              <w:spacing w:after="0"/>
              <w:rPr>
                <w:sz w:val="19"/>
                <w:szCs w:val="19"/>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(10,279)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(19,373)</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(3,930)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(6,973)</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Exercise of employee stock options and taxes paid related to the net shares settlement of stock awards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of cash dividends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(19,289)</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Repurchases of shares of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(50,406)</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 principal 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(17,500)</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r>
      <w:tr>
        <w:trPr>
          <w:trHeight w:val="27"/>
        </w:trPr>
        <w:tc>
          <w:tcPr>
            <w:tcW w:w="98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(33,759)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(18,155)</w:t>
            </w: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(7,777)</w:t>
            </w: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(37,377)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(63,584)</w:t>
            </w: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402,683</w:t>
            </w:r>
          </w:p>
        </w:tc>
        <w:tc>
          <w:tcPr>
            <w:tcW w:w="100" w:type="dxa"/>
            <w:vAlign w:val="bottom"/>
          </w:tcPr>
          <w:p>
            <w:pPr>
              <w:spacing w:after="0"/>
              <w:rPr>
                <w:sz w:val="19"/>
                <w:szCs w:val="19"/>
                <w:color w:val="auto"/>
              </w:rPr>
            </w:pPr>
          </w:p>
        </w:tc>
      </w:tr>
      <w:tr>
        <w:trPr>
          <w:trHeight w:val="216"/>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302,216</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339,099</w:t>
            </w: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segments—Mainland China; Americas, which includes Canada, Latin America and the United States; South Korea; Southeast Asia/Pacific, which includes Australia, Indonesia, Malaysia, New Zealand, the Philippines, Singapore, Thailand and Vietnam; Europe, Middle East and Africa (“EMEA”), which includes markets in Europe as well as Israel and South Africa; Japan;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spacing w:after="0" w:line="16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significant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March 31, 2022, and for the three-month periods ended March 31, 2022 and 2021. The results of operations of any interim period are not necessarily indicative of the results of operations to be expected for the fiscal year. The consolidated balance sheet as of December 31, 2021 has been prepared using information from the audited financial statements at that date. For further information, refer to the consolidated financial statements and accompanying footnotes included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period amounts have been reclassified to conform to the current presentation. The Company reclassified $2.2 million of events and other miscellaneous selling costs from the general and administration expenses line to the selling expenses line on the consolidated statement of income for the first quarter of 2021. The Company believes these costs are better reflected in selling expenses. The reclassification had no impact on operating income for the first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which provides optional guidance for a limited time to ease the potential burden in accounting for the effects of reference rate reform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2022. The amendments in ASU 2020-04 are elective and are effective upon issuance for all entities.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80" w:type="dxa"/>
            <w:vAlign w:val="bottom"/>
            <w:tcBorders>
              <w:top w:val="single" w:sz="8" w:color="0000EE"/>
            </w:tcBorders>
          </w:tcPr>
          <w:p>
            <w:pPr>
              <w:spacing w:after="0"/>
              <w:rPr>
                <w:sz w:val="20"/>
                <w:szCs w:val="20"/>
                <w:color w:val="auto"/>
              </w:rPr>
            </w:pPr>
            <w:r>
              <w:rPr>
                <w:rFonts w:ascii="Arial" w:cs="Arial" w:eastAsia="Arial" w:hAnsi="Arial"/>
                <w:sz w:val="18"/>
                <w:szCs w:val="18"/>
                <w:i w:val="1"/>
                <w:iCs w:val="1"/>
                <w:color w:val="auto"/>
              </w:rPr>
              <w:t>Inventory</w:t>
            </w: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217,839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220,040</w:t>
            </w:r>
          </w:p>
        </w:tc>
      </w:tr>
      <w:tr>
        <w:trPr>
          <w:trHeight w:val="256"/>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Inventory,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 – Customer Loyalty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balance of deferred revenue related to contract liabilities as of March 31, 2022 and December 31, 2021 was $20.8 million and $22.0 million, respectively. The contract liabilities impact to revenue for the three-month periods ended March 31, 2022, and 2021 was an increase of $1.2 million and a decrease of $1.6 million, respectively.</w:t>
      </w:r>
    </w:p>
    <w:p>
      <w:pPr>
        <w:spacing w:after="0" w:line="39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reporting units for goodwill are its operating segments, which are also its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goodwill allocated to the Company’s reportable segments for the periods ended March 31, 2022 and December 31, 2021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7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32,179</w:t>
            </w:r>
          </w:p>
        </w:tc>
      </w:tr>
      <w:tr>
        <w:trPr>
          <w:trHeight w:val="216"/>
        </w:trPr>
        <w:tc>
          <w:tcPr>
            <w:tcW w:w="3780" w:type="dxa"/>
            <w:vAlign w:val="bottom"/>
          </w:tcPr>
          <w:p>
            <w:pPr>
              <w:ind w:left="340"/>
              <w:spacing w:after="0"/>
              <w:rPr>
                <w:sz w:val="20"/>
                <w:szCs w:val="20"/>
                <w:color w:val="auto"/>
              </w:rPr>
            </w:pPr>
            <w:r>
              <w:rPr>
                <w:rFonts w:ascii="Arial" w:cs="Arial" w:eastAsia="Arial" w:hAnsi="Arial"/>
                <w:sz w:val="18"/>
                <w:szCs w:val="18"/>
                <w:color w:val="auto"/>
              </w:rPr>
              <w:t>Americas</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9,449</w:t>
            </w: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18,537</w:t>
            </w:r>
          </w:p>
        </w:tc>
      </w:tr>
      <w:tr>
        <w:trPr>
          <w:trHeight w:val="216"/>
        </w:trPr>
        <w:tc>
          <w:tcPr>
            <w:tcW w:w="37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29,261</w:t>
            </w: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r>
      <w:tr>
        <w:trPr>
          <w:trHeight w:val="216"/>
        </w:trPr>
        <w:tc>
          <w:tcPr>
            <w:tcW w:w="3780" w:type="dxa"/>
            <w:vAlign w:val="bottom"/>
          </w:tcPr>
          <w:p>
            <w:pPr>
              <w:ind w:left="340"/>
              <w:spacing w:after="0"/>
              <w:rPr>
                <w:sz w:val="20"/>
                <w:szCs w:val="20"/>
                <w:color w:val="auto"/>
              </w:rPr>
            </w:pPr>
            <w:r>
              <w:rPr>
                <w:rFonts w:ascii="Arial" w:cs="Arial" w:eastAsia="Arial" w:hAnsi="Arial"/>
                <w:sz w:val="18"/>
                <w:szCs w:val="18"/>
                <w:color w:val="auto"/>
              </w:rPr>
              <w:t>EMEA</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Manufacturing</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78,875</w:t>
            </w:r>
          </w:p>
        </w:tc>
      </w:tr>
      <w:tr>
        <w:trPr>
          <w:trHeight w:val="223"/>
        </w:trPr>
        <w:tc>
          <w:tcPr>
            <w:tcW w:w="3780" w:type="dxa"/>
            <w:vAlign w:val="bottom"/>
          </w:tcPr>
          <w:p>
            <w:pPr>
              <w:ind w:left="340"/>
              <w:spacing w:after="0"/>
              <w:rPr>
                <w:sz w:val="20"/>
                <w:szCs w:val="20"/>
                <w:color w:val="auto"/>
              </w:rPr>
            </w:pPr>
            <w:r>
              <w:rPr>
                <w:rFonts w:ascii="Arial" w:cs="Arial" w:eastAsia="Arial" w:hAnsi="Arial"/>
                <w:sz w:val="18"/>
                <w:szCs w:val="18"/>
                <w:color w:val="auto"/>
              </w:rPr>
              <w:t>Rhyz Other</w:t>
            </w: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12,603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12,603</w:t>
            </w:r>
          </w:p>
        </w:tc>
      </w:tr>
      <w:tr>
        <w:trPr>
          <w:trHeight w:val="25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780" w:type="dxa"/>
            <w:vAlign w:val="bottom"/>
          </w:tcPr>
          <w:p>
            <w:pPr>
              <w:spacing w:after="0"/>
              <w:rPr>
                <w:sz w:val="24"/>
                <w:szCs w:val="24"/>
                <w:color w:val="auto"/>
              </w:rPr>
            </w:pPr>
          </w:p>
        </w:tc>
        <w:tc>
          <w:tcPr>
            <w:tcW w:w="4900" w:type="dxa"/>
            <w:vAlign w:val="bottom"/>
          </w:tcPr>
          <w:p>
            <w:pPr>
              <w:jc w:val="right"/>
              <w:ind w:right="293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18, 2018, the Company entered into a Credit Agreement (the “Credit Agreement”) with several financial institutions as lenders and Bank of America, N.A., as administrative agent. The Credit Agreement provides for a $400 million term loan facility and a $350 million revolving credit facility, each with a term of five years. Both facilities bear interest at the LIBOR, plus a margin based on the consolidated leverage ratio. The term loan facility amortizes in quarterly installments in amounts resulting in an annual amortization of 5.0% during the first and second years, 7.5% during the third and fourth years and 10.0% during the fifth year after the closing date of the Credit Agreement, with the remainder payable at final maturity. The Credit Agreement requires the Company to maintain a consolidated leverage ratio not exceeding 2.25 to 1.00 and a consolidated interest coverage ratio of no less than 3.00 to 1.00. As of March 31, 2022, the Company was in compliance with all covenants under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facilities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gridSpan w:val="2"/>
          </w:tcPr>
          <w:p>
            <w:pPr>
              <w:ind w:left="520"/>
              <w:spacing w:after="0"/>
              <w:rPr>
                <w:sz w:val="20"/>
                <w:szCs w:val="20"/>
                <w:color w:val="auto"/>
              </w:rPr>
            </w:pPr>
            <w:r>
              <w:rPr>
                <w:rFonts w:ascii="Arial" w:cs="Arial" w:eastAsia="Arial" w:hAnsi="Arial"/>
                <w:sz w:val="18"/>
                <w:szCs w:val="18"/>
                <w:b w:val="1"/>
                <w:bCs w:val="1"/>
                <w:color w:val="auto"/>
              </w:rPr>
              <w:t>Facility or</w:t>
            </w:r>
          </w:p>
        </w:tc>
        <w:tc>
          <w:tcPr>
            <w:tcW w:w="220" w:type="dxa"/>
            <w:vAlign w:val="bottom"/>
          </w:tcPr>
          <w:p>
            <w:pPr>
              <w:spacing w:after="0"/>
              <w:rPr>
                <w:sz w:val="19"/>
                <w:szCs w:val="19"/>
                <w:color w:val="auto"/>
              </w:rPr>
            </w:pPr>
          </w:p>
        </w:tc>
        <w:tc>
          <w:tcPr>
            <w:tcW w:w="1420" w:type="dxa"/>
            <w:vAlign w:val="bottom"/>
            <w:gridSpan w:val="3"/>
          </w:tcPr>
          <w:p>
            <w:pPr>
              <w:ind w:left="140"/>
              <w:spacing w:after="0"/>
              <w:rPr>
                <w:sz w:val="20"/>
                <w:szCs w:val="20"/>
                <w:color w:val="auto"/>
              </w:rPr>
            </w:pPr>
            <w:r>
              <w:rPr>
                <w:rFonts w:ascii="Arial" w:cs="Arial" w:eastAsia="Arial" w:hAnsi="Arial"/>
                <w:sz w:val="18"/>
                <w:szCs w:val="18"/>
                <w:b w:val="1"/>
                <w:bCs w:val="1"/>
                <w:color w:val="auto"/>
              </w:rPr>
              <w:t>Original</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 as of</w:t>
            </w:r>
          </w:p>
        </w:tc>
        <w:tc>
          <w:tcPr>
            <w:tcW w:w="26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as of</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74"/>
        </w:trPr>
        <w:tc>
          <w:tcPr>
            <w:tcW w:w="1960" w:type="dxa"/>
            <w:vAlign w:val="bottom"/>
            <w:gridSpan w:val="2"/>
          </w:tcPr>
          <w:p>
            <w:pPr>
              <w:ind w:left="400"/>
              <w:spacing w:after="0"/>
              <w:rPr>
                <w:sz w:val="20"/>
                <w:szCs w:val="20"/>
                <w:color w:val="auto"/>
              </w:rPr>
            </w:pPr>
            <w:r>
              <w:rPr>
                <w:rFonts w:ascii="Arial" w:cs="Arial" w:eastAsia="Arial" w:hAnsi="Arial"/>
                <w:sz w:val="18"/>
                <w:szCs w:val="18"/>
                <w:b w:val="1"/>
                <w:bCs w:val="1"/>
                <w:color w:val="auto"/>
              </w:rPr>
              <w:t>Arrangement</w:t>
            </w:r>
          </w:p>
        </w:tc>
        <w:tc>
          <w:tcPr>
            <w:tcW w:w="3120" w:type="dxa"/>
            <w:vAlign w:val="bottom"/>
            <w:gridSpan w:val="6"/>
          </w:tcPr>
          <w:p>
            <w:pPr>
              <w:jc w:val="center"/>
              <w:ind w:right="80"/>
              <w:spacing w:after="0" w:line="267" w:lineRule="exact"/>
              <w:rPr>
                <w:sz w:val="20"/>
                <w:szCs w:val="20"/>
                <w:color w:val="auto"/>
              </w:rPr>
            </w:pPr>
            <w:r>
              <w:rPr>
                <w:rFonts w:ascii="Arial" w:cs="Arial" w:eastAsia="Arial" w:hAnsi="Arial"/>
                <w:sz w:val="18"/>
                <w:szCs w:val="18"/>
                <w:b w:val="1"/>
                <w:bCs w:val="1"/>
                <w:color w:val="auto"/>
                <w:w w:val="90"/>
              </w:rPr>
              <w:t xml:space="preserve">Principal Amount March 31, 2022 </w:t>
            </w:r>
            <w:r>
              <w:rPr>
                <w:rFonts w:ascii="Arial" w:cs="Arial" w:eastAsia="Arial" w:hAnsi="Arial"/>
                <w:sz w:val="29"/>
                <w:szCs w:val="29"/>
                <w:color w:val="auto"/>
                <w:w w:val="90"/>
                <w:vertAlign w:val="superscript"/>
              </w:rPr>
              <w:t>(1)(2)</w:t>
            </w:r>
          </w:p>
        </w:tc>
        <w:tc>
          <w:tcPr>
            <w:tcW w:w="1920" w:type="dxa"/>
            <w:vAlign w:val="bottom"/>
            <w:gridSpan w:val="3"/>
          </w:tcPr>
          <w:p>
            <w:pPr>
              <w:spacing w:after="0" w:line="267" w:lineRule="exact"/>
              <w:rPr>
                <w:sz w:val="20"/>
                <w:szCs w:val="20"/>
                <w:color w:val="auto"/>
              </w:rPr>
            </w:pPr>
            <w:r>
              <w:rPr>
                <w:rFonts w:ascii="Arial" w:cs="Arial" w:eastAsia="Arial" w:hAnsi="Arial"/>
                <w:sz w:val="18"/>
                <w:szCs w:val="18"/>
                <w:b w:val="1"/>
                <w:bCs w:val="1"/>
                <w:color w:val="auto"/>
                <w:w w:val="88"/>
              </w:rPr>
              <w:t xml:space="preserve">December 31, 2021 </w:t>
            </w:r>
            <w:r>
              <w:rPr>
                <w:rFonts w:ascii="Arial" w:cs="Arial" w:eastAsia="Arial" w:hAnsi="Arial"/>
                <w:sz w:val="29"/>
                <w:szCs w:val="29"/>
                <w:color w:val="auto"/>
                <w:w w:val="88"/>
                <w:vertAlign w:val="superscript"/>
              </w:rPr>
              <w:t>(1)(2)</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3"/>
                <w:szCs w:val="23"/>
                <w:color w:val="auto"/>
              </w:rPr>
            </w:pPr>
          </w:p>
        </w:tc>
        <w:tc>
          <w:tcPr>
            <w:tcW w:w="2440" w:type="dxa"/>
            <w:vAlign w:val="bottom"/>
          </w:tcPr>
          <w:p>
            <w:pPr>
              <w:ind w:left="520"/>
              <w:spacing w:after="0"/>
              <w:rPr>
                <w:sz w:val="20"/>
                <w:szCs w:val="20"/>
                <w:color w:val="auto"/>
              </w:rPr>
            </w:pPr>
            <w:r>
              <w:rPr>
                <w:rFonts w:ascii="Arial" w:cs="Arial" w:eastAsia="Arial" w:hAnsi="Arial"/>
                <w:sz w:val="18"/>
                <w:szCs w:val="18"/>
                <w:b w:val="1"/>
                <w:bCs w:val="1"/>
                <w:color w:val="auto"/>
              </w:rPr>
              <w:t>Repayment Terms</w:t>
            </w:r>
          </w:p>
        </w:tc>
      </w:tr>
      <w:tr>
        <w:trPr>
          <w:trHeight w:val="198"/>
        </w:trPr>
        <w:tc>
          <w:tcPr>
            <w:tcW w:w="184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Credit Agreement term</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180"/>
              <w:spacing w:after="0" w:line="198" w:lineRule="exact"/>
              <w:rPr>
                <w:sz w:val="20"/>
                <w:szCs w:val="20"/>
                <w:color w:val="auto"/>
              </w:rPr>
            </w:pPr>
            <w:r>
              <w:rPr>
                <w:rFonts w:ascii="Arial" w:cs="Arial" w:eastAsia="Arial" w:hAnsi="Arial"/>
                <w:sz w:val="18"/>
                <w:szCs w:val="18"/>
                <w:color w:val="auto"/>
                <w:w w:val="92"/>
              </w:rPr>
              <w:t>400.0 million</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ind w:left="420"/>
              <w:spacing w:after="0" w:line="198" w:lineRule="exact"/>
              <w:rPr>
                <w:sz w:val="20"/>
                <w:szCs w:val="20"/>
                <w:color w:val="auto"/>
              </w:rPr>
            </w:pPr>
            <w:r>
              <w:rPr>
                <w:rFonts w:ascii="Arial" w:cs="Arial" w:eastAsia="Arial" w:hAnsi="Arial"/>
                <w:sz w:val="18"/>
                <w:szCs w:val="18"/>
                <w:color w:val="auto"/>
                <w:w w:val="92"/>
              </w:rPr>
              <w:t>300.0 million</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center"/>
              <w:ind w:left="530"/>
              <w:spacing w:after="0" w:line="198" w:lineRule="exact"/>
              <w:rPr>
                <w:sz w:val="20"/>
                <w:szCs w:val="20"/>
                <w:color w:val="auto"/>
              </w:rPr>
            </w:pPr>
            <w:r>
              <w:rPr>
                <w:rFonts w:ascii="Arial" w:cs="Arial" w:eastAsia="Arial" w:hAnsi="Arial"/>
                <w:sz w:val="18"/>
                <w:szCs w:val="18"/>
                <w:color w:val="auto"/>
                <w:w w:val="94"/>
              </w:rPr>
              <w:t>307.5 million</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91"/>
              </w:rPr>
              <w:t>Variable 30 day: 2.21%</w:t>
            </w:r>
          </w:p>
        </w:tc>
        <w:tc>
          <w:tcPr>
            <w:tcW w:w="1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35% of the principal amount is</w:t>
            </w:r>
          </w:p>
        </w:tc>
      </w:tr>
      <w:tr>
        <w:trPr>
          <w:trHeight w:val="220"/>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 facility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payable  in  increasing  quarterly</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installments  over  a  five-year</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period that began on June 30,</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2018, with the remainder payable</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at the end of the five-year term.</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Credit Agreement</w:t>
            </w:r>
          </w:p>
        </w:tc>
        <w:tc>
          <w:tcPr>
            <w:tcW w:w="2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center"/>
              <w:ind w:left="1050"/>
              <w:spacing w:after="0" w:line="198"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500"/>
              <w:spacing w:after="0" w:line="198" w:lineRule="exact"/>
              <w:rPr>
                <w:sz w:val="20"/>
                <w:szCs w:val="20"/>
                <w:color w:val="auto"/>
              </w:rPr>
            </w:pPr>
            <w:r>
              <w:rPr>
                <w:rFonts w:ascii="Arial" w:cs="Arial" w:eastAsia="Arial" w:hAnsi="Arial"/>
                <w:sz w:val="18"/>
                <w:szCs w:val="18"/>
                <w:color w:val="auto"/>
              </w:rPr>
              <w:t>70.0 million</w:t>
            </w:r>
          </w:p>
        </w:tc>
        <w:tc>
          <w:tcPr>
            <w:tcW w:w="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center"/>
              <w:ind w:left="450"/>
              <w:spacing w:after="0" w:line="198" w:lineRule="exact"/>
              <w:rPr>
                <w:sz w:val="20"/>
                <w:szCs w:val="20"/>
                <w:color w:val="auto"/>
              </w:rPr>
            </w:pPr>
            <w:r>
              <w:rPr>
                <w:rFonts w:ascii="Arial" w:cs="Arial" w:eastAsia="Arial" w:hAnsi="Arial"/>
                <w:sz w:val="18"/>
                <w:szCs w:val="18"/>
                <w:color w:val="auto"/>
                <w:w w:val="96"/>
              </w:rPr>
              <w:t>70.0 million</w:t>
            </w:r>
          </w:p>
        </w:tc>
        <w:tc>
          <w:tcPr>
            <w:tcW w:w="17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1"/>
              </w:rPr>
              <w:t>Variable 30 day: 2.15%</w:t>
            </w:r>
          </w:p>
        </w:tc>
        <w:tc>
          <w:tcPr>
            <w:tcW w:w="254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w w:val="99"/>
              </w:rPr>
              <w:t>Revolving line of credit expires</w:t>
            </w:r>
          </w:p>
        </w:tc>
      </w:tr>
      <w:tr>
        <w:trPr>
          <w:trHeight w:val="234"/>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revolving credit facility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18, 2023.</w:t>
            </w: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2022 and December 31, 2021, the current portion of the Company’s debt (i.e. becoming due in the next 12 months) included $40.0 million and $37.5 million, respectively, of the balance of its term loan under the Credit Agreement.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value of the debt reflects the amounts stated in the above table, less debt issuance costs of $1.0 million and $1.2 million as of March 31, 2022 and December 31, 2021, respectively, related to the Credit Agreement, which are not reflected in this table.</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2022, the weighted average remaining lease term was 8.0 and 3.5 years for operating and finance leases, respectively. As of March 31, 2022, the weighted average discount rate was 3.7% and 3.8% for operating and finance leases,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4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Variable lease cost</w:t>
            </w: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Sublease income</w:t>
            </w: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expense</w:t>
            </w: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lease expense</w:t>
            </w:r>
          </w:p>
        </w:tc>
        <w:tc>
          <w:tcPr>
            <w:tcW w:w="4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4540" w:type="dxa"/>
            <w:vAlign w:val="bottom"/>
            <w:vMerge w:val="restart"/>
          </w:tcPr>
          <w:p>
            <w:pPr>
              <w:jc w:val="right"/>
              <w:ind w:right="2936"/>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14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outflow from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cash outflow from finance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cash outflow from 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10,891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24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Finance</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Leases</w:t>
            </w:r>
          </w:p>
        </w:tc>
        <w:tc>
          <w:tcPr>
            <w:tcW w:w="2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2023</w:t>
            </w: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28,298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2025</w:t>
            </w: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49,766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Finance charges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additional lease liabilities of $0.1 million which have not yet commenced as of March 31, 2022, and as such, have not been recognized on the consolidated balance sheets.</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March 31, 2022 and 2021, the only dilutive common shares outstanding relate to the Company’s outstanding stock awards and options. For the three-month periods ended March 31, 2022 and 2021, stock options of 0.1 million and 0.1 million, respectively, were excluded from the calculation of diluted earnings per share because they were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2022, the Company’s board of directors declared a quarterly cash dividend of $0.385 per share. This quarterly cash dividend of $19.3 million was paid on March 9, 2022 to stockholders of record on February 28, 2022. In May 2022, the board of directors declared a quarterly cash dividend of $0.385 per share to be paid on June 8, 2022 to stockholders of record on May 27,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three-month periods ended March 31, 2022 and 2021, the Company repurchased 0.2 million shares and 1.0 million shares of its Class A common stock under its stock repurchase plans for $10.0 million and $50.4 million, respectively. As of March 31, 2022, $235.4 million was available for repurchases under the Company’s stock repurchase plan.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Equity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57" w:lineRule="exact"/>
        <w:rPr>
          <w:sz w:val="20"/>
          <w:szCs w:val="20"/>
          <w:color w:val="auto"/>
        </w:rPr>
      </w:pPr>
    </w:p>
    <w:p>
      <w:pPr>
        <w:ind w:left="660" w:right="2280"/>
        <w:spacing w:after="0" w:line="258"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and Level 3 – unobservable inputs based on the Company’s own assumptions.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hierarchy for those assets and liabilities measured at fair value on a recurring basis (U.S.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5"/>
              </w:rPr>
              <w:t>Fair Value at March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57,647</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14,664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14,664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(10,226)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w w:val="94"/>
              </w:rPr>
              <w:t>Fair Value at December 31,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8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66,477</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(10,341)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(10,341)</w:t>
            </w:r>
          </w:p>
        </w:tc>
      </w:tr>
      <w:tr>
        <w:trPr>
          <w:trHeight w:val="256"/>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280" w:type="dxa"/>
            <w:vAlign w:val="bottom"/>
          </w:tcPr>
          <w:p>
            <w:pPr>
              <w:spacing w:after="0"/>
              <w:rPr>
                <w:sz w:val="24"/>
                <w:szCs w:val="24"/>
                <w:color w:val="auto"/>
              </w:rPr>
            </w:pPr>
          </w:p>
        </w:tc>
        <w:tc>
          <w:tcPr>
            <w:tcW w:w="1700" w:type="dxa"/>
            <w:vAlign w:val="bottom"/>
          </w:tcPr>
          <w:p>
            <w:pPr>
              <w:jc w:val="right"/>
              <w:ind w:right="199"/>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life insurance contracts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and issuances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Sales and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(7,016)</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into Level 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at March 31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46,450</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46,606</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Life insurance contracts: </w:t>
      </w:r>
      <w:r>
        <w:rPr>
          <w:rFonts w:ascii="Arial" w:cs="Arial" w:eastAsia="Arial" w:hAnsi="Arial"/>
          <w:sz w:val="18"/>
          <w:szCs w:val="18"/>
          <w:color w:val="auto"/>
        </w:rPr>
        <w:t>ASC 820 preserves practicability exceptions to fair value measurements provided by other applicable provisions of U.S. GAAP.</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contingent consideration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Additions from acquisitions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balance at March 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Contingent consideration: </w:t>
      </w:r>
      <w:r>
        <w:rPr>
          <w:rFonts w:ascii="Arial" w:cs="Arial" w:eastAsia="Arial" w:hAnsi="Arial"/>
          <w:sz w:val="17"/>
          <w:szCs w:val="17"/>
          <w:color w:val="auto"/>
        </w:rPr>
        <w:t>Contingent consideration represents the obligations incurred in connection with acquisitions. The estimate of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March 31, 2022 and December 31, 2021.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2021 gain was recorded within Other income (expense), net on the Consolidated Statement of Comprehensive Operations. The upward fair value adjustment represents a nonrecurring fair value measurement based on observable price changes and is classified as a Level 3 fair value measurement.</w:t>
      </w:r>
    </w:p>
    <w:p>
      <w:pPr>
        <w:spacing w:after="0" w:line="17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taxes for the first quarter of 2022 was $12.0 million, compared to $17.1 million for the prior-year period. The effective tax rates for the first quarter 2022 was 23.6% of pre-tax income compared to 26.5% in the prior-year period.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$22.0 million and $24.1 million as of March 31, 2022 and December 31, 2021,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2021. If the amount designated as indefinitely reinvested as of December 31, 2021 was repatriated to the United States, the amount of incremental taxes would be approximately $6.0 million. The Company intends to utilize the indefinitely reinvested offshore earnings to fund foreign investments, specifically capital expenditures.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2021, tax years through 2020 have been audited and are effectively closed to further examination. For tax years 2021 and 2022, the Company is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The Company may elect to continue participating in CAP for future tax years; the Company may withdraw from the program at any time. With a few exceptions, the Company is no longer subject to state and local income tax examination by tax authorities for the years before 2018. In major foreign jurisdictions, the Company is generally no longer subject to income tax examinations for years before 2016. However, statutes of limitations in certain countries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$1.0 to $2.0 million.</w:t>
      </w:r>
    </w:p>
    <w:p>
      <w:pPr>
        <w:spacing w:after="0" w:line="18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Objective of Using Derivatives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2022, such derivatives were used to hedge the variable cash flows associated with existing variable-rate debt.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$3.2 million will be reclassified as a reduction to interest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the Company had four outstanding interest rate derivatives that were designated as cash flow hedges of interest rate risk with a total notional amount of $200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 Instruments on the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Fair Values of</w:t>
            </w:r>
          </w:p>
        </w:tc>
      </w:tr>
      <w:tr>
        <w:trPr>
          <w:trHeight w:val="241"/>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Derivative Instruments</w:t>
            </w:r>
          </w:p>
        </w:tc>
      </w:tr>
      <w:tr>
        <w:trPr>
          <w:trHeight w:val="198"/>
        </w:trPr>
        <w:tc>
          <w:tcPr>
            <w:tcW w:w="45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Derivatives in Cash flow</w:t>
            </w:r>
          </w:p>
        </w:tc>
        <w:tc>
          <w:tcPr>
            <w:tcW w:w="44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March 31,</w:t>
            </w:r>
          </w:p>
        </w:tc>
        <w:tc>
          <w:tcPr>
            <w:tcW w:w="11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7"/>
                <w:szCs w:val="17"/>
                <w:color w:val="auto"/>
              </w:rPr>
            </w:pPr>
          </w:p>
        </w:tc>
      </w:t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Hedging Relationships:</w:t>
            </w:r>
          </w:p>
        </w:tc>
        <w:tc>
          <w:tcPr>
            <w:tcW w:w="4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 - Asset</w:t>
            </w: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Prepaid expenses and other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Interest Rate Swap - Asset</w:t>
            </w: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6,033</w:t>
            </w:r>
          </w:p>
        </w:tc>
        <w:tc>
          <w:tcPr>
            <w:tcW w:w="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Cash Flow Hedge Accounting on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 of cash flow hedge accounting on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Amount of Gain (Loss)</w:t>
            </w:r>
          </w:p>
        </w:tc>
      </w:tr>
      <w:tr>
        <w:trPr>
          <w:trHeight w:val="241"/>
        </w:trPr>
        <w:tc>
          <w:tcPr>
            <w:tcW w:w="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Recognized in OCI on Derivatives</w:t>
            </w:r>
          </w:p>
        </w:tc>
      </w:tr>
      <w:tr>
        <w:trPr>
          <w:trHeight w:val="198"/>
        </w:trPr>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6"/>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7"/>
                <w:szCs w:val="17"/>
                <w:color w:val="auto"/>
              </w:rPr>
            </w:pPr>
          </w:p>
        </w:tc>
      </w:tr>
      <w:tr>
        <w:trPr>
          <w:trHeight w:val="241"/>
        </w:trPr>
        <w:tc>
          <w:tcPr>
            <w:tcW w:w="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40" w:type="dxa"/>
            <w:vAlign w:val="bottom"/>
            <w:gridSpan w:val="4"/>
          </w:tcPr>
          <w:p>
            <w:pPr>
              <w:jc w:val="center"/>
              <w:ind w:right="2860"/>
              <w:spacing w:after="0"/>
              <w:rPr>
                <w:sz w:val="20"/>
                <w:szCs w:val="20"/>
                <w:color w:val="auto"/>
              </w:rPr>
            </w:pPr>
            <w:r>
              <w:rPr>
                <w:rFonts w:ascii="Arial" w:cs="Arial" w:eastAsia="Arial" w:hAnsi="Arial"/>
                <w:sz w:val="18"/>
                <w:szCs w:val="18"/>
                <w:b w:val="1"/>
                <w:bCs w:val="1"/>
                <w:color w:val="auto"/>
                <w:w w:val="89"/>
              </w:rPr>
              <w:t>Derivatives in Cash flow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4"/>
          </w:tcPr>
          <w:p>
            <w:pPr>
              <w:jc w:val="center"/>
              <w:ind w:right="2860"/>
              <w:spacing w:after="0"/>
              <w:rPr>
                <w:sz w:val="20"/>
                <w:szCs w:val="20"/>
                <w:color w:val="auto"/>
              </w:rPr>
            </w:pPr>
            <w:r>
              <w:rPr>
                <w:rFonts w:ascii="Arial" w:cs="Arial" w:eastAsia="Arial" w:hAnsi="Arial"/>
                <w:sz w:val="18"/>
                <w:szCs w:val="18"/>
                <w:b w:val="1"/>
                <w:bCs w:val="1"/>
                <w:color w:val="auto"/>
                <w:w w:val="88"/>
              </w:rPr>
              <w:t>Hedging Relationships:</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40" w:type="dxa"/>
            <w:vAlign w:val="bottom"/>
          </w:tcPr>
          <w:p>
            <w:pPr>
              <w:spacing w:after="0"/>
              <w:rPr>
                <w:sz w:val="18"/>
                <w:szCs w:val="18"/>
                <w:color w:val="auto"/>
              </w:rPr>
            </w:pPr>
          </w:p>
        </w:tc>
      </w:tr>
      <w:tr>
        <w:trPr>
          <w:trHeight w:val="414"/>
        </w:trPr>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1"/>
              </w:rPr>
              <w:t>Amount of Gain (Loss)</w:t>
            </w:r>
          </w:p>
        </w:tc>
      </w:tr>
      <w:tr>
        <w:trPr>
          <w:trHeight w:val="216"/>
        </w:trPr>
        <w:tc>
          <w:tcPr>
            <w:tcW w:w="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8"/>
              </w:rPr>
              <w:t>Reclassified from Accumulated</w:t>
            </w:r>
          </w:p>
        </w:tc>
      </w:tr>
      <w:tr>
        <w:trPr>
          <w:trHeight w:val="241"/>
        </w:trPr>
        <w:tc>
          <w:tcPr>
            <w:tcW w:w="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9"/>
              </w:rPr>
              <w:t>Other Comprehensive Loss into Income</w:t>
            </w:r>
          </w:p>
        </w:tc>
      </w:tr>
      <w:tr>
        <w:trPr>
          <w:trHeight w:val="198"/>
        </w:trPr>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6"/>
          </w:tcPr>
          <w:p>
            <w:pPr>
              <w:jc w:val="center"/>
              <w:ind w:right="45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7"/>
                <w:szCs w:val="17"/>
                <w:color w:val="auto"/>
              </w:rPr>
            </w:pPr>
          </w:p>
        </w:tc>
      </w:tr>
      <w:tr>
        <w:trPr>
          <w:trHeight w:val="241"/>
        </w:trPr>
        <w:tc>
          <w:tcPr>
            <w:tcW w:w="440" w:type="dxa"/>
            <w:vAlign w:val="bottom"/>
          </w:tcPr>
          <w:p>
            <w:pPr>
              <w:spacing w:after="0"/>
              <w:rPr>
                <w:sz w:val="20"/>
                <w:szCs w:val="20"/>
                <w:color w:val="auto"/>
              </w:rPr>
            </w:pPr>
          </w:p>
        </w:tc>
        <w:tc>
          <w:tcPr>
            <w:tcW w:w="274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Derivatives in Cash flow</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 Statement</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left="29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40" w:type="dxa"/>
            <w:vAlign w:val="bottom"/>
          </w:tcPr>
          <w:p>
            <w:pPr>
              <w:spacing w:after="0"/>
              <w:rPr>
                <w:sz w:val="19"/>
                <w:szCs w:val="19"/>
                <w:color w:val="auto"/>
              </w:rPr>
            </w:pPr>
          </w:p>
        </w:tc>
        <w:tc>
          <w:tcPr>
            <w:tcW w:w="274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Hedging Relationships: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2021</w:t>
            </w:r>
          </w:p>
        </w:tc>
        <w:tc>
          <w:tcPr>
            <w:tcW w:w="40" w:type="dxa"/>
            <w:vAlign w:val="bottom"/>
          </w:tcPr>
          <w:p>
            <w:pPr>
              <w:spacing w:after="0"/>
              <w:rPr>
                <w:sz w:val="19"/>
                <w:szCs w:val="19"/>
                <w:color w:val="auto"/>
              </w:rPr>
            </w:pPr>
          </w:p>
        </w:tc>
      </w:tr>
      <w:tr>
        <w:trPr>
          <w:trHeight w:val="216"/>
        </w:trPr>
        <w:tc>
          <w:tcPr>
            <w:tcW w:w="3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740" w:type="dxa"/>
            <w:vAlign w:val="bottom"/>
          </w:tcPr>
          <w:p>
            <w:pPr>
              <w:ind w:left="220"/>
              <w:spacing w:after="0"/>
              <w:rPr>
                <w:sz w:val="20"/>
                <w:szCs w:val="20"/>
                <w:color w:val="auto"/>
              </w:rPr>
            </w:pPr>
            <w:r>
              <w:rPr>
                <w:rFonts w:ascii="Arial" w:cs="Arial" w:eastAsia="Arial" w:hAnsi="Arial"/>
                <w:sz w:val="18"/>
                <w:szCs w:val="18"/>
                <w:b w:val="1"/>
                <w:bCs w:val="1"/>
                <w:color w:val="auto"/>
              </w:rPr>
              <w:t>Segment Information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2"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The Company reports revenue from nine segments, consisting of its seven geographic Nu Skin segments—Mainland China, Americas, South Korea, Southeast Asia/Pacific, Japan, EMEA,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spacing w:after="0" w:line="17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Prior year segment information has been recast to reflect the move of the Pacific components from the “America/Pacific” operating segment to the “Southeast Asia/Pacific” operating segment to comply with current segment presentation. Prior year segment information has also been recast to reflect the fourth quarter 2021 exit of the Grow Tech segment, which has been recast to Corporate and other expenses.Consolidated financial information is not affected.</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i w:val="1"/>
                <w:iCs w:val="1"/>
                <w:color w:val="auto"/>
              </w:rPr>
              <w:t>Revenue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133,761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81,131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76,180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36,345</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564,317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631,041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Manufacturing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45,985</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604,899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677,026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Rhyz Investments Manufacturing segment had $14.6 million and $17.4 million of intersegment revenue for the three-month period ended March 31, 2022 and 2021, respectively. Intersegment revenue is eliminated in the consolidated financial statements, as well as the reported segment revenue in the table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Segment Contribution</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4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4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39,439</w:t>
            </w:r>
          </w:p>
        </w:tc>
      </w:tr>
      <w:tr>
        <w:trPr>
          <w:trHeight w:val="216"/>
        </w:trPr>
        <w:tc>
          <w:tcPr>
            <w:tcW w:w="4280" w:type="dxa"/>
            <w:vAlign w:val="bottom"/>
          </w:tcPr>
          <w:p>
            <w:pPr>
              <w:ind w:left="340"/>
              <w:spacing w:after="0"/>
              <w:rPr>
                <w:sz w:val="20"/>
                <w:szCs w:val="20"/>
                <w:color w:val="auto"/>
              </w:rPr>
            </w:pPr>
            <w:r>
              <w:rPr>
                <w:rFonts w:ascii="Arial" w:cs="Arial" w:eastAsia="Arial" w:hAnsi="Arial"/>
                <w:sz w:val="18"/>
                <w:szCs w:val="18"/>
                <w:color w:val="auto"/>
              </w:rPr>
              <w:t>Americas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28,745</w:t>
            </w:r>
          </w:p>
        </w:tc>
      </w:tr>
      <w:tr>
        <w:trPr>
          <w:trHeight w:val="216"/>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19,648</w:t>
            </w:r>
          </w:p>
        </w:tc>
      </w:tr>
      <w:tr>
        <w:trPr>
          <w:trHeight w:val="216"/>
        </w:trPr>
        <w:tc>
          <w:tcPr>
            <w:tcW w:w="42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26,525</w:t>
            </w:r>
          </w:p>
        </w:tc>
      </w:tr>
      <w:tr>
        <w:trPr>
          <w:trHeight w:val="216"/>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17,981</w:t>
            </w:r>
          </w:p>
        </w:tc>
      </w:tr>
      <w:tr>
        <w:trPr>
          <w:trHeight w:val="216"/>
        </w:trPr>
        <w:tc>
          <w:tcPr>
            <w:tcW w:w="4280" w:type="dxa"/>
            <w:vAlign w:val="bottom"/>
          </w:tcPr>
          <w:p>
            <w:pPr>
              <w:ind w:left="340"/>
              <w:spacing w:after="0"/>
              <w:rPr>
                <w:sz w:val="20"/>
                <w:szCs w:val="20"/>
                <w:color w:val="auto"/>
              </w:rPr>
            </w:pPr>
            <w:r>
              <w:rPr>
                <w:rFonts w:ascii="Arial" w:cs="Arial" w:eastAsia="Arial" w:hAnsi="Arial"/>
                <w:sz w:val="18"/>
                <w:szCs w:val="18"/>
                <w:color w:val="auto"/>
              </w:rPr>
              <w:t>EMEA</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8,896</w:t>
            </w:r>
          </w:p>
        </w:tc>
      </w:tr>
      <w:tr>
        <w:trPr>
          <w:trHeight w:val="223"/>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4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i w:val="1"/>
                <w:iCs w:val="1"/>
                <w:color w:val="auto"/>
              </w:rPr>
              <w:t>Nu Skin contribution</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148,582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5,826</w:t>
            </w:r>
          </w:p>
        </w:tc>
      </w:tr>
      <w:tr>
        <w:trPr>
          <w:trHeight w:val="223"/>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4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Total Rhyz Investments</w:t>
            </w:r>
          </w:p>
        </w:tc>
        <w:tc>
          <w:tcPr>
            <w:tcW w:w="44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contribution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154,408</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Corporate and other</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(78,207)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(91,495)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52,145</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62,913</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(1,453)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r>
      <w:tr>
        <w:trPr>
          <w:trHeight w:val="25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280" w:type="dxa"/>
            <w:vAlign w:val="bottom"/>
          </w:tcPr>
          <w:p>
            <w:pPr>
              <w:spacing w:after="0"/>
              <w:rPr>
                <w:sz w:val="24"/>
                <w:szCs w:val="24"/>
                <w:color w:val="auto"/>
              </w:rPr>
            </w:pPr>
          </w:p>
        </w:tc>
        <w:tc>
          <w:tcPr>
            <w:tcW w:w="4400" w:type="dxa"/>
            <w:vAlign w:val="bottom"/>
          </w:tcPr>
          <w:p>
            <w:pPr>
              <w:jc w:val="right"/>
              <w:ind w:right="2899"/>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5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Americas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EMEA</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5,050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3,922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Capital Expenditures</w:t>
            </w:r>
          </w:p>
        </w:tc>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900" w:type="dxa"/>
            <w:vAlign w:val="bottom"/>
            <w:gridSpan w:val="2"/>
            <w:vMerge w:val="continue"/>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5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Americas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EMEA</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5,196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780" w:type="dxa"/>
            <w:vAlign w:val="bottom"/>
            <w:vMerge w:val="restart"/>
          </w:tcPr>
          <w:p>
            <w:pPr>
              <w:jc w:val="right"/>
              <w:ind w:right="2894"/>
              <w:spacing w:after="0"/>
              <w:rPr>
                <w:sz w:val="20"/>
                <w:szCs w:val="20"/>
                <w:color w:val="auto"/>
              </w:rPr>
            </w:pPr>
            <w:r>
              <w:rPr>
                <w:rFonts w:ascii="Arial" w:cs="Arial" w:eastAsia="Arial" w:hAnsi="Arial"/>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8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90" w:lineRule="auto"/>
        <w:tabs>
          <w:tab w:leader="none" w:pos="2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5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2021, the Company acquired 100% ownership in MyFavoriteThings, Inc. (“Mavely”), making Mavely a wholly owned subsidiary of the Company. The acquisition enables the Company to continue to expand its digital tools. The purchase price for Mavely was $16.8 million, net of cash acquired of $0.4 million and $0.9 million to be paid within six months, all payable in cash. In addition, there is potential for an incremental $24.0 million in contingent consideration, which becomes payable if certain revenue and profitability targets are reached in 2021, 2022 and 2023. The fair value of the contingent consideration recorded on the acquisition date was $8.7 million. The Company allocated the gross purchase price of $29.4 million to the assets acquired and liabilities assumed at estimated fair values. The estimated fair value of assets acquired included $16.4 million of intangible assets, $0.4 million of cash, $0.1 million of accounts receivable, and also resulted in a deferred tax liability of $3.5 million. The excess purchase price over the aggregate fair value of assets acquired less liabilities assumed of $12.6 million was recorded as goodwill. The goodwill recognized is attributable primarily to expected synergies. None of the goodwill is expected to be deductible for income tax purposes. The intangible assets acquired were comprised of $2.0 million for customer relationships, $11.3 million for technology, $2.8 million for trademarks and $0.3 million for other intangibles. The intangibles were assigned useful lives of 8 years for the technology and tradename, approximately 4 years for the customer relationships and 3 years for the other intangibles. All the goodwill was assigned to our Rhyz other segment. The allocation of the fair value of assets acquired and liabilities assumed for the acquisition was finalized during the three months ended September 30, 2021.</w:t>
      </w:r>
    </w:p>
    <w:p>
      <w:pPr>
        <w:spacing w:after="0" w:line="18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fourth quarter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has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As of December 31, 2021, the $20.0 million liability related to the cash charges was recorded within Accrued expenses. During the first quarter of 2022, the Company made cash payments of $11.6 million, leaving an ending restructuring accrual of $8.3 million as of March 31, 2022. The Company expects to pay out the remaining liability in the first half of 2022. The restructuring charges were recorded in the previous Grow Tech segment, which in the current year has been recast to Corporate and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2021 fiscal year and in our subsequent quarterly and other reports, including this Quarterly Report.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2021 fiscal year, and our other reports filed with the Securities and Exchange Commission through the date of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three-month period ended March 31, 2022 decreased 11% to $604.9 million, compared to $677.0 million in the prior-year period. Our revenue in the first quarter of 2022 was negatively impacted 3% from foreign-currency fluctuations. Our Customers, Paid Affiliates and Sales Leaders declined 13%, 14% and 22%, respectively, on a year-over-year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declines for the three-month period ended March 31, 2022 were largely driven by COVID-related lockdowns and other factors in our eastern markets along with the continued softening in EMEA. We are looking forward to our product launches, specifically the expected launch of the </w:t>
      </w:r>
      <w:r>
        <w:rPr>
          <w:rFonts w:ascii="Arial" w:cs="Arial" w:eastAsia="Arial" w:hAnsi="Arial"/>
          <w:sz w:val="18"/>
          <w:szCs w:val="18"/>
          <w:i w:val="1"/>
          <w:iCs w:val="1"/>
          <w:color w:val="auto"/>
        </w:rPr>
        <w:t>ageLOC LumiSpa iO</w:t>
      </w:r>
      <w:r>
        <w:rPr>
          <w:rFonts w:ascii="Arial" w:cs="Arial" w:eastAsia="Arial" w:hAnsi="Arial"/>
          <w:sz w:val="18"/>
          <w:szCs w:val="18"/>
          <w:color w:val="auto"/>
        </w:rPr>
        <w:t xml:space="preserve"> in the back half of the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per share for the first quarter of 2022 decreased 16% to $0.76, compared to $0.91 in the prior-year period. The decrease in earnings per share for the quarter is primarily driven by the decline in revenue along with decline in gross margin from sales promotions.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report our business in nine segments to reflect our current management approach. These segments consist of our seven geographic Nu Skin segments—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Mainland China, Americas, Southeast Asia/Pacific, South Korea, Japan, EMEA and Hong Kong/Taiwan —and our Rhyz Investment segments—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and Rhyz other. The Nu Skin Other category includes miscellaneous corporate revenue and related adjustments.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revenue for the three-month periods ended March 31, 2022 and 2021 for each of our reportable segments (U.S.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Constant-Currency</w:t>
            </w:r>
          </w:p>
        </w:tc>
      </w:tr>
      <w:tr>
        <w:trPr>
          <w:trHeight w:val="223"/>
        </w:trPr>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Change</w:t>
            </w:r>
          </w:p>
        </w:tc>
        <w:tc>
          <w:tcPr>
            <w:tcW w:w="1700" w:type="dxa"/>
            <w:vAlign w:val="bottom"/>
            <w:gridSpan w:val="2"/>
          </w:tcPr>
          <w:p>
            <w:pPr>
              <w:jc w:val="right"/>
              <w:ind w:right="580"/>
              <w:spacing w:after="0" w:line="216"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5"/>
                <w:szCs w:val="25"/>
                <w:b w:val="1"/>
                <w:bCs w:val="1"/>
                <w:color w:val="auto"/>
                <w:vertAlign w:val="superscript"/>
              </w:rPr>
              <w:t>(1)</w:t>
            </w:r>
          </w:p>
        </w:tc>
      </w:tr>
      <w:tr>
        <w:trPr>
          <w:trHeight w:val="216"/>
        </w:trPr>
        <w:tc>
          <w:tcPr>
            <w:tcW w:w="554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149,593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133,761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83,289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81,131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69,864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76,180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564,317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631,041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54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Manufacturing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Rhyz 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604,899</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677,026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
        </w:trPr>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sets forth segment contribution for the three-month periods ended March 31, 2022 and 2021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Prior year segment contribution has been recast for the fourth quarter of 2021 exit of the Grow Tech segment, the $6.1 million of expense has been recast to Corporate and other. For additional information regarding our segments and the calculation of segment contribution, see Note 10 to the consolidated financial statements contained in this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76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3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Mainland China</w:t>
            </w:r>
          </w:p>
        </w:tc>
        <w:tc>
          <w:tcPr>
            <w:tcW w:w="3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760" w:type="dxa"/>
            <w:vAlign w:val="bottom"/>
          </w:tcPr>
          <w:p>
            <w:pPr>
              <w:ind w:left="340"/>
              <w:spacing w:after="0"/>
              <w:rPr>
                <w:sz w:val="20"/>
                <w:szCs w:val="20"/>
                <w:color w:val="auto"/>
              </w:rPr>
            </w:pPr>
            <w:r>
              <w:rPr>
                <w:rFonts w:ascii="Arial" w:cs="Arial" w:eastAsia="Arial" w:hAnsi="Arial"/>
                <w:sz w:val="18"/>
                <w:szCs w:val="18"/>
                <w:color w:val="auto"/>
              </w:rPr>
              <w:t>Americas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25,123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28,745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376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22,743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26,525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760" w:type="dxa"/>
            <w:vAlign w:val="bottom"/>
          </w:tcPr>
          <w:p>
            <w:pPr>
              <w:ind w:left="340"/>
              <w:spacing w:after="0"/>
              <w:rPr>
                <w:sz w:val="20"/>
                <w:szCs w:val="20"/>
                <w:color w:val="auto"/>
              </w:rPr>
            </w:pPr>
            <w:r>
              <w:rPr>
                <w:rFonts w:ascii="Arial" w:cs="Arial" w:eastAsia="Arial" w:hAnsi="Arial"/>
                <w:sz w:val="18"/>
                <w:szCs w:val="18"/>
                <w:color w:val="auto"/>
              </w:rPr>
              <w:t>EMEA</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3,836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7"/>
        </w:trPr>
        <w:tc>
          <w:tcPr>
            <w:tcW w:w="376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i w:val="1"/>
                <w:iCs w:val="1"/>
                <w:color w:val="auto"/>
              </w:rPr>
              <w:t>Total Nu Skin</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148,582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6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3,292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7"/>
        </w:trPr>
        <w:tc>
          <w:tcPr>
            <w:tcW w:w="376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i w:val="1"/>
                <w:iCs w:val="1"/>
                <w:color w:val="auto"/>
              </w:rPr>
              <w:t>Total Rhyz Investments</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554"/>
        </w:trPr>
        <w:tc>
          <w:tcPr>
            <w:tcW w:w="3760" w:type="dxa"/>
            <w:vAlign w:val="bottom"/>
          </w:tcPr>
          <w:p>
            <w:pPr>
              <w:spacing w:after="0"/>
              <w:rPr>
                <w:sz w:val="24"/>
                <w:szCs w:val="24"/>
                <w:color w:val="auto"/>
              </w:rPr>
            </w:pPr>
          </w:p>
        </w:tc>
        <w:tc>
          <w:tcPr>
            <w:tcW w:w="3520" w:type="dxa"/>
            <w:vAlign w:val="bottom"/>
          </w:tcPr>
          <w:p>
            <w:pPr>
              <w:jc w:val="right"/>
              <w:ind w:right="1499"/>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76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provides information concerning the number of Customers, Paid Affiliates and Sales Leaders in our core Nu Skin business for the three-month periods ended March 31, 2022 and 2021. As we continue to focus on customer acquisition, our Paid Affiliates, who primarily share products, are a bridge to attracting new customers and nurturing relationships and community. Paid Affiliates power our social commerce model and this is an important indicator of consumer purchasing activity in our business. During the first quarter of 2022, in connection with the introduction of the new metric Paid Affiliates, we reviewed how we currently present Sales Leaders and adjusted that metric’s definition to what we believe provides a better insight into the trends of our business. The definition of our Customer metric remained unchanged. We have recast the 2021 Sales Leaders to the new definition. Except as discussed below regarding our Southeast Asia/Pacific segment, the trends under the new definition were materially consistent with those under the previous definition.</w:t>
      </w:r>
    </w:p>
    <w:p>
      <w:pPr>
        <w:spacing w:after="0" w:line="192" w:lineRule="exact"/>
        <w:rPr>
          <w:sz w:val="20"/>
          <w:szCs w:val="20"/>
          <w:color w:val="auto"/>
        </w:rPr>
      </w:pPr>
    </w:p>
    <w:p>
      <w:pPr>
        <w:jc w:val="both"/>
        <w:ind w:left="660" w:hanging="328"/>
        <w:spacing w:after="0" w:line="263" w:lineRule="auto"/>
        <w:tabs>
          <w:tab w:leader="none" w:pos="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products directly from members of our sales force.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“Paid Affiliates” are any Brand Affiliates, as well as sales employees and independent marketers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Leaders” are the three-month average of our monthly Brand Affiliates, as well as sales employees and independent marketers in Mainland China, who had achieved certain qualification requirements as of the end of each month of the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Customers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00" w:type="dxa"/>
            <w:vAlign w:val="bottom"/>
          </w:tcPr>
          <w:p>
            <w:pPr>
              <w:jc w:val="right"/>
              <w:spacing w:after="0"/>
              <w:rPr>
                <w:sz w:val="20"/>
                <w:szCs w:val="20"/>
                <w:color w:val="auto"/>
              </w:rPr>
            </w:pPr>
            <w:r>
              <w:rPr>
                <w:rFonts w:ascii="Arial" w:cs="Arial" w:eastAsia="Arial" w:hAnsi="Arial"/>
                <w:sz w:val="18"/>
                <w:szCs w:val="18"/>
                <w:color w:val="auto"/>
              </w:rPr>
              <w:t>318,458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374,867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South Korea</w:t>
            </w:r>
          </w:p>
        </w:tc>
        <w:tc>
          <w:tcPr>
            <w:tcW w:w="1100" w:type="dxa"/>
            <w:vAlign w:val="bottom"/>
          </w:tcPr>
          <w:p>
            <w:pPr>
              <w:jc w:val="right"/>
              <w:spacing w:after="0"/>
              <w:rPr>
                <w:sz w:val="20"/>
                <w:szCs w:val="20"/>
                <w:color w:val="auto"/>
              </w:rPr>
            </w:pPr>
            <w:r>
              <w:rPr>
                <w:rFonts w:ascii="Arial" w:cs="Arial" w:eastAsia="Arial" w:hAnsi="Arial"/>
                <w:sz w:val="18"/>
                <w:szCs w:val="18"/>
                <w:color w:val="auto"/>
              </w:rPr>
              <w:t>140,648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152,390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Japan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EMEA</w:t>
            </w:r>
          </w:p>
        </w:tc>
        <w:tc>
          <w:tcPr>
            <w:tcW w:w="1100" w:type="dxa"/>
            <w:vAlign w:val="bottom"/>
          </w:tcPr>
          <w:p>
            <w:pPr>
              <w:jc w:val="right"/>
              <w:spacing w:after="0"/>
              <w:rPr>
                <w:sz w:val="20"/>
                <w:szCs w:val="20"/>
                <w:color w:val="auto"/>
              </w:rPr>
            </w:pPr>
            <w:r>
              <w:rPr>
                <w:rFonts w:ascii="Arial" w:cs="Arial" w:eastAsia="Arial" w:hAnsi="Arial"/>
                <w:sz w:val="18"/>
                <w:szCs w:val="18"/>
                <w:color w:val="auto"/>
              </w:rPr>
              <w:t>216,037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296,001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66,042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1,321,451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1,517,260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Paid Affiliates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Mainland China</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46,281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52,767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49,328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51,006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EMEA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33,834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43,696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17,885</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251,436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291,452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6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680" w:type="dxa"/>
            <w:vAlign w:val="bottom"/>
          </w:tcPr>
          <w:p>
            <w:pPr>
              <w:ind w:left="60"/>
              <w:spacing w:after="0"/>
              <w:rPr>
                <w:sz w:val="20"/>
                <w:szCs w:val="20"/>
                <w:color w:val="auto"/>
              </w:rPr>
            </w:pPr>
            <w:r>
              <w:rPr>
                <w:rFonts w:ascii="Arial" w:cs="Arial" w:eastAsia="Arial" w:hAnsi="Arial"/>
                <w:sz w:val="18"/>
                <w:szCs w:val="18"/>
                <w:b w:val="1"/>
                <w:bCs w:val="1"/>
                <w:color w:val="auto"/>
              </w:rPr>
              <w:t>Sales Leaders</w:t>
            </w:r>
          </w:p>
        </w:tc>
        <w:tc>
          <w:tcPr>
            <w:tcW w:w="360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Mainland China</w:t>
            </w:r>
          </w:p>
        </w:tc>
        <w:tc>
          <w:tcPr>
            <w:tcW w:w="3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23,013</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9,547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6,072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5,977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EMEA</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5,455</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66,904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569"/>
        </w:trPr>
        <w:tc>
          <w:tcPr>
            <w:tcW w:w="3680" w:type="dxa"/>
            <w:vAlign w:val="bottom"/>
          </w:tcPr>
          <w:p>
            <w:pPr>
              <w:spacing w:after="0"/>
              <w:rPr>
                <w:sz w:val="24"/>
                <w:szCs w:val="24"/>
                <w:color w:val="auto"/>
              </w:rPr>
            </w:pPr>
          </w:p>
        </w:tc>
        <w:tc>
          <w:tcPr>
            <w:tcW w:w="3600" w:type="dxa"/>
            <w:vAlign w:val="bottom"/>
          </w:tcPr>
          <w:p>
            <w:pPr>
              <w:jc w:val="right"/>
              <w:ind w:right="1493"/>
              <w:spacing w:after="0"/>
              <w:rPr>
                <w:sz w:val="20"/>
                <w:szCs w:val="20"/>
                <w:color w:val="auto"/>
              </w:rPr>
            </w:pPr>
            <w:r>
              <w:rPr>
                <w:rFonts w:ascii="Arial" w:cs="Arial" w:eastAsia="Arial" w:hAnsi="Arial"/>
                <w:sz w:val="14"/>
                <w:szCs w:val="14"/>
                <w:color w:val="auto"/>
              </w:rPr>
              <w:t>19</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narrative discussion of our results in each segment, which supplements the tables above.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Mainland China</w:t>
      </w:r>
      <w:r>
        <w:rPr>
          <w:rFonts w:ascii="Arial" w:cs="Arial" w:eastAsia="Arial" w:hAnsi="Arial"/>
          <w:sz w:val="18"/>
          <w:szCs w:val="18"/>
          <w:color w:val="auto"/>
        </w:rPr>
        <w:t>. Our Mainland China market continued to be challenged during the first quarter of 2022, with COVID-related lockdowns and other factors negatively impacting our selling and promotional activities. Due to increasing COVID-19 cases, the government implemented more significant lockdowns that precluded gatherings and meetings for the general population in Shanghai and other areas. Revenue in this market benefited from our recently launched products, which generated approximately $18.0 million in revenue during the quarter, and from utilizing discounted product promotions. As previously disclosed, we anticipate that COVID-related challenges will persist throughout 2022.</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February 2022, we learned of reports in the Chinese media of COVID-19 cases that were reportedly traced back to a meeting in a hotel in Wuhan, Hubei Province organized by an independent marketer of Nu Skin China. The meeting was not authorized by Nu Skin China and was not registered with the applicable government authorities. After learning of the incident, we suspended all Sales Leader meetings in the Hubei Province, ceased operations in our Hubei Province branch office and conducted PCR tests on employees in that branch office. After the Wuhan meeting incident, various offices of Mainland China’s Administration for Market Regulation (the “AMRs”) began inquiries into our Nu Skin China business activities since early 2020. We were also later asked to provide information to Mainland China’s Ministry of Commerce, which we did. We cooperated with the government, and we believe these matters are nearly resolved.</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receiving the inquiries from the AMRs, we proactively suspended all Sales Leader meetings throughout the Mainland China market. Shortly thereafter, as noted above, the government instituted more significant lockdowns in Shanghai and other areas in Mainland China due to rising COVID-19 cases. We believe the meeting restrictions negatively impacted our business momentum in this market. While we currently anticipate resuming Sales Leader meetings when the government-imposed lockdowns are lifted, we believe the loss of momentum will impact this market’s performance through the rest of this year. As we continue to invest in new social commerce technologies in this market, our focus is to decrease dependence on in-person meetings.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year-over-year decrease in segment contribution for the first quarter of 2022 primarily reflects lower revenue, the fixed nature of general and administrative expenses and a 2.7 percentage point decrease in gross margin attributable to increased product promotions and an unfavorable sales mix, which was partially offset by a 1.7 percentage point improvement in selling expenses as a percentage of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xml:space="preserve">. The decline in revenue, Customers, Paid Affiliates and Sales Leaders in our Americas segment is predominately attributable to continued economic challenges in our Latin America markets. Our U.S. market’s revenue increased 15% for the first quarter of 2022 from continued momentum, specifically from the launch of </w:t>
      </w:r>
      <w:r>
        <w:rPr>
          <w:rFonts w:ascii="Arial" w:cs="Arial" w:eastAsia="Arial" w:hAnsi="Arial"/>
          <w:sz w:val="18"/>
          <w:szCs w:val="18"/>
          <w:i w:val="1"/>
          <w:iCs w:val="1"/>
          <w:color w:val="auto"/>
        </w:rPr>
        <w:t>Beauty Focus Collagen+</w:t>
      </w:r>
      <w:r>
        <w:rPr>
          <w:rFonts w:ascii="Arial" w:cs="Arial" w:eastAsia="Arial" w:hAnsi="Arial"/>
          <w:sz w:val="18"/>
          <w:szCs w:val="18"/>
          <w:color w:val="auto"/>
        </w:rPr>
        <w:t xml:space="preserve"> during the second half of 2021 and continued social adoption.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year-over-year decline in segment contribution for the first quarter of 2022 primarily reflects the decrease in revenue, a 1.8 percentage point decrease in gross margin, primarily attributable to higher sales promotions and an unfavorable product mix in the first quarter. Our Americas segment contribution was also negatively impacted by the fixed nature of general and administrative expenses.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Southeast Asia/Pacific</w:t>
      </w:r>
      <w:r>
        <w:rPr>
          <w:rFonts w:ascii="Arial" w:cs="Arial" w:eastAsia="Arial" w:hAnsi="Arial"/>
          <w:sz w:val="16"/>
          <w:szCs w:val="16"/>
          <w:color w:val="auto"/>
        </w:rPr>
        <w:t xml:space="preserve">. Our Southeast Asia/Pacific segment revenue increased 8% for the first quarter of 2022, with a 3% negative impact from unfavorable foreign-currency fluctuations. The increase in revenue was partially driven by a strong product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(locally referred to as </w:t>
      </w:r>
      <w:r>
        <w:rPr>
          <w:rFonts w:ascii="Arial" w:cs="Arial" w:eastAsia="Arial" w:hAnsi="Arial"/>
          <w:sz w:val="16"/>
          <w:szCs w:val="16"/>
          <w:i w:val="1"/>
          <w:iCs w:val="1"/>
          <w:color w:val="auto"/>
        </w:rPr>
        <w:t xml:space="preserve">ageLOC Reset </w:t>
      </w:r>
      <w:r>
        <w:rPr>
          <w:rFonts w:ascii="Arial" w:cs="Arial" w:eastAsia="Arial" w:hAnsi="Arial"/>
          <w:sz w:val="16"/>
          <w:szCs w:val="16"/>
          <w:color w:val="auto"/>
        </w:rPr>
        <w:t>in the Southeast Asia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generated approximately $13.2 million in revenue along with the loosening of COVID restrictions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markets. Our product launches and promotions during the quarter were focused on re-energizing our existing Sales Leaders, which led to a decline in our Customers and Paid Affiliates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our previous Sales Leaders definition, Sales Leaders increased 10% for the first quarter of 2022, this was driven by an increase of Sales Leaders in March from the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while with the new definition being calculated as the average Sales Leaders for the three-months in the quarter, the March increase from the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launch does not fully offset the decline in Sales Leaders for January and February. In addition, the March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in Maylasia and Indonesia was a preview sale, which is only available to members of our sales force who achieve certain qualifications. This typically leads to an increase in Sales Leaders during the preview period.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increase in segment contribution is primarily attributable to higher revenue, along with a decline in general and administrative expenses.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Korea</w:t>
      </w:r>
      <w:r>
        <w:rPr>
          <w:rFonts w:ascii="Arial" w:cs="Arial" w:eastAsia="Arial" w:hAnsi="Arial"/>
          <w:sz w:val="18"/>
          <w:szCs w:val="18"/>
          <w:color w:val="auto"/>
        </w:rPr>
        <w:t>. Our first quarter of 2022 constant-currency revenue was a decline of 4% compared to 2021; our reported revenue reflects a 7% negative impact from foreign-currency fluctuations. Our South Korea segment remained challenged from the ongoing COVID-19 spikes in cases during the first quarter of 2022, leading to declines in revenue and Customers</w:t>
      </w:r>
      <w:r>
        <w:rPr>
          <w:rFonts w:ascii="Arial" w:cs="Arial" w:eastAsia="Arial" w:hAnsi="Arial"/>
          <w:sz w:val="18"/>
          <w:szCs w:val="18"/>
          <w:i w:val="1"/>
          <w:iCs w:val="1"/>
          <w:color w:val="auto"/>
        </w:rPr>
        <w:t>,</w:t>
      </w:r>
      <w:r>
        <w:rPr>
          <w:rFonts w:ascii="Arial" w:cs="Arial" w:eastAsia="Arial" w:hAnsi="Arial"/>
          <w:sz w:val="18"/>
          <w:szCs w:val="18"/>
          <w:color w:val="auto"/>
        </w:rPr>
        <w:t xml:space="preserve"> Paid Affiliates</w:t>
      </w:r>
      <w:r>
        <w:rPr>
          <w:rFonts w:ascii="Arial" w:cs="Arial" w:eastAsia="Arial" w:hAnsi="Arial"/>
          <w:sz w:val="18"/>
          <w:szCs w:val="18"/>
          <w:i w:val="1"/>
          <w:iCs w:val="1"/>
          <w:color w:val="auto"/>
        </w:rPr>
        <w:t>,</w:t>
      </w:r>
      <w:r>
        <w:rPr>
          <w:rFonts w:ascii="Arial" w:cs="Arial" w:eastAsia="Arial" w:hAnsi="Arial"/>
          <w:sz w:val="18"/>
          <w:szCs w:val="18"/>
          <w:color w:val="auto"/>
        </w:rPr>
        <w:t xml:space="preserve"> and Sales Leaders.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decline in segment contribution primarily reflects the decreased revenue, along with a 1.0 percentage point increase in selling expenses as a percentage of revenue, from growth in the number of Sales Leaders qualifying for increased sales compensation.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Japan</w:t>
      </w:r>
      <w:r>
        <w:rPr>
          <w:rFonts w:ascii="Arial" w:cs="Arial" w:eastAsia="Arial" w:hAnsi="Arial"/>
          <w:sz w:val="18"/>
          <w:szCs w:val="18"/>
          <w:color w:val="auto"/>
        </w:rPr>
        <w:t>. The decline in revenue is primarily attributable to a 9% negative impact from unfavorable foreign-currency fluctuations. In addition, our revenue, Customers, Paid Affiliates, and Sales Leaders were negatively impacted by the continued COVID restrictions in the beginning of the quarter, which loosened as the quarter progressed.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decline in segment contribution reflects the decreased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EMEA</w:t>
      </w:r>
      <w:r>
        <w:rPr>
          <w:rFonts w:ascii="Arial" w:cs="Arial" w:eastAsia="Arial" w:hAnsi="Arial"/>
          <w:sz w:val="18"/>
          <w:szCs w:val="18"/>
          <w:color w:val="auto"/>
        </w:rPr>
        <w:t>. The continued softening of momentum in our EMEA segment, further driven by the current geopolitical Russian/Ukraine conflict which has caused disruption to our sales force, especially in Eastern Europe, led to a 30% decline in revenue for the quarter. Our reported revenue was negatively impacted 5% from foreign-currency fluctuations. We have suspended business operations in Russia and Ukraine. The Russia and Ukraine markets have historically accounted for less than 1% of our consolidated revenue.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year-over-year decline in segment contribution reflects the decline in revenue along with a 1.8 percentage point increase in selling expenses as a percentage of revenue from higher cost associated with the incentive trips, and the fixed nature of general and administrative expenses with a decline in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Hong Kong/Taiwan</w:t>
      </w:r>
      <w:r>
        <w:rPr>
          <w:rFonts w:ascii="Arial" w:cs="Arial" w:eastAsia="Arial" w:hAnsi="Arial"/>
          <w:sz w:val="18"/>
          <w:szCs w:val="18"/>
          <w:color w:val="auto"/>
        </w:rPr>
        <w:t xml:space="preserve">. Our Hong Kong/Taiwan segment revenue increased 6% for the quarter, primarily from revenue growth in our Taiwan market. Revenue from our </w:t>
      </w:r>
      <w:r>
        <w:rPr>
          <w:rFonts w:ascii="Arial" w:cs="Arial" w:eastAsia="Arial" w:hAnsi="Arial"/>
          <w:sz w:val="18"/>
          <w:szCs w:val="18"/>
          <w:i w:val="1"/>
          <w:iCs w:val="1"/>
          <w:color w:val="auto"/>
        </w:rPr>
        <w:t>ageLOC Meta</w:t>
      </w:r>
      <w:r>
        <w:rPr>
          <w:rFonts w:ascii="Arial" w:cs="Arial" w:eastAsia="Arial" w:hAnsi="Arial"/>
          <w:sz w:val="18"/>
          <w:szCs w:val="18"/>
          <w:color w:val="auto"/>
        </w:rPr>
        <w:t xml:space="preserve"> and </w:t>
      </w:r>
      <w:r>
        <w:rPr>
          <w:rFonts w:ascii="Arial" w:cs="Arial" w:eastAsia="Arial" w:hAnsi="Arial"/>
          <w:sz w:val="18"/>
          <w:szCs w:val="18"/>
          <w:i w:val="1"/>
          <w:iCs w:val="1"/>
          <w:color w:val="auto"/>
        </w:rPr>
        <w:t>Beauty Focus Collagen +</w:t>
      </w:r>
      <w:r>
        <w:rPr>
          <w:rFonts w:ascii="Arial" w:cs="Arial" w:eastAsia="Arial" w:hAnsi="Arial"/>
          <w:sz w:val="18"/>
          <w:szCs w:val="18"/>
          <w:color w:val="auto"/>
        </w:rPr>
        <w:t xml:space="preserve"> product launches was approximately $4.9 million. Our Hong Kong market continues to be challenged from the ongoing pressures from COVID-19, which led to decline in Sales Leaders.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segment contribution was primarily driven by revenue growth, with general and administrative expenses remaining flat on slightly improved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Manufacturing</w:t>
      </w:r>
      <w:r>
        <w:rPr>
          <w:rFonts w:ascii="Arial" w:cs="Arial" w:eastAsia="Arial" w:hAnsi="Arial"/>
          <w:sz w:val="18"/>
          <w:szCs w:val="18"/>
          <w:color w:val="auto"/>
        </w:rPr>
        <w:t>. Our Manufacturing segment revenue declined 12% for the first quarter of 2022, primarily from a majority of their customers increasing their inventory levels during 2021, which reduced demand for the first quarter of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43% decline in segment contribution is attributed to the lower revenue on fixed costs, along with the revenue mix between our manufacturing entities with different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the three-month period ended March 31, 2022 decreased 11% to $604.9 million, compared to $677.0 million in the prior-year period. For a discussion and analysis of this decrease in revenue, see “Overview” and “Segment Results,”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Gross profit as a percentage of revenue was 73.3% for the first quarter of 2022 compared to 74.8% for the prior-year period. The gross margin of our core Nu Skin business declined 1.3 percentage points to 76.5%. The decline in our gross margin is predominately attributed to an increase in sales promotions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expenses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expenses as a percentage of revenue was 40.1% for the first quarter of 2022, compared to 40.8% for the prior-year period. Selling expenses for our core Nu Skin business as a percentage of revenue decreased 0.7 percentage points to 43.0% for the first quarter of 2022.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fluctuates plus or minus approximately 100 basis points from period to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decreased to $148.6 million in the first quarter of 2022, compared to $167.6 million in the prior-year period. The $19.0 million decline is primarily from a $12.4 million contraction in labor expenses from lower employee performance incentive compensation, along with our fourth quarter 2021 exit of the Grow Tech segment, which led to $6.1 million less expense for the first quarter of 2022. General and administrative expenses as a percentage of revenue declined to 24.6% for the first quarter of 2022 from 24.8% for the prior-year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first quarter of 2022, was $1.5 million in expense compared to $1.6 million of income for the same period in 2021. The increase in other expense is largely attributable to unrealized investment income for the first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first quarter of 2022 was $12.0 million, compared to $17.1 million for the prior-year period. The effective tax rate was 23.6% of pre-tax book income during the first quarter of 2022 compared to 26.5% in the prior-year period. The decrease in the effective tax rate for the first quarter of 2022 primarily reflects the strong growth in the U.S. market, which enabled us to utilize additional foreign tax credits to offset U.S.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foregoing factors, net income for the first quarter of 2022 was $38.7 million compared to $47.4 million in the prior-year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three months of 2022, we generated $7.5 million in cash from operations, compared to $18.9 million of cash used in operations during the prior-year period. The increase in cash flow from operations primarily reflects an approximate $17.2 million decline in inventory during the period, compared to an inventory increase of $53.8 million in the prior year period, partially offset by the lower revenue and an increase in our accounts receivable from higher sales during the backend of the quarter. Cash and cash equivalents, including current investments, as of March 31, 2022 and December 31, 2021 were $317.5 million and $354.8 million, respectively, with the decrease being driven by purchases of property and equipment, as discussed below, our quarterly dividend payments, stock repurchases and payment on liabilities associated with our fourth quarter restructuring.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Working capital</w:t>
      </w:r>
      <w:r>
        <w:rPr>
          <w:rFonts w:ascii="Arial" w:cs="Arial" w:eastAsia="Arial" w:hAnsi="Arial"/>
          <w:sz w:val="18"/>
          <w:szCs w:val="18"/>
          <w:color w:val="auto"/>
        </w:rPr>
        <w:t>. As of March 31, 2022, working capital was $354.8 million, compared to $343.3 million as of December 31, 2021. The increase in working capital is primarily attributable to a $21.0 million increase in prepaid expenses and other, primarily from an increase in prepaid income tax, and a $28.5 million decrease in accrued expenses from the first quarter pay-out of restructuring cost and employee incentive accruals, partially offset by declines in cash and cash equivalents and inventory.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the three months ended March 31, 2022 were $10.3 million. We expect that our capital expenditures in 2022 will be primarily related to:</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and expenditures for computer systems and equipment, software, and application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expansion and upgrade of facilities in our various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manufacturing plant in Mainland China.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that capital expenditures for the uses listed above will total approximately $85–105 million for 2022. We are currently expecting to complete construction of the new manufacturing plant in Mainland China in the back half of 2022. As of March 31, 2022, we have spent approximately $40.3 million on this project, with $3.0 million in the first quarter of 2022, and expect that our expenditures for this project will total approximately $52-57 million, including approximately $15-20 million during 2022.</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In April 2018, we entered into a Credit Agreement (the “Credit Agreement”) with various financial institutions as lenders and Bank of America, N.A., as administrative agent. The Credit Agreement provides for a $400.0 million term loan facility and a $350.0 million revolving credit facility, each with a term of five years. We used the proceeds of the term loan and the draw on the revolving facility to pay off the previous credit agreement, and the outstanding balance on the convertible notes. The interest rate applicable to the facilities is subject to adjustments based on our consolidated leverage ratio. The term loan facility amortizes in quarterly installments in amounts resulting in an annual amortization of 5.0% during the first and second years, 7.5% during the third and fourth years and 10.0% during the fifth year after the closing date of the Credit Agreement, with the remainder payable at final maturity. As of March 31, 2022 and December 31, 2021, we had $70.0 million and $70.0 million outstanding borrowings under our revolving credit facility, and $300.0 million and $307.5 million remaining balance on our term loan facility. The carrying value of the debt also reflects debt issuance costs of $(1.0) million and $(1.2) million as of March 31, 2022 and December 31, 2021, respectively, related to the Credit Agreement. The Credit Agreement requires us to maintain a consolidated leverage ratio not exceeding 2.25 to 1.00 and a consolidated interest coverage ratio of no less than 3.00 to 1.00. As of March 31, 2022, we were in compliance with all debt covenants under the Credit Agreement. In addition, as previously disclosed, we currently plan to refinance our credit facility during 2022.</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As of March 31, 2022,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Stock repurchase plan</w:t>
      </w:r>
      <w:r>
        <w:rPr>
          <w:rFonts w:ascii="Arial" w:cs="Arial" w:eastAsia="Arial" w:hAnsi="Arial"/>
          <w:sz w:val="17"/>
          <w:szCs w:val="17"/>
          <w:color w:val="auto"/>
        </w:rPr>
        <w:t>. In 2018, our board of directors approved a stock repurchase plan authorizing us to repurchase up to $500.0 million of our outstanding shares of Class A common stock on the open market or in private transactions. During the first three months of 2022, we repurchased approximately 0.2 million shares of our Class A common stock under the plan for $10.0 million. As of March 31, 2022, $235.4 million was available for repurchases under the plan. Our stock repurchases are used primarily to offset dilution from our equity incentive plans and for strategic initiatives.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In February 2022, our board of directors declared quarterly cash dividends of $0.385 per share. This quarterly cash dividend of $19.3 million was paid on March 9, 2022 to stockholders of record on February 28, 2022. In May 2022, our board of directors declared a quarterly cash dividend of $0.385 per share to be paid on June 8, 2022 to stockholders of record on May 27, 2022.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Cash from foreign subsidiaries</w:t>
      </w:r>
      <w:r>
        <w:rPr>
          <w:rFonts w:ascii="Arial" w:cs="Arial" w:eastAsia="Arial" w:hAnsi="Arial"/>
          <w:sz w:val="16"/>
          <w:szCs w:val="16"/>
          <w:color w:val="auto"/>
        </w:rPr>
        <w:t>. As of March 31, 2022 and December 31, 2021, we held $317.5 million and $354.8 million, respectively, in cash and cash equivalents, including current investments. These amounts include $263.2 million and $274.9 million as of March 31, 2022 and December 31, 2021,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March 31, 2022, we had $62.7 million in cash denominated in Chinese RMB. We also have experienced delays in repatriating cash from Argentina. As of March 31, 2022 and December 31, 2021, we had $12.1 million and $11.3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Note 11 to the consolidated financial statements contained in this Quarterly Report for information regarding our contingent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our critical accounting policies or estimates during the first quarter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making a key product generally available for purchase, we may do one or more introductory offerings of the product, such as a preview of the product to our Sales Leaders, a limited-time offer, or other product introduction or promotion. These offerings may generate significant activity and a high level of purchasing, which can result in a higher-than-normal increase in revenue, Sales Leaders and/or Customers during the quarter and can skew year-over-year and sequential comparisons.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 and Exchange Rate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March 31, 2022, our subsidiary in Argentina had a small net peso monetary position. Net sales of our subsidiary in Argentina were less than 2% of our consolidated net sales for the three-month periods ended March 31, 2022 and 2021.</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March 31, 2022 and 2021, we did not hold material non-designated mark-to-market forward derivative contracts to hedge foreign denominated intercompany positions or third party foreign debt. As of March 31, 2022, and 2021 we did not hold any forward contracts designated as foreign currency cash flow hedges. We continue to evaluate our foreign currency hedging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made no changes in our internal control over financial reporting (as defined in Rule 13a-15(f) under the Exchange Act) during the fiscal quarter ended March 31, 2022 that materially affected, or are reasonably likely to materially affect, our internal control over financial reporting.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developments concerning the matters discussed in the “Legal Proceedings” section of our Annual Report on Form 10-K for the 2021 fiscal year.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2021 fiscal year.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198"/>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center"/>
              <w:ind w:right="11"/>
              <w:spacing w:after="0" w:line="198" w:lineRule="exact"/>
              <w:rPr>
                <w:sz w:val="20"/>
                <w:szCs w:val="20"/>
                <w:color w:val="auto"/>
              </w:rPr>
            </w:pPr>
            <w:r>
              <w:rPr>
                <w:rFonts w:ascii="Arial" w:cs="Arial" w:eastAsia="Arial" w:hAnsi="Arial"/>
                <w:sz w:val="18"/>
                <w:szCs w:val="18"/>
                <w:b w:val="1"/>
                <w:bCs w:val="1"/>
                <w:color w:val="auto"/>
                <w:w w:val="92"/>
              </w:rPr>
              <w:t>Approximate Dollar</w:t>
            </w:r>
          </w:p>
        </w:tc>
        <w:tc>
          <w:tcPr>
            <w:tcW w:w="100" w:type="dxa"/>
            <w:vAlign w:val="bottom"/>
          </w:tcPr>
          <w:p>
            <w:pPr>
              <w:spacing w:after="0"/>
              <w:rPr>
                <w:sz w:val="17"/>
                <w:szCs w:val="17"/>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Value of Shares that May</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Yet Be Purchased Under</w:t>
            </w: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 Programs</w:t>
            </w:r>
          </w:p>
        </w:tc>
      </w:tr>
      <w:tr>
        <w:trPr>
          <w:trHeight w:val="247"/>
        </w:trPr>
        <w:tc>
          <w:tcPr>
            <w:tcW w:w="49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per Share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
              <w:spacing w:after="0" w:line="240" w:lineRule="exact"/>
              <w:rPr>
                <w:sz w:val="20"/>
                <w:szCs w:val="20"/>
                <w:color w:val="auto"/>
              </w:rPr>
            </w:pPr>
            <w:r>
              <w:rPr>
                <w:rFonts w:ascii="Arial" w:cs="Arial" w:eastAsia="Arial" w:hAnsi="Arial"/>
                <w:sz w:val="17"/>
                <w:szCs w:val="17"/>
                <w:color w:val="auto"/>
                <w:w w:val="98"/>
              </w:rPr>
              <w:t>(in millions)</w:t>
            </w:r>
            <w:r>
              <w:rPr>
                <w:rFonts w:ascii="Arial" w:cs="Arial" w:eastAsia="Arial" w:hAnsi="Arial"/>
                <w:sz w:val="27"/>
                <w:szCs w:val="27"/>
                <w:color w:val="auto"/>
                <w:w w:val="98"/>
                <w:vertAlign w:val="superscript"/>
              </w:rPr>
              <w:t>(1)</w:t>
            </w:r>
          </w:p>
        </w:tc>
        <w:tc>
          <w:tcPr>
            <w:tcW w:w="100" w:type="dxa"/>
            <w:vAlign w:val="bottom"/>
          </w:tcPr>
          <w:p>
            <w:pPr>
              <w:spacing w:after="0"/>
              <w:rPr>
                <w:sz w:val="21"/>
                <w:szCs w:val="21"/>
                <w:color w:val="auto"/>
              </w:rPr>
            </w:pPr>
          </w:p>
        </w:tc>
      </w:tr>
      <w:tr>
        <w:trPr>
          <w:trHeight w:val="216"/>
        </w:trPr>
        <w:tc>
          <w:tcPr>
            <w:tcW w:w="50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62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1 - 31, 2022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52.14</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68,636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February 1 - 28, 2022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74,732</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50.88</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74,732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 2022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45.97</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57,120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r>
      <w:tr>
        <w:trPr>
          <w:trHeight w:val="27"/>
        </w:trPr>
        <w:tc>
          <w:tcPr>
            <w:tcW w:w="4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200,488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200,488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92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4"/>
        </w:trPr>
        <w:tc>
          <w:tcPr>
            <w:tcW w:w="320" w:type="dxa"/>
            <w:vAlign w:val="bottom"/>
          </w:tcPr>
          <w:p>
            <w:pPr>
              <w:spacing w:after="0"/>
              <w:rPr>
                <w:sz w:val="24"/>
                <w:szCs w:val="24"/>
                <w:color w:val="auto"/>
              </w:rPr>
            </w:pPr>
          </w:p>
        </w:tc>
        <w:tc>
          <w:tcPr>
            <w:tcW w:w="172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1"/>
              </w:rPr>
              <w:t>Exhibits</w:t>
            </w:r>
          </w:p>
        </w:tc>
        <w:tc>
          <w:tcPr>
            <w:tcW w:w="9200" w:type="dxa"/>
            <w:vAlign w:val="bottom"/>
          </w:tcPr>
          <w:p>
            <w:pPr>
              <w:spacing w:after="0"/>
              <w:rPr>
                <w:sz w:val="24"/>
                <w:szCs w:val="24"/>
                <w:color w:val="auto"/>
              </w:rPr>
            </w:pPr>
          </w:p>
        </w:tc>
      </w:tr>
      <w:tr>
        <w:trPr>
          <w:trHeight w:val="216"/>
        </w:trPr>
        <w:tc>
          <w:tcPr>
            <w:tcW w:w="20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Regulation S-K</w:t>
            </w:r>
          </w:p>
        </w:tc>
        <w:tc>
          <w:tcPr>
            <w:tcW w:w="92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172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4"/>
              </w:rPr>
              <w:t>Number</w:t>
            </w:r>
          </w:p>
        </w:tc>
        <w:tc>
          <w:tcPr>
            <w:tcW w:w="92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Borders>
              <w:top w:val="single" w:sz="8" w:color="auto"/>
            </w:tcBorders>
          </w:tcPr>
          <w:p>
            <w:pPr>
              <w:spacing w:after="0"/>
              <w:rPr>
                <w:sz w:val="18"/>
                <w:szCs w:val="18"/>
                <w:color w:val="auto"/>
              </w:rPr>
            </w:pPr>
          </w:p>
        </w:tc>
      </w:tr>
      <w:tr>
        <w:trPr>
          <w:trHeight w:val="176"/>
        </w:trPr>
        <w:tc>
          <w:tcPr>
            <w:tcW w:w="98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by Ryan S. Napierski, Chief Executive Officer, pursuant to Rule 13a-14(a) of the Securities Exchange Act of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175"/>
        </w:trPr>
        <w:tc>
          <w:tcPr>
            <w:tcW w:w="980" w:type="dxa"/>
            <w:vAlign w:val="bottom"/>
            <w:gridSpan w:val="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Arial" w:cs="Arial" w:eastAsia="Arial" w:hAnsi="Arial"/>
                <w:sz w:val="18"/>
                <w:szCs w:val="18"/>
                <w:color w:val="auto"/>
                <w:w w:val="96"/>
              </w:rPr>
              <w:t>Certification by Mark H. Lawrence, Chief Financial Officer, pursuant to Rule 13a-14(a) of the Securities Exchange Act of</w:t>
            </w:r>
          </w:p>
        </w:tc>
      </w:tr>
      <w:tr>
        <w:trPr>
          <w:trHeight w:val="237"/>
        </w:trPr>
        <w:tc>
          <w:tcPr>
            <w:tcW w:w="32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176"/>
        </w:trPr>
        <w:tc>
          <w:tcPr>
            <w:tcW w:w="98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by Ryan S. Napierski, Chief Executive Officer, pursuant to Section 1350, Chapter 63 of Title 18, United States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Code, as adopted pursuant to Section 906 of the Sarbanes-Oxley Act of 2002.</w:t>
            </w:r>
          </w:p>
        </w:tc>
      </w:tr>
      <w:tr>
        <w:trPr>
          <w:trHeight w:val="176"/>
        </w:trPr>
        <w:tc>
          <w:tcPr>
            <w:tcW w:w="980" w:type="dxa"/>
            <w:vAlign w:val="bottom"/>
            <w:gridSpan w:val="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Arial" w:cs="Arial" w:eastAsia="Arial" w:hAnsi="Arial"/>
                <w:sz w:val="18"/>
                <w:szCs w:val="18"/>
                <w:color w:val="auto"/>
                <w:w w:val="94"/>
              </w:rPr>
              <w:t>Certification by Mark H. Lawrence, Chief Financial Officer, pursuant to Section 1350, Chapter 63 of Title 18, United States</w:t>
            </w:r>
          </w:p>
        </w:tc>
      </w:tr>
      <w:tr>
        <w:trPr>
          <w:trHeight w:val="237"/>
        </w:trPr>
        <w:tc>
          <w:tcPr>
            <w:tcW w:w="32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Code, as adopted pursuant to Section 906 of the Sarbanes-Oxley Act of 2002.</w:t>
            </w: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w:t>
            </w:r>
          </w:p>
        </w:tc>
      </w:tr>
      <w:tr>
        <w:trPr>
          <w:trHeight w:val="230"/>
        </w:trPr>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104</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68"/>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Arial" w:cs="Arial" w:eastAsia="Arial" w:hAnsi="Arial"/>
                <w:sz w:val="14"/>
                <w:szCs w:val="14"/>
                <w:color w:val="auto"/>
              </w:rPr>
              <w:t>27</w:t>
            </w:r>
          </w:p>
        </w:tc>
      </w:tr>
      <w:tr>
        <w:trPr>
          <w:trHeight w:val="46"/>
        </w:trPr>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4071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7162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H. Lawrence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SECTION 302 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Ryan S. Napierski, certify that:</w:t>
      </w:r>
    </w:p>
    <w:p>
      <w:pPr>
        <w:spacing w:after="0" w:line="24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23495</wp:posOffset>
            </wp:positionV>
            <wp:extent cx="24257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Ryan S. Napierski</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SECTION 302 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Mark H. Lawrence, certify that:</w:t>
      </w:r>
    </w:p>
    <w:p>
      <w:pPr>
        <w:spacing w:after="0" w:line="24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23495</wp:posOffset>
            </wp:positionV>
            <wp:extent cx="24257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Mark H. Lawrence</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298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March 31, 2022 (the “Report”), I, Ryan S. Napierski, Chief Executive Officer of the Company, certify, pursuant to 18 U.S.C.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20" w:type="dxa"/>
            <w:vAlign w:val="bottom"/>
          </w:tcPr>
          <w:p>
            <w:pPr>
              <w:spacing w:after="0"/>
              <w:rPr>
                <w:sz w:val="20"/>
                <w:szCs w:val="20"/>
                <w:color w:val="auto"/>
              </w:rPr>
            </w:pPr>
            <w:r>
              <w:rPr>
                <w:rFonts w:ascii="Arial" w:cs="Arial" w:eastAsia="Arial" w:hAnsi="Arial"/>
                <w:sz w:val="18"/>
                <w:szCs w:val="18"/>
                <w:color w:val="auto"/>
              </w:rPr>
              <w:t>Date: May 4, 2022</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 Napierski</w:t>
            </w:r>
          </w:p>
        </w:tc>
        <w:tc>
          <w:tcPr>
            <w:tcW w:w="3700" w:type="dxa"/>
            <w:vAlign w:val="bottom"/>
          </w:tcPr>
          <w:p>
            <w:pPr>
              <w:spacing w:after="0"/>
              <w:rPr>
                <w:sz w:val="21"/>
                <w:szCs w:val="21"/>
                <w:color w:val="auto"/>
              </w:rPr>
            </w:pPr>
          </w:p>
        </w:tc>
      </w:tr>
      <w:tr>
        <w:trPr>
          <w:trHeight w:val="202"/>
        </w:trPr>
        <w:tc>
          <w:tcPr>
            <w:tcW w:w="37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Ryan S. Napierski</w:t>
            </w:r>
          </w:p>
        </w:tc>
        <w:tc>
          <w:tcPr>
            <w:tcW w:w="370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700" w:type="dxa"/>
            <w:vAlign w:val="bottom"/>
          </w:tcPr>
          <w:p>
            <w:pPr>
              <w:spacing w:after="0"/>
              <w:rPr>
                <w:sz w:val="20"/>
                <w:szCs w:val="20"/>
                <w:color w:val="auto"/>
              </w:rPr>
            </w:pPr>
          </w:p>
        </w:tc>
      </w:tr>
      <w:tr>
        <w:trPr>
          <w:trHeight w:val="601"/>
        </w:trPr>
        <w:tc>
          <w:tcPr>
            <w:tcW w:w="37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FINANCIAL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298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March 31, 2022 (the “Report”), I, Mark H. Lawrence, Chief Financial Officer of the Company, certify, pursuant to 18 U.S.C. §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20" w:type="dxa"/>
            <w:vAlign w:val="bottom"/>
          </w:tcPr>
          <w:p>
            <w:pPr>
              <w:spacing w:after="0"/>
              <w:rPr>
                <w:sz w:val="20"/>
                <w:szCs w:val="20"/>
                <w:color w:val="auto"/>
              </w:rPr>
            </w:pPr>
            <w:r>
              <w:rPr>
                <w:rFonts w:ascii="Arial" w:cs="Arial" w:eastAsia="Arial" w:hAnsi="Arial"/>
                <w:sz w:val="18"/>
                <w:szCs w:val="18"/>
                <w:color w:val="auto"/>
              </w:rPr>
              <w:t>Date: May 4, 2022</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Lawrence</w:t>
            </w:r>
          </w:p>
        </w:tc>
        <w:tc>
          <w:tcPr>
            <w:tcW w:w="3700" w:type="dxa"/>
            <w:vAlign w:val="bottom"/>
          </w:tcPr>
          <w:p>
            <w:pPr>
              <w:spacing w:after="0"/>
              <w:rPr>
                <w:sz w:val="21"/>
                <w:szCs w:val="21"/>
                <w:color w:val="auto"/>
              </w:rPr>
            </w:pPr>
          </w:p>
        </w:tc>
      </w:tr>
      <w:tr>
        <w:trPr>
          <w:trHeight w:val="202"/>
        </w:trPr>
        <w:tc>
          <w:tcPr>
            <w:tcW w:w="37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Mark H. Lawrence</w:t>
            </w:r>
          </w:p>
        </w:tc>
        <w:tc>
          <w:tcPr>
            <w:tcW w:w="370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700" w:type="dxa"/>
            <w:vAlign w:val="bottom"/>
          </w:tcPr>
          <w:p>
            <w:pPr>
              <w:spacing w:after="0"/>
              <w:rPr>
                <w:sz w:val="20"/>
                <w:szCs w:val="20"/>
                <w:color w:val="auto"/>
              </w:rPr>
            </w:pPr>
          </w:p>
        </w:tc>
      </w:tr>
      <w:tr>
        <w:trPr>
          <w:trHeight w:val="601"/>
        </w:trPr>
        <w:tc>
          <w:tcPr>
            <w:tcW w:w="37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 "/>
      <w:numFmt w:val="bullet"/>
      <w:start w:val="1"/>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1."/>
      <w:numFmt w:val="decimal"/>
      <w:start w:val="12"/>
    </w:lvl>
  </w:abstractNum>
  <w:abstractNum w:abstractNumId="17">
    <w:nsid w:val="333AB105"/>
    <w:multiLevelType w:val="hybridMultilevel"/>
    <w:lvl w:ilvl="0">
      <w:lvlJc w:val="left"/>
      <w:lvlText w:val="%1."/>
      <w:numFmt w:val="decimal"/>
      <w:start w:val="13"/>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2022-05-05T05:41:30Z</dcterms:created>
  <dcterms:modified xsi:type="dcterms:W3CDTF">2022-05-05T05:41:30Z</dcterms:modified>
</cp:coreProperties>
</file>