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00" w:hanging="492"/>
        <w:spacing w:after="0" w:line="286"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500" w:hanging="492"/>
        <w:spacing w:after="0" w:line="286"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001-12421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35560</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198"/>
        </w:trPr>
        <w:tc>
          <w:tcPr>
            <w:tcW w:w="330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0"/>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5"/>
        </w:trPr>
        <w:tc>
          <w:tcPr>
            <w:tcW w:w="3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c>
          <w:tcPr>
            <w:tcW w:w="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gridSpan w:val="6"/>
          </w:tcPr>
          <w:p>
            <w:pPr>
              <w:jc w:val="center"/>
              <w:ind w:right="90"/>
              <w:spacing w:after="0" w:line="194" w:lineRule="exact"/>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0" w:type="dxa"/>
            <w:vAlign w:val="bottom"/>
          </w:tcPr>
          <w:p>
            <w:pPr>
              <w:spacing w:after="0"/>
              <w:rPr>
                <w:sz w:val="16"/>
                <w:szCs w:val="16"/>
                <w:color w:val="auto"/>
              </w:rPr>
            </w:pPr>
          </w:p>
        </w:tc>
        <w:tc>
          <w:tcPr>
            <w:tcW w:w="3000" w:type="dxa"/>
            <w:vAlign w:val="bottom"/>
            <w:gridSpan w:val="2"/>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7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9"/>
        </w:trPr>
        <w:tc>
          <w:tcPr>
            <w:tcW w:w="34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5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3460" w:type="dxa"/>
            <w:vAlign w:val="bottom"/>
            <w:tcBorders>
              <w:top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NUS</w:t>
            </w:r>
          </w:p>
        </w:tc>
        <w:tc>
          <w:tcPr>
            <w:tcW w:w="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4"/>
          <w:szCs w:val="24"/>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2024, 49,711,020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40" w:type="dxa"/>
            <w:vAlign w:val="bottom"/>
            <w:gridSpan w:val="8"/>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00" w:type="dxa"/>
            <w:vAlign w:val="bottom"/>
            <w:gridSpan w:val="14"/>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 – THIRD QUARTER 2024</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7"/>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60" w:type="dxa"/>
            <w:vAlign w:val="bottom"/>
            <w:gridSpan w:val="20"/>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60" w:type="dxa"/>
            <w:vAlign w:val="bottom"/>
            <w:gridSpan w:val="20"/>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90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17"/>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Signature</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references to “dollars” and “$” are to United States (“U.S.”) dollars.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Nu Skin, Pharmanex, and ageLOC are our trademarks. The italicized product names used in this Quarterly Report on Form 10-Q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256,057</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investments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11,759</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72,879</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279,978</w:t>
            </w:r>
          </w:p>
        </w:tc>
      </w:tr>
      <w:tr>
        <w:trPr>
          <w:trHeight w:val="223"/>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98,942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81,198</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653,371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701,871</w:t>
            </w:r>
          </w:p>
        </w:tc>
        <w:tc>
          <w:tcPr>
            <w:tcW w:w="100" w:type="dxa"/>
            <w:vAlign w:val="bottom"/>
            <w:tcBorders>
              <w:top w:val="single" w:sz="8" w:color="CCEEFF"/>
            </w:tcBorders>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432,965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90,107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99,885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230,768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105,309</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245,443</w:t>
            </w:r>
          </w:p>
        </w:tc>
      </w:tr>
      <w:tr>
        <w:trPr>
          <w:trHeight w:val="256"/>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1,582,895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32,736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43,505</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260,366</w:t>
            </w:r>
          </w:p>
        </w:tc>
      </w:tr>
      <w:tr>
        <w:trPr>
          <w:trHeight w:val="223"/>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339,351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328,871</w:t>
            </w:r>
          </w:p>
        </w:tc>
        <w:tc>
          <w:tcPr>
            <w:tcW w:w="100" w:type="dxa"/>
            <w:vAlign w:val="bottom"/>
            <w:tcBorders>
              <w:top w:val="single" w:sz="8" w:color="CCEEFF"/>
            </w:tcBorders>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68,351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70,943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478,040</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94,848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106,641</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876,020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5 and 11)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Class A common stock – 500 million shares authorized, $0.001 par value, 90.6 million shares issued</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621,853</w:t>
            </w:r>
          </w:p>
        </w:tc>
      </w:tr>
      <w:tr>
        <w:trPr>
          <w:trHeight w:val="216"/>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Treasury stock, at cost – 40.9 million and 41.1 million shares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(1,563,878)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(1,570,440)</w:t>
            </w:r>
          </w:p>
        </w:tc>
      </w:tr>
      <w:tr>
        <w:trPr>
          <w:trHeight w:val="216"/>
        </w:trPr>
        <w:tc>
          <w:tcPr>
            <w:tcW w:w="8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(100,006)</w:t>
            </w:r>
          </w:p>
        </w:tc>
      </w:tr>
      <w:tr>
        <w:trPr>
          <w:trHeight w:val="223"/>
        </w:trPr>
        <w:tc>
          <w:tcPr>
            <w:tcW w:w="8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1,870,470</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706,875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1,582,895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1,806,463</w:t>
            </w:r>
          </w:p>
        </w:tc>
      </w:tr>
      <w:tr>
        <w:trPr>
          <w:trHeight w:val="20"/>
        </w:trPr>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1,480,491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206,505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383,828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475,635</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292,267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902,704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187,750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486,617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561,039</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115,620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130,882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358,107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401,825</w:t>
            </w:r>
          </w:p>
        </w:tc>
      </w:tr>
      <w:tr>
        <w:trPr>
          <w:trHeight w:val="22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156,484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9,787</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283,232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1,001,208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(26,365)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32,205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18,192</w:t>
            </w:r>
          </w:p>
        </w:tc>
      </w:tr>
      <w:tr>
        <w:trPr>
          <w:trHeight w:val="22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3,237</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(34,451)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15,937</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(110,489)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1,313</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(Note 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(000s):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49,812</w:t>
            </w:r>
          </w:p>
        </w:tc>
      </w:tr>
      <w:tr>
        <w:trPr>
          <w:trHeight w:val="234"/>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49,733</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49,859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49,645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50,029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net of taxes of zero for the three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months ended September 30, 2024 and 2023, and zero and $(68) for the nine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months ended September 30, 2024 and 2023,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(20,196)</w:t>
            </w:r>
          </w:p>
        </w:tc>
      </w:tr>
      <w:tr>
        <w:trPr>
          <w:trHeight w:val="198"/>
        </w:trPr>
        <w:tc>
          <w:tcPr>
            <w:tcW w:w="59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unrealized gains/(losses) on cash flow hedges, net of taxes of $262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$(328) for the three months ended September 30, 2024 and 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respectively and $(325) and $(990) for the nine months ended September 30,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(949)</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3,583</w:t>
            </w:r>
          </w:p>
        </w:tc>
      </w:tr>
      <w:tr>
        <w:trPr>
          <w:trHeight w:val="198"/>
        </w:trPr>
        <w:tc>
          <w:tcPr>
            <w:tcW w:w="59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losses/(gains) in current earnings 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flow hedges, net of taxes of $574 and $569 for the three months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ended September 30, 2024 and 2023, respectively and $1,716 and $1,577 for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nine months ended September 30, 2024 and 2023, respectively</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(2,081)</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(2,059)</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(5,714)</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(44,345)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(115,523)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(21,014)</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gridSpan w:val="11"/>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2024</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621,440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(1,564,090)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1,745,718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686,164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11,955</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(0.1</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(2,983)</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624,665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(1,563,878)</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1,751,037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706,875</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1"/>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2023</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615,579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(1,557,777)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1,938,898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895,345</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(36,955)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(7,390)</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(13,011)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(13,011)</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(0.1</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3,725</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(19,486)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(19,486)</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619,193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(1,570,718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gridSpan w:val="11"/>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(1,570,440)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1,870,470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(110,489)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(110,489)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(5,034)</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(0.3</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6,562</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11,378</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(8,944)</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940" w:type="dxa"/>
            <w:vAlign w:val="bottom"/>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624,665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(1,563,878)</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1,751,037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706,875</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1"/>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(1,569,061)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1,939,497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897,296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(22,327)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(22,327)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(13,011)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(13,011)</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(0.5</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(6,613)</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11,354</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12,528</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(58,353)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(58,353)</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94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619,193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(1,570,718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(110,489)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income to 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Impairment of goodwill, fixed assets and other intangibles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52,339</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24,967</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12,528</w:t>
            </w: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 write-down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83,642</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Foreign currency losses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(9,969)</w:t>
            </w:r>
          </w:p>
        </w:tc>
      </w:tr>
      <w:tr>
        <w:trPr>
          <w:trHeight w:val="216"/>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(27,829)</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(25,901)</w:t>
            </w: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(4,667)</w:t>
            </w:r>
          </w:p>
        </w:tc>
      </w:tr>
      <w:tr>
        <w:trPr>
          <w:trHeight w:val="216"/>
        </w:trPr>
        <w:tc>
          <w:tcPr>
            <w:tcW w:w="86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(43,062)</w:t>
            </w:r>
          </w:p>
        </w:tc>
      </w:tr>
      <w:tr>
        <w:trPr>
          <w:trHeight w:val="223"/>
        </w:trPr>
        <w:tc>
          <w:tcPr>
            <w:tcW w:w="8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(13,866)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(3,479)</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64,472</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(38,105)</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investment sales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(16,883)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(77,275)</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(24,340)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(119,103)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employee stock options and taxes paid related to the net shares settlement of stock awards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(58,353)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of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debt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(used in) / provided by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(89,550)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30,995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(28,306)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(31,411)</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256,057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264,725</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227,751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233,314</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segments—Americas, which includes Canada, Latin America and the United States; Mainland China; Southeast Asia/Pacific, which includes Indonesia, Malaysia, the Philippines, Singapore, Thailand, Vietnam, Australia, New Zealand, and other markets;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business arm (the Company’s subsidiaries operating within each segment are collectively referred to as the “Subsidiaries”).</w:t>
      </w:r>
    </w:p>
    <w:p>
      <w:pPr>
        <w:spacing w:after="0" w:line="18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September 30, 2024, and for the three- and nine-month periods ended September 30, 2024 and 2023. The results of operations of any interim period are not necessarily indicative of the results of operations to be expected for the fiscal year. The consolidated balance sheet as of December 31, 2023 has been prepared using information from the audited financial statements at that date. For further information, refer to the consolidated financial statements and accompanying footnotes included in the Company’s Annual Report on Form 10-K for the year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This amendment is effective for fiscal years beginning after December 15, 2023, and interim periods within fiscal years beginning after December 15, 2024, and requires retrospective adoption. Early adoption is permitted. While the Company will adopt this standard with its fiscal 2024 annual filing. The Company does not expect the adoption of this guidance to have a material impact on its financial position, results of operations or cash flows, the Company will be required to provide enhanced segment disclosures beginning in the Annual Report for the fiscal year ended December 31, 2024 and subsequent interim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current presentation. The Company reclassified $7.5 million and $18.2 million of interest expense from other income (expense), net to the interest expense line on the consolidated statement of income for the third quarter and first nine months of 2023, respectively. The reclassification had no impact on net income for the third quarter and first nine months of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Inventory</w:t>
            </w: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(U.S. dollars in thousands):</w:t>
            </w: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0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129,459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140,133</w:t>
            </w:r>
          </w:p>
        </w:tc>
        <w:tc>
          <w:tcPr>
            <w:tcW w:w="100" w:type="dxa"/>
            <w:vAlign w:val="bottom"/>
            <w:shd w:val="clear" w:color="auto" w:fill="CCEEFF"/>
          </w:tcPr>
          <w:p>
            <w:pPr>
              <w:spacing w:after="0"/>
              <w:rPr>
                <w:sz w:val="18"/>
                <w:szCs w:val="18"/>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118,330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139,845</w:t>
            </w:r>
          </w:p>
        </w:tc>
      </w:tr>
      <w:tr>
        <w:trPr>
          <w:trHeight w:val="256"/>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Inventory, net</w:t>
            </w:r>
          </w:p>
        </w:tc>
        <w:tc>
          <w:tcPr>
            <w:tcW w:w="3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247,789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080" w:type="dxa"/>
            <w:vAlign w:val="bottom"/>
          </w:tcPr>
          <w:p>
            <w:pPr>
              <w:spacing w:after="0"/>
              <w:rPr>
                <w:sz w:val="24"/>
                <w:szCs w:val="24"/>
                <w:color w:val="auto"/>
              </w:rPr>
            </w:pPr>
          </w:p>
        </w:tc>
        <w:tc>
          <w:tcPr>
            <w:tcW w:w="3600" w:type="dxa"/>
            <w:vAlign w:val="bottom"/>
          </w:tcPr>
          <w:p>
            <w:pPr>
              <w:jc w:val="right"/>
              <w:ind w:right="29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8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 of inventories consist of the following (U.S.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83,642</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(18,676)</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63,508</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102,233</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 – Customer Loyalty Programs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deferred revenue related to contract liabilities as of September 30, 2024 and December 31, 2023 was $11.5 million and $12.6 million, respectively. The contract liabilities impact to revenue for the three-month periods ended September 30, 2024 and 2023 was an increase of $0.3 million and an increase of $0.8 million, respectively. The impact to revenue for the nine-month periods ended September 30, 2024, and 2023 was an increase of $1.1 million and an increase of $6.8 million, respectively.</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reporting units for goodwill are its operating segments, which are also its reportable segments, with the exception of Rhyz other. The Rhyz other segment is made up of three reporting units, which had goodwill of $12.6 million, $3.7 million and $4.7 million as of September 30, 2024, and $12.6 million, $19.6 million and $4.7 million as of December 31, 2023, respectively.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2024, the Company determined that the continued decline in the Company’s stock price and corresponding market capitalization as well as declines in some of the Company’s reporting units’ forecasts were triggering events that required the Company to perform a quantitative impairment analysis for all reporting units. Based on the analysis, the Company concluded the fair values of certain of its reporting units were less than their carrying values. As a result, the Company recorded non-cash goodwill impairment charges of $130.9 million within restructuring and impairment expenses on the consolidated statement of income during the three months ended June 30, 2024. The impairment charges were $9.4 million for the Americas segment, $32.2 million for the Mainland China segment, $18.5 million for the Southeast Asia/Pacific segment, $16.0 million for the Japan segment, $29.3 million for the South Korea segment, $2.9 million for the Europe &amp; Africa segment, $6.6 million for the Hong Kong/Taiwan segment and $15.9 million for the BeautyBio reporting unit within the Rhyz other segment. As part of the Company’s impairment analysis, the fair values of the reporting units were determined using the income approach. The income approach used level 3 inputs and utilized management estimates related to revenue growth rates, profitability margins, estimated future cash flows and discount rates.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determined that the continued decline in the Company’s stock price and corresponding market capitalization was a triggering event that required the Company to perform a quantitative impairment analysis for the Manufacturing and Rhyz other reporting units. Based on the analysis, the Company concluded the fair value of the Manufacturing and Rhyz other reporting units were in excess of their carrying amounts and no impairment charge was required. For goodwill, the estimated fair value of Manufacturing and Rhyz other reporting units exceeded the carrying value by approximately 2% - 8%; therefore, the reporting units are considered to be at risk of future impairment. The Manufacturing and Rhyz other reporting units’ fair values remain sensitive to unfavorable changes in assumptions utilized in the income approach, including revenue growth rates, profitability margins, estimated future cash flows, and the discount rates that could result in impairment charges in a future period.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for the periods ended September 30, 2024 and December 31, 2023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32,179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29,261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78,875</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36,939</w:t>
            </w:r>
          </w:p>
        </w:tc>
      </w:tr>
      <w:tr>
        <w:trPr>
          <w:trHeight w:val="256"/>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619"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61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impairment charges as of September 30, 2024 were $9.4 million for the Americas segment, $18.5 million for the Southeast Asia/Pacific segment, $32.2 million for the Mainland China segment, $16.0 million for the Japan segment, $29.3 million for the South Korea segment, $2.9 million for the Europe &amp; Africa segment, $6.6 million for the Hong Kong/Taiwan segment and $15.9 million for the Rhyz other segment. There were no accumulated impairment charges as of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based on continued losses and change in forecasted losses associated with the BeautyBio retail asset group within the Rhyz other segment, the Company concluded that these factors were an interim triggering event. As a result, the Company performed an interim impairment test of the asset group and assessed the recoverability of the related asset group by comparing the carrying value of the retail asset group to the net undiscounted cash flow expected to be generated. The recoverability test indicated that the retail asset group was impaired. The Company concluded the retail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The Company recorded an impairment charge of $10.1 million for its Rhyz other segment during the three months ended June 30, 2024 within restructuring and impairment expenses on the consolidated statement of income. The retail asset group has a remaining carrying value of $2.3 million with a remaining amortization period of approximately 9 years.</w:t>
      </w:r>
    </w:p>
    <w:p>
      <w:pPr>
        <w:spacing w:after="0" w:line="18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September 30, 2024, the Company was in compliance with all covenants under the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facilities as of September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Balance as of</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6"/>
        </w:trPr>
        <w:tc>
          <w:tcPr>
            <w:tcW w:w="26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Facility 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0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Repayment</w:t>
            </w:r>
          </w:p>
        </w:tc>
      </w:tr>
      <w:tr>
        <w:trPr>
          <w:trHeight w:val="277"/>
        </w:trPr>
        <w:tc>
          <w:tcPr>
            <w:tcW w:w="260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4"/>
                <w:vertAlign w:val="subscript"/>
              </w:rPr>
              <w:t>2024</w:t>
            </w:r>
            <w:r>
              <w:rPr>
                <w:rFonts w:ascii="Times New Roman" w:cs="Times New Roman" w:eastAsia="Times New Roman" w:hAnsi="Times New Roman"/>
                <w:sz w:val="14"/>
                <w:szCs w:val="14"/>
                <w:color w:val="auto"/>
                <w:w w:val="94"/>
              </w:rPr>
              <w:t>(1)(2)</w:t>
            </w:r>
          </w:p>
        </w:tc>
        <w:tc>
          <w:tcPr>
            <w:tcW w:w="120" w:type="dxa"/>
            <w:vAlign w:val="bottom"/>
          </w:tcPr>
          <w:p>
            <w:pPr>
              <w:spacing w:after="0"/>
              <w:rPr>
                <w:sz w:val="24"/>
                <w:szCs w:val="24"/>
                <w:color w:val="auto"/>
              </w:rPr>
            </w:pPr>
          </w:p>
        </w:tc>
        <w:tc>
          <w:tcPr>
            <w:tcW w:w="11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7"/>
                <w:vertAlign w:val="subscript"/>
              </w:rPr>
              <w:t>2023</w:t>
            </w:r>
            <w:r>
              <w:rPr>
                <w:rFonts w:ascii="Times New Roman" w:cs="Times New Roman" w:eastAsia="Times New Roman" w:hAnsi="Times New Roman"/>
                <w:sz w:val="14"/>
                <w:szCs w:val="14"/>
                <w:color w:val="auto"/>
                <w:w w:val="97"/>
              </w:rPr>
              <w:t>(1)(2)</w:t>
            </w:r>
          </w:p>
        </w:tc>
        <w:tc>
          <w:tcPr>
            <w:tcW w:w="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Terms</w:t>
            </w:r>
          </w:p>
        </w:tc>
      </w:tr>
      <w:tr>
        <w:trPr>
          <w:trHeight w:val="194"/>
        </w:trPr>
        <w:tc>
          <w:tcPr>
            <w:tcW w:w="24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term loan</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w w:val="98"/>
              </w:rPr>
              <w:t>$400.0 million</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w w:val="98"/>
              </w:rPr>
              <w:t>$365.0 million</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$385.0 million</w:t>
            </w:r>
          </w:p>
        </w:tc>
        <w:tc>
          <w:tcPr>
            <w:tcW w:w="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Variable 30 day: 7.20%</w:t>
            </w:r>
          </w:p>
        </w:tc>
        <w:tc>
          <w:tcPr>
            <w:tcW w:w="10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21% of the principal amount is payable in</w:t>
            </w:r>
          </w:p>
        </w:tc>
      </w:tr>
      <w:tr>
        <w:trPr>
          <w:trHeight w:val="220"/>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increasing  quarterly  installments  over  a</w:t>
            </w:r>
          </w:p>
        </w:tc>
      </w:tr>
      <w:tr>
        <w:trPr>
          <w:trHeight w:val="216"/>
        </w:trPr>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five-year period that began on September</w:t>
            </w:r>
          </w:p>
        </w:tc>
      </w:tr>
      <w:tr>
        <w:trPr>
          <w:trHeight w:val="216"/>
        </w:trPr>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 2022, with the remainder payable at the</w:t>
            </w:r>
          </w:p>
        </w:tc>
      </w:tr>
      <w:tr>
        <w:trPr>
          <w:trHeight w:val="234"/>
        </w:trPr>
        <w:tc>
          <w:tcPr>
            <w:tcW w:w="2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end of the five-year term.</w:t>
            </w:r>
          </w:p>
        </w:tc>
      </w:tr>
      <w:tr>
        <w:trPr>
          <w:trHeight w:val="194"/>
        </w:trPr>
        <w:tc>
          <w:tcPr>
            <w:tcW w:w="2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revolving</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$70.0 million</w:t>
            </w:r>
          </w:p>
        </w:tc>
        <w:tc>
          <w:tcPr>
            <w:tcW w:w="12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$120.0 million</w:t>
            </w:r>
          </w:p>
        </w:tc>
        <w:tc>
          <w:tcPr>
            <w:tcW w:w="17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Variable 30 day: 7.20%</w:t>
            </w:r>
          </w:p>
        </w:tc>
        <w:tc>
          <w:tcPr>
            <w:tcW w:w="32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Revolving line of credit expires June 14,</w:t>
            </w:r>
          </w:p>
        </w:tc>
      </w:tr>
      <w:tr>
        <w:trPr>
          <w:trHeight w:val="238"/>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2027.</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and December 31, 2023, the current portion of the Company’s debt (i.e., becoming due in the next 12 months) included $20.0 million and $25.0 million, respectively, of the balance of its term loan under the Credit Agreement and $40.0 million and zero, respectively, of the balance under the revolving line of credit.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debt reflects the amounts stated in the above table, less debt issuance costs of $1.5 million and $2.0 million as of September 30, 2024 and December 31, 2023, respectively, related to the Credit Agreement, which are not reflected in this table.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2024, the weighted-average remaining lease term was 6.9 and 3.1 years for operating and finance leases, respectively. As of September 30, 2024, the weighted-average discount rate was 3.6% and 3.7% for operating and finance leases,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(U.S. 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17,892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22,945</w:t>
            </w: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3,843</w:t>
            </w:r>
          </w:p>
        </w:tc>
      </w:tr>
      <w:tr>
        <w:trPr>
          <w:trHeight w:val="216"/>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25,065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30,578</w:t>
            </w: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(U.S. dollars 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460" w:type="dxa"/>
            <w:vAlign w:val="bottom"/>
          </w:tcPr>
          <w:p>
            <w:pPr>
              <w:spacing w:after="0"/>
              <w:rPr>
                <w:sz w:val="24"/>
                <w:szCs w:val="24"/>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8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 from finance leases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 from finance leases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14,351</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r>
      <w:tr>
        <w:trPr>
          <w:trHeight w:val="432"/>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(U.S. dollars in thousands):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2,822</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2,817</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2,795</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00" w:type="dxa"/>
            <w:vAlign w:val="bottom"/>
            <w:shd w:val="clear" w:color="auto" w:fill="CCEEFF"/>
          </w:tcPr>
          <w:p>
            <w:pPr>
              <w:spacing w:after="0"/>
              <w:rPr>
                <w:sz w:val="18"/>
                <w:szCs w:val="18"/>
                <w:color w:val="auto"/>
              </w:rPr>
            </w:pP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Less: Finance charges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r>
      <w:tr>
        <w:trPr>
          <w:trHeight w:val="256"/>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principal liability</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has additional lease liabilities of $0.1 million which have not yet commenced as of September 30, 2024, and as such, have not been recognized on the consolidated balance sheets.</w:t>
      </w:r>
    </w:p>
    <w:p>
      <w:pPr>
        <w:spacing w:after="0" w:line="15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September 30, 2024 and 2023, stock options of 2.3 million and 2.1 million, respectively, and for the nine-month periods ended September 30, 2024 and 2023, stock options of 1.5 million and 1.3 million, respectively, were excluded from the calculation of diluted earnings per share because they were anti-dilutive.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May and August 2024, the Company’s board of directors declared quarterly cash dividends of $0.06 per share. These quarterly cash dividends of $3.0 million were paid on March 6, 2024, June 12, 2024 and September 11, 2024, respectively, to stockholders of record on February 26, 2024, May 31, 2024 and August 30, 2024, respectively. In November 2024, the Company’s board of directors declared a quarterly cash dividend of $0.06 per share to be paid on December 11, 2024 to stockholders of record on November 29,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common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nine-month periods ended September 30, 2024, the Company repurchased zero shares of its Class A common stock under its stock repurchase plan. As of September 30, 2024, $162.4 million was available for repurchases under the Company’s stock repurchase plan.</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and Equity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8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Level 1 – quoted prices in active markets for identical assets or liabilities;</w:t>
      </w:r>
    </w:p>
    <w:p>
      <w:pPr>
        <w:spacing w:after="0" w:line="1" w:lineRule="exact"/>
        <w:rPr>
          <w:rFonts w:ascii="Times New Roman" w:cs="Times New Roman" w:eastAsia="Times New Roman" w:hAnsi="Times New Roman"/>
          <w:sz w:val="29"/>
          <w:szCs w:val="29"/>
          <w:color w:val="auto"/>
          <w:vertAlign w:val="superscript"/>
        </w:rPr>
      </w:pPr>
    </w:p>
    <w:p>
      <w:pPr>
        <w:ind w:left="660" w:hanging="328"/>
        <w:spacing w:after="0" w:line="186" w:lineRule="auto"/>
        <w:tabs>
          <w:tab w:leader="none" w:pos="66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Level 2 – inputs, other than the quoted prices in active markets, that are observable either directly or indirectly; and</w:t>
      </w:r>
    </w:p>
    <w:p>
      <w:pPr>
        <w:spacing w:after="0" w:line="2" w:lineRule="exact"/>
        <w:rPr>
          <w:rFonts w:ascii="Times New Roman" w:cs="Times New Roman" w:eastAsia="Times New Roman" w:hAnsi="Times New Roman"/>
          <w:sz w:val="24"/>
          <w:szCs w:val="24"/>
          <w:color w:val="auto"/>
          <w:vertAlign w:val="superscript"/>
        </w:rPr>
      </w:pPr>
    </w:p>
    <w:p>
      <w:pPr>
        <w:ind w:left="660" w:hanging="328"/>
        <w:spacing w:after="0" w:line="186" w:lineRule="auto"/>
        <w:tabs>
          <w:tab w:leader="none" w:pos="66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Level 3 – unobservable inputs based on the Company’s own assumptions.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Fair Value at September 30,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29,539</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29,539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43,994</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42,916</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12,689</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45,041</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r>
      <w:tr>
        <w:trPr>
          <w:trHeight w:val="256"/>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280" w:type="dxa"/>
            <w:vAlign w:val="bottom"/>
          </w:tcPr>
          <w:p>
            <w:pPr>
              <w:spacing w:after="0"/>
              <w:rPr>
                <w:sz w:val="24"/>
                <w:szCs w:val="24"/>
                <w:color w:val="auto"/>
              </w:rPr>
            </w:pPr>
          </w:p>
        </w:tc>
        <w:tc>
          <w:tcPr>
            <w:tcW w:w="170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life insurance contracts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settlements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at September 30</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Life insurance contracts: </w:t>
      </w:r>
      <w:r>
        <w:rPr>
          <w:rFonts w:ascii="Times New Roman" w:cs="Times New Roman" w:eastAsia="Times New Roman" w:hAnsi="Times New Roman"/>
          <w:sz w:val="18"/>
          <w:szCs w:val="18"/>
          <w:color w:val="auto"/>
        </w:rPr>
        <w:t>Accounting Standards Codification (“ASC”) 820 preserves practicability exceptions to fair value measurements provided by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contingent consideration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at September 30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(6,422)</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Contingent consideration represents the obligations incurred in connection with acquisitions. The estimate of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September 30, 2024 and December 31, 2023.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of 2021 gain was recorded within Other income (expense), net on the Consolidated Statement of Income. The upward fair value adjustment represents a nonrecurring fair value measurement based on observable price changes and is classified as a Level 3 fair value measurement.</w:t>
      </w:r>
    </w:p>
    <w:p>
      <w:pPr>
        <w:spacing w:after="0" w:line="18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(benefit) for income taxes for the three- and nine-month periods ended September 30, 2024 was $5.0 million and $(6.8) million, compared to $2.5 million and $15.9 million for the prior-year periods. The effective tax rates for the three- and nine-month periods ended September 30, 2024, were 37.6% and 5.8% of pre-tax income compared to (7.3)% and 92.4% in the prior-year periods.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$115.3 million and $105.0 million as of September 30, 2024 and December 31, 2023,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2023. If the amount designated as indefinitely reinvested as of December 31, 2023 were repatriated to the United States, the amount of incremental taxes would be approximately $6.0 million. The Company intends to utilize the indefinitely reinvested offshore earnings to fund foreign investments, specifically capital expenditures.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2023, tax years through 2020 and 2022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2023 and 2024,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2020.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decrease in the next 12 months by approximately $3.0 to $4.0 million.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Based on current enacted legislation, the Company anticipates the impact of Pillar Two to be immaterial for 2024.</w:t>
      </w:r>
    </w:p>
    <w:p>
      <w:pPr>
        <w:spacing w:after="0" w:line="17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2024, such derivatives were used to hedge the variable cash flows associated with existing variable-rate debt.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$6.3 million will be reclassified as a reduction to interest expense.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four outstanding interest rate derivatives that were designated as cash flow hedges of interest rate risk with a total notional amount of $200 million.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Derivative Instruments on the 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Fair Values of</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Derivative Instruments</w:t>
            </w:r>
          </w:p>
        </w:tc>
      </w:tr>
      <w:tr>
        <w:trPr>
          <w:trHeight w:val="194"/>
        </w:trPr>
        <w:tc>
          <w:tcPr>
            <w:tcW w:w="41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Derivatives in Cash flow</w:t>
            </w:r>
          </w:p>
        </w:tc>
        <w:tc>
          <w:tcPr>
            <w:tcW w:w="120" w:type="dxa"/>
            <w:vAlign w:val="bottom"/>
          </w:tcPr>
          <w:p>
            <w:pPr>
              <w:spacing w:after="0"/>
              <w:rPr>
                <w:sz w:val="16"/>
                <w:szCs w:val="16"/>
                <w:color w:val="auto"/>
              </w:rPr>
            </w:pPr>
          </w:p>
        </w:tc>
        <w:tc>
          <w:tcPr>
            <w:tcW w:w="4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12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Prepaid expenses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Cash Flow Hedge Accounting on 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effect of cash flow hedge accounting on Accumulated Other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2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Gain (Loss) Recognized in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11"/>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Other Comprehensive Loss on Derivatives</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lef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6"/>
                <w:szCs w:val="16"/>
                <w:color w:val="auto"/>
              </w:rPr>
            </w:pPr>
          </w:p>
        </w:tc>
      </w:tr>
      <w:tr>
        <w:trPr>
          <w:trHeight w:val="245"/>
        </w:trPr>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194"/>
        </w:trPr>
        <w:tc>
          <w:tcPr>
            <w:tcW w:w="360" w:type="dxa"/>
            <w:vAlign w:val="bottom"/>
          </w:tcPr>
          <w:p>
            <w:pPr>
              <w:spacing w:after="0"/>
              <w:rPr>
                <w:sz w:val="16"/>
                <w:szCs w:val="16"/>
                <w:color w:val="auto"/>
              </w:rPr>
            </w:pPr>
          </w:p>
        </w:tc>
        <w:tc>
          <w:tcPr>
            <w:tcW w:w="5620" w:type="dxa"/>
            <w:vAlign w:val="bottom"/>
            <w:gridSpan w:val="5"/>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Derivatives in Cash flow</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60" w:type="dxa"/>
            <w:vAlign w:val="bottom"/>
          </w:tcPr>
          <w:p>
            <w:pPr>
              <w:spacing w:after="0"/>
              <w:rPr>
                <w:sz w:val="21"/>
                <w:szCs w:val="21"/>
                <w:color w:val="auto"/>
              </w:rPr>
            </w:pPr>
          </w:p>
        </w:tc>
        <w:tc>
          <w:tcPr>
            <w:tcW w:w="56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Hedging Relationships: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3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1,515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shd w:val="clear" w:color="auto" w:fill="CCEEFF"/>
          </w:tcPr>
          <w:p>
            <w:pPr>
              <w:spacing w:after="0"/>
              <w:rPr>
                <w:sz w:val="18"/>
                <w:szCs w:val="18"/>
                <w:color w:val="auto"/>
              </w:rPr>
            </w:pPr>
          </w:p>
        </w:tc>
      </w:tr>
      <w:tr>
        <w:trPr>
          <w:trHeight w:val="410"/>
        </w:trPr>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Amount of Gain Reclassified from</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20" w:type="dxa"/>
            <w:vAlign w:val="bottom"/>
            <w:gridSpan w:val="1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Accumulated Other Comprehensive Loss into Income</w:t>
            </w:r>
          </w:p>
        </w:tc>
      </w:tr>
      <w:tr>
        <w:trPr>
          <w:trHeight w:val="194"/>
        </w:trPr>
        <w:tc>
          <w:tcPr>
            <w:tcW w:w="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5"/>
          </w:tcPr>
          <w:p>
            <w:pPr>
              <w:jc w:val="center"/>
              <w:ind w:lef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4"/>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6"/>
                <w:szCs w:val="16"/>
                <w:color w:val="auto"/>
              </w:rPr>
            </w:pPr>
          </w:p>
        </w:tc>
      </w:tr>
      <w:tr>
        <w:trPr>
          <w:trHeight w:val="245"/>
        </w:trPr>
        <w:tc>
          <w:tcPr>
            <w:tcW w:w="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194"/>
        </w:trPr>
        <w:tc>
          <w:tcPr>
            <w:tcW w:w="360" w:type="dxa"/>
            <w:vAlign w:val="bottom"/>
          </w:tcPr>
          <w:p>
            <w:pPr>
              <w:spacing w:after="0"/>
              <w:rPr>
                <w:sz w:val="16"/>
                <w:szCs w:val="16"/>
                <w:color w:val="auto"/>
              </w:rPr>
            </w:pPr>
          </w:p>
        </w:tc>
        <w:tc>
          <w:tcPr>
            <w:tcW w:w="2460" w:type="dxa"/>
            <w:vAlign w:val="bottom"/>
          </w:tcPr>
          <w:p>
            <w:pPr>
              <w:jc w:val="center"/>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in Cash flow</w:t>
            </w:r>
          </w:p>
        </w:tc>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60" w:type="dxa"/>
            <w:vAlign w:val="bottom"/>
          </w:tcPr>
          <w:p>
            <w:pPr>
              <w:spacing w:after="0"/>
              <w:rPr>
                <w:sz w:val="21"/>
                <w:szCs w:val="21"/>
                <w:color w:val="auto"/>
              </w:rPr>
            </w:pPr>
          </w:p>
        </w:tc>
        <w:tc>
          <w:tcPr>
            <w:tcW w:w="24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140" w:type="dxa"/>
            <w:vAlign w:val="bottom"/>
          </w:tcPr>
          <w:p>
            <w:pPr>
              <w:spacing w:after="0"/>
              <w:rPr>
                <w:sz w:val="21"/>
                <w:szCs w:val="21"/>
                <w:color w:val="auto"/>
              </w:rPr>
            </w:pPr>
          </w:p>
        </w:tc>
        <w:tc>
          <w:tcPr>
            <w:tcW w:w="30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Income Statement Location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3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CCEEFF"/>
          </w:tcPr>
          <w:p>
            <w:pPr>
              <w:spacing w:after="0"/>
              <w:rPr>
                <w:sz w:val="18"/>
                <w:szCs w:val="18"/>
                <w:color w:val="auto"/>
              </w:rPr>
            </w:pPr>
          </w:p>
        </w:tc>
        <w:tc>
          <w:tcPr>
            <w:tcW w:w="2920" w:type="dxa"/>
            <w:vAlign w:val="bottom"/>
            <w:tcBorders>
              <w:top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40" w:type="dxa"/>
            <w:vAlign w:val="bottom"/>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2,628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shd w:val="clear" w:color="auto" w:fill="CCEEFF"/>
          </w:tcPr>
          <w:p>
            <w:pPr>
              <w:spacing w:after="0"/>
              <w:rPr>
                <w:sz w:val="18"/>
                <w:szCs w:val="18"/>
                <w:color w:val="auto"/>
              </w:rPr>
            </w:pP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revenue from nine segments, consisting of its seven geographic Nu Skin segments—Americas, Mainland China, Southeast Asia/Pacific, South Korea, Japan, Europe &amp; Africa, and Hong Kong/Taiwan—and two Rhyz Investments segments—Manufacturing and Rhyz other. The Nu Skin other category includes miscellaneous corporate revenue and related adjustments. The Rhyz other segment includes other investments by our Rhyz business arm. These segments reflect the way the chief operating decision maker evaluates the Company’s business performance and allocates resources. Reported revenue includes only the revenue generated by sales to external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by Segment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237,160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300,469</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200,317</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178,797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226,563</w:t>
            </w:r>
          </w:p>
        </w:tc>
      </w:tr>
      <w:tr>
        <w:trPr>
          <w:trHeight w:val="216"/>
        </w:trPr>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156,867</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187,719</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144,460</w:t>
            </w:r>
          </w:p>
        </w:tc>
      </w:tr>
      <w:tr>
        <w:trPr>
          <w:trHeight w:val="216"/>
        </w:trPr>
        <w:tc>
          <w:tcPr>
            <w:tcW w:w="5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112,380</w:t>
            </w:r>
          </w:p>
        </w:tc>
      </w:tr>
      <w:tr>
        <w:trPr>
          <w:trHeight w:val="223"/>
        </w:trPr>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Nu Skin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356,996</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1,083,017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1,328,983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gridSpan w:val="2"/>
            <w:shd w:val="clear" w:color="auto" w:fill="CCEEFF"/>
          </w:tcPr>
          <w:p>
            <w:pPr>
              <w:ind w:left="320"/>
              <w:spacing w:after="0" w:line="256" w:lineRule="exact"/>
              <w:rPr>
                <w:sz w:val="20"/>
                <w:szCs w:val="20"/>
                <w:color w:val="auto"/>
              </w:rPr>
            </w:pPr>
            <w:r>
              <w:rPr>
                <w:rFonts w:ascii="Times New Roman" w:cs="Times New Roman" w:eastAsia="Times New Roman" w:hAnsi="Times New Roman"/>
                <w:sz w:val="18"/>
                <w:szCs w:val="18"/>
                <w:color w:val="auto"/>
              </w:rPr>
              <w:t xml:space="preserve">Manufacturing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51,773</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49,714</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153,548</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131,032</w:t>
            </w:r>
          </w:p>
        </w:tc>
      </w:tr>
      <w:tr>
        <w:trPr>
          <w:trHeight w:val="223"/>
        </w:trPr>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49,967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20,476</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430,145</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498,772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1,286,532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1,480,491</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segment had $10.9 million and $16.2 million of intersegment revenue for the three months ended September 30, 2024 and 2023, respectively, and $28.5 million and $44.3 million for the nine months ended September 30, 2024 and 2023, respectively. Intersegment revenue is eliminated in the consolidated financial statements, as well as the reported segment revenue in the table above.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Segment Contribution</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61,730</w:t>
            </w: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13,190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31,787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37,057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48,192</w:t>
            </w: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40,033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60,399</w:t>
            </w: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28,128</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 contribution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95,798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228,796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290,684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(11,318)</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 Investments contribution</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contribution</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72,966</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(54,735)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(121,035)</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(317,228)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(254,844)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(34,451)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8,127</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13,866</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17,321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52,339</w:t>
            </w:r>
          </w:p>
        </w:tc>
        <w:tc>
          <w:tcPr>
            <w:tcW w:w="0" w:type="dxa"/>
            <w:vAlign w:val="bottom"/>
          </w:tcPr>
          <w:p>
            <w:pPr>
              <w:spacing w:after="0"/>
              <w:rPr>
                <w:sz w:val="1"/>
                <w:szCs w:val="1"/>
                <w:color w:val="auto"/>
              </w:rPr>
            </w:pPr>
          </w:p>
        </w:tc>
      </w:tr>
      <w:tr>
        <w:trPr>
          <w:trHeight w:val="21"/>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12,265</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14,421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38,105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60" w:lineRule="auto"/>
        <w:tabs>
          <w:tab w:leader="none" w:pos="2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7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acquired 60 percent of LifeDNA, Inc. (“LifeDNA”), a DNA assessment company. Consideration paid included $4.0 million of cash, along with the conversion of a previous $3.0 million Simple Agreement for Future Equity (“SAFE”), and a $0.2 million convertible note. The acquisition enables the Company to continue to expand its digital tools. The Company allocated the fair value of $12.0 million to the assets acquired and liabilities assumed at estimated fair values. The estimated fair value of assets acquired included $7.3 million of intangible assets, $1.7 million of cash, $0.1 million of current assets, $0.9 million of accrued liabilities and also resulted in a deferred tax liability of $0.9 million. The excess purchase price over the aggregate fair value of assets acquired less liabilities assumed of $4.7 million was recorded as goodwill. The goodwill recognized is attributable primarily to expected synergies. None of the goodwill is expected to be deductible for income tax purposes. The intangible assets acquired comprised $0.6 million of customer relationships, $1.7 million of technology, $1.0 million of tradenames and $4.1 million of other intangibles. The intangibles were assigned useful lives of 7 years for the technology, tradenames and other intangibles, and 2 years for the customer relationships. All the goodwill was assigned to our Rhyz other segment. The numbers above are stated net of measurement period adjustments recorded during the fourth quarter of 2023 of $1.1 million to deferred tax liability and goodwill. The allocation of the fair value of assets acquired and liabilities assumed for the acquisition was finalized during the three months ended December 31, 2023.</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2023, the Company acquired 100 percent ownership in Beauty Biosciences, LLC (“BeautyBio”), making BeautyBio a wholly owned subsidiary of the Company. The acquisition expands the Company’s product and device offerings within its Rhyz segment. The purchase price for BeautyBio was $75.0 million, net of cash acquired of $1.5 million, all payable in cash. The Company allocated the gross purchase price of $76.5 million to the assets acquired and liabilities assumed at estimated fair values. The estimated fair value of assets acquired included $43.0 million of intangible assets, $1.5 million of cash, $3.5 million of accounts receivable, $10.3 million of inventory, $0.8 million of prepaid and other assets, $1.0 million of fixed assets, $1.2 million of an ROU operating lease asset and corresponding lease liability, $2.5 million of accounts payable and accrued liabilities and also resulted in a deferred tax liability of $0.7 million. The excess purchase price over the aggregate fair value of assets acquired less liabilities assumed of $19.6 million was recorded as goodwill. The goodwill recognized is attributable primarily to expected synergies. None of the goodwill is expected to be deductible for income tax purposes. The intangible assets acquired comprised $18.4 million of customer relationships, $2.3 million of technology, $20.9 million of tradenames and $1.4 million of other intangibles. The intangibles were assigned useful lives of approximately 19 years for the technology and tradenames, approximately 9 years for the customer relationships and 3 years for the other intangibles. All the goodwill was assigned to our Rhyz other segment. The numbers above are stated net of measurement period adjustments recorded during the fourth quarter of 2023 of $(1.2) million to accounts receivable, $(0.7) million of inventory, $(0.5) million of accrued liabilities, $0.7 million of deferred tax liability, $(0.3) of intangible assets and $2.4 million of goodwill. The allocation of the fair value of assets acquired and liabilities assumed for the acquisition was finalized during the three months ended March 31, 2024.</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results of LifeDNA and BeautyBio are included in the Rhyz other segment from the date of acquisition. For the three and nine months ended September 30, 2024, the Company included $3.0 million and $12.6 million, respectively, of revenue from these acquisitions. The unaudited pro forma revenue for the Company, including LifeDNA and BeautyBio, as if the acquisitions occurred on January 1, 2023, would have been $1,489.1 million for the nine months ended September 30, 2023, respectively.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third quarter of 2022, the Company adopted a strategic plan (“2022 Plan”) to focus resources on the Company’s strategic priorities and optimize future growth and profitability. The global program includes workforce reductions and footprint optimization. The Company incurred total charges under the program of approximately $53.3 million, with $40.8 million in cash charges of severance and lease termination cost and approximately $12.5 million of non-cash charges of impairment of fixed assets, acceleration of depreciation and impairment of other intangibles related to the footprint optimization. During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 During the first quarter and full year of 2023, the Company incurred charges to be settled in cash of $4.0 million in severance charges, $1.9 million in lease termination cost, and $2.2 million in other associated cost, and non-cash charges of $1.7 million in accelerated depreciation. In 2023, the Company made cash payments of $19.8 million, leaving no restructuring accrual related to this plan as of December 31,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- 2022 Plan</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22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14,533</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16"/>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Rhyz other</w:t>
            </w:r>
          </w:p>
        </w:tc>
        <w:tc>
          <w:tcPr>
            <w:tcW w:w="2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43,494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53,281</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080" w:type="dxa"/>
            <w:vAlign w:val="bottom"/>
            <w:vMerge w:val="restart"/>
          </w:tcPr>
          <w:p>
            <w:pPr>
              <w:jc w:val="right"/>
              <w:ind w:right="756"/>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fourth quarter of 2023, the Company adopted another strategic plan (“2023 Plan”) to focus resources on the Company’s global priorities and optimize future growth and profitability. The global program includes workforce reductions. The Company estimates total charges under the program will approximate $30–35 million in cash charges of severance, approximately $2.2 million in other cash charges and approximately $8.2 million in non-cash charges, including approximately $6.4 million in fixed asset impairments. The Company expects to substantially complete the program during the second half of 2024. During the fourth quarter of 2023, the Company incurred charges to be settled in cash of $10.0 million in severance charges. During the fourth quarter of 2023, the Company made cash payments of $0.3 million, leaving an ending restructuring accrual of $9.7 million. During the first quarter of 2024, the Company incurred charges to be settled in cash of $4.1 million in severance charges and $2.0 million in other associated cost, and non-cash charges of $1.0 million in write-down of assets. During the first quarter of 2024, the Company made cash payments of $7.0 million, leaving an ending restructuring accrual of $8.8 million. During the second quarter of 2024, the Company incurred charges to be settled in cash of $1.0 million in severance charges and $0.1 million in other cash charges. In the second quarter of 2024, the Company incurred non-cash charges of $7.2 million, consisting of $6.4 million in fixed asset impairments and $0.8 million in other asset write-downs. During the second quarter of 2024, the Company made cash payments of $2.8 million, leaving an ending restructuring accrual of $7.1 million. During the third quarter of 2024, the Company incurred no additional charges and made cash payments of $3.9 leaving an ending restructuring accrual of $3.2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2023 Plan</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Americas</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Southeast Asia/Pacific</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Mainland China</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South Korea</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Europe &amp; Africa</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Hong Kong/Taiwan</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Manufacturing</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Rhyz other</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5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4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of our Rhyz business, acquisitions, and the integration of acquired companies,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or related to the United States and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2023 fiscal year and in any of our subsequent Securities and Exchange Commission filings, including this Quarterly Report.</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2023 fiscal year, and our other reports filed with the Securities and Exchange Commission through the date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three-month period ended September 30, 2024 decreased 14% to $430.1 million, compared to $498.8 million in the prior-year period, and revenue for the nine-month period ended September 30, 2024 decreased 13% to $1.3 billion, compared to $1.5 billion in the prior-year period. Our revenue in the third quarter and first nine months of 2024 was negatively impacted 3.4% and 3.8%, respectively, from foreign-currency fluctuations. Our Customers, Paid Affiliates and Sales Leaders declined 15%, 20% and 19%, respectively, on a year-over-year basis.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declines in our third quarter and first nine months of 2024 revenue were largely driven by continued macroeconomic pressures we have been facing in our core Nu Skin segments, which have negatively impacted consumer spending and customer acquisition. In addition, while we continue to make progress on our long-term vision, we have experienced headwinds from the transformation process. The declines in our core Nu Skin segments were partially offset by 20.9% and 34.3% growth for the third quarter and first nine months of 2024, respectively, in our Rhyz segments, partially from acquisitions in the second quarter of 2023 as well as organic growth. Rhyz is a key component of our business, and we anticipate its continued growth in the coming years both on an absolute basis and as a percentage of our consolidated revenue. These companies enable us to diversify our revenue mix, serve more customers where they shop, and create synergies for our owned and partner brands. In the fourth quarter, we are beginning to introduce our new sales performance plan, which we believe combines the best of affiliate marketing and leadership incentives to activate our existing sales force and excite potential new prospects. The plan is placing an enhanced focus on upfront earnings to help attract and retain new affiliates.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per share for the third quarter of 2024 increased to $0.17, compared to $(0.74) in the prior-year period. Earnings per share for the first nine months of 2024 decreased to $(2.23), compared to $0.03 in the prior-year period. The increase in earnings per share for the third quarter is primarily driven by a third quarter of 2023 inventory write-off charge of $65.7 million, partially offset by a decline in revenue. The decrease in earnings per share for the first nine months of 2024 is primarily driven by second quarter of 2024 restructuring and impairment charges of $149.4 million, along with the overall decline in revenue, partially offset by the third quarter of 2023 inventory write-off charge.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business in nine segments to reflect our current management approach. These segments consist of our seven geographic Nu Skin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Mainland China, Southeast Asia/Pacific, Japan, Europe &amp; Africa, South Korea and Hong Kong/Taiwan—and our Rhyz Investment segments—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Rhyz other. The Nu Skin other category includes miscellaneous corporate revenue and related adjustments.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 for the three- and nine-month periods ended September 30, 2024 and 2023 for each of our reportable segments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45"/>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23"/>
        </w:trPr>
        <w:tc>
          <w:tcPr>
            <w:tcW w:w="2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77,194</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91,671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237,160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300,469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68,743</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200,317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70,225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178,797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226,563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53,399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134,045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156,867</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63,709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130,283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187,719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50,048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121,564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144,460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40,724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112,380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 Skin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1,431.7%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1,431.7%</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356,996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1,328,983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49,714</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153,548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131,032</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10,813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20,476</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r>
      <w:tr>
        <w:trPr>
          <w:trHeight w:val="22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60,527</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151,508</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430,145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498,772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1,286,532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1,480,491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
        </w:trPr>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segment contribution for the three- and nine-month periods ended September 30, 2024 and 2023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The prior year segment contribution has been recast due to a change in how we allocate certain corporate costs. Consolidated financial information was not affected. For additional information regarding our segments and the calculation of segment contribution, see Note 10 to the consolidated financial statements contained in this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3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15,881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48,236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61,730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13,190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31,787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32,903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48,192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37,201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14,283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39,789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60,399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28,128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75,347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95,798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228,796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290,684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(5,966)</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550"/>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3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concerning the number of Customers, Paid Affiliates and Sales Leaders in our core Nu Skin business for the three-month periods ended September 30, 2024 and 2023.</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7280" w:type="dxa"/>
            <w:vAlign w:val="bottom"/>
          </w:tcPr>
          <w:p>
            <w:pPr>
              <w:spacing w:after="0"/>
              <w:rPr>
                <w:sz w:val="21"/>
                <w:szCs w:val="21"/>
                <w:color w:val="auto"/>
              </w:rPr>
            </w:pPr>
          </w:p>
        </w:tc>
        <w:tc>
          <w:tcPr>
            <w:tcW w:w="26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7280" w:type="dxa"/>
            <w:vAlign w:val="bottom"/>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231,215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135,291</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54,134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Customers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831,768</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978,907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32,769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Southeast Asia/Pacific</w:t>
            </w:r>
            <w:r>
              <w:rPr>
                <w:rFonts w:ascii="Times New Roman" w:cs="Times New Roman" w:eastAsia="Times New Roman" w:hAnsi="Times New Roman"/>
                <w:sz w:val="25"/>
                <w:szCs w:val="25"/>
                <w:b w:val="1"/>
                <w:bCs w:val="1"/>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33,574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Japan</w:t>
            </w:r>
            <w:r>
              <w:rPr>
                <w:rFonts w:ascii="Times New Roman" w:cs="Times New Roman" w:eastAsia="Times New Roman" w:hAnsi="Times New Roman"/>
                <w:sz w:val="25"/>
                <w:szCs w:val="25"/>
                <w:b w:val="1"/>
                <w:bCs w:val="1"/>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37,695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Paid Affiliates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149,264</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186,162</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Sales Leaders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ind w:left="340" w:right="8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September 30, 2024 number is affected by a change in eligibility requirements for receiving certain rewards within our compensation structure, to more narrowly focus on those affiliates who are actively building a consumer base. See “Japan” and “Southeast Asia/Pacific,” below. We plan to implement these changes in additional segments over the next several quarters.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narrative discussion of our results in each segment, which supplements the tables above.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xml:space="preserve">. The results in our Americas segment reflect a continued decline in momentum in our North America markets, while our Latin America markets continue to be challenged by macroeconomic issues. In connection with our transformation efforts, we also have experienced disruptions to our subscription sales in North America, which negatively impacted revenue. In addition, our reported revenue reflects a negative impact from unfavorable foreign currency fluctuations of 15.9% and 9.0% for the three- and nine-month periods, respectively. Our 2024 revenue has benefited from new product launches; in the first quarter of 2024, we launched our new connected device, which generated approximately $27.8 million in revenue for the first nine months of 2024, and in the third quarter of 2024, we launched our new </w:t>
      </w:r>
      <w:r>
        <w:rPr>
          <w:rFonts w:ascii="Times New Roman" w:cs="Times New Roman" w:eastAsia="Times New Roman" w:hAnsi="Times New Roman"/>
          <w:sz w:val="18"/>
          <w:szCs w:val="18"/>
          <w:i w:val="1"/>
          <w:iCs w:val="1"/>
          <w:color w:val="auto"/>
        </w:rPr>
        <w:t>ageLOC TruFace Peptide Retinol Complex</w:t>
      </w:r>
      <w:r>
        <w:rPr>
          <w:rFonts w:ascii="Times New Roman" w:cs="Times New Roman" w:eastAsia="Times New Roman" w:hAnsi="Times New Roman"/>
          <w:sz w:val="18"/>
          <w:szCs w:val="18"/>
          <w:color w:val="auto"/>
        </w:rPr>
        <w:t xml:space="preserve"> with advanced peptide technology and </w:t>
      </w:r>
      <w:r>
        <w:rPr>
          <w:rFonts w:ascii="Times New Roman" w:cs="Times New Roman" w:eastAsia="Times New Roman" w:hAnsi="Times New Roman"/>
          <w:sz w:val="18"/>
          <w:szCs w:val="18"/>
          <w:i w:val="1"/>
          <w:iCs w:val="1"/>
          <w:color w:val="auto"/>
        </w:rPr>
        <w:t xml:space="preserve">MYND360, </w:t>
      </w:r>
      <w:r>
        <w:rPr>
          <w:rFonts w:ascii="Times New Roman" w:cs="Times New Roman" w:eastAsia="Times New Roman" w:hAnsi="Times New Roman"/>
          <w:sz w:val="18"/>
          <w:szCs w:val="18"/>
          <w:color w:val="auto"/>
        </w:rPr>
        <w:t>our new brand taking a holistic approach to support cognitive health, which generated a total of approximately $4.8 million of revenue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We are introducing a new sales performance plan in North America starting in November 2024.</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2024, we launched our developing market strategy in Argentina, with a revised operating model with a focused product portfolio and modified business model that has enabled us to reach a broader demographic. During the third quarter of 2024, our Argentina market revenue, Customers and Sales Leaders all experienced double-digit growth year-over-year.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decline in segment contribution for the third quarter of 2024 primarily reflects the decrease in revenue partially offset by a 2.3 percentage point improvement in selling expenses from product mix and growth in our developing markets. The year-over-year decline in segment contribution for the first nine months of 2024 primarily reflects the decrease in revenue.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Southeast Asia/Pacific</w:t>
      </w:r>
      <w:r>
        <w:rPr>
          <w:rFonts w:ascii="Times New Roman" w:cs="Times New Roman" w:eastAsia="Times New Roman" w:hAnsi="Times New Roman"/>
          <w:sz w:val="18"/>
          <w:szCs w:val="18"/>
          <w:color w:val="auto"/>
        </w:rPr>
        <w:t>. The decline in revenue, Customers, Paid Affiliates and Sales Leaders for the third quarter and first nine months of 2024 is partially attributable to slowing momentum from the general macroeconomic factors in the markets along with price increases that we implemented in 2022 and 2023 to address inflation. During the second quarter of 2024, we began to see year-over-year improvements in many of our markets, but our Indonesia market remains challenging. Our Paid Affiliates were negatively impacted by a change in eligibility requirements in our Pacific markets for receiving certain rewards within our compensation structure. We estimate the change in eligibility requirements resulted in a reduction of approximately 2,000 Paid Affiliates for the three months ended September 30, 2024. We are making additional changes in the fourth quarter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segment contribution is primarily attributable to the decline in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Mainland China</w:t>
      </w:r>
      <w:r>
        <w:rPr>
          <w:rFonts w:ascii="Times New Roman" w:cs="Times New Roman" w:eastAsia="Times New Roman" w:hAnsi="Times New Roman"/>
          <w:sz w:val="18"/>
          <w:szCs w:val="18"/>
          <w:color w:val="auto"/>
        </w:rPr>
        <w:t>. Our Mainland China market continued to be challenged during the third quarter and first nine months of 2024, with ongoing macroeconomic factors and the associated decrease in consumer spending leading to declines in revenue, Customers, Paid Affiliates and Sales Leaders. We anticipate the current regulatory pressures as well as other economic challenges persisting as the economy works to recover.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year-over-year decrease in segment contribution for the third quarter and first nine months of 2024 primarily reflects lower revenue. In addition, our segment contribution was impacted by a 4.7 percentage point and 3.2 percentage point decrease in gross margin for the third quarter and first nine months of 2024, respectively, attributable to increased sales promotions as well as pressure from the new manufacturing plant that went live in the fourth quarter of 2023. Our segment contribution was also impacted by a 2.5 percentage point and 2.4 percentage point increase in selling expenses as a percentage of revenue for the third quarter and first nine months of 2024, respectively, due to increased transitional sales force incentives.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Japan</w:t>
      </w:r>
      <w:r>
        <w:rPr>
          <w:rFonts w:ascii="Times New Roman" w:cs="Times New Roman" w:eastAsia="Times New Roman" w:hAnsi="Times New Roman"/>
          <w:sz w:val="18"/>
          <w:szCs w:val="18"/>
          <w:color w:val="auto"/>
        </w:rPr>
        <w:t xml:space="preserve">. The third quarter of 2024 decline in revenue is primarily attributable to the third quarter of 2023 launch of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xml:space="preserve"> which generated $1.6 million in revenue in third quarter of 2024, compared to $4.4 million in the third quarter of 2023. In addition, Japan’s third quarter and first nine months of 2024 were negatively impacted 2.7% and 8.0%, respectively, from unfavorable foreign-currency fluctuations. Our Paid Affiliates were negatively impacted by a change in eligibility requirements for receiving certain rewards within our compensation structure. We estimate the change in eligibility requirements resulted in a reduction of approximately 14,000 Paid Affiliates for the three months ended September 30, 2024.</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decline in segment contribution reflects the decreased revenue, partially offset by a 1.4 percentage point decline in general and administrative expenses for the nine months period ended September 30, 2024 attributable to savings from our restructuring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South Korea</w:t>
      </w:r>
      <w:r>
        <w:rPr>
          <w:rFonts w:ascii="Times New Roman" w:cs="Times New Roman" w:eastAsia="Times New Roman" w:hAnsi="Times New Roman"/>
          <w:sz w:val="18"/>
          <w:szCs w:val="18"/>
          <w:color w:val="auto"/>
        </w:rPr>
        <w:t>. Our South Korea market was challenged by difficult macroeconomic trends, including inflationary pressures, and our associated price increases which negatively impacted our revenue, Customers, Paid Affiliates and Sales Leaders for the third quarter and first nine months of 2024. We are introducing a new sales performance plan in South Korea starting in November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decline in segment contribution for the third quarter and first nine months of 2024 primarily reflects the decline in revenue.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Europe &amp; Africa</w:t>
      </w:r>
      <w:r>
        <w:rPr>
          <w:rFonts w:ascii="Times New Roman" w:cs="Times New Roman" w:eastAsia="Times New Roman" w:hAnsi="Times New Roman"/>
          <w:sz w:val="18"/>
          <w:szCs w:val="18"/>
          <w:color w:val="auto"/>
        </w:rPr>
        <w:t>. The reduction in revenue, Customers, Paid Affiliates and Sales Leaders reflects the softening of momentum, as well as the macroeconomic factors that have led to a decline in the purchasing power of our customers for the third quarter and first nine months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decrease in segment contribution for the third quarter and first nine months of 2024 is primarily from declines in revenue, partially offset by a 4.5 and 1.1 percentage point improvement in gross margin, primarily from a third quarter price increase and less promotional efforts.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Hong Kong/Taiwan</w:t>
      </w:r>
      <w:r>
        <w:rPr>
          <w:rFonts w:ascii="Times New Roman" w:cs="Times New Roman" w:eastAsia="Times New Roman" w:hAnsi="Times New Roman"/>
          <w:sz w:val="18"/>
          <w:szCs w:val="18"/>
          <w:color w:val="auto"/>
        </w:rPr>
        <w:t>. The declines in our Hong Kong/Taiwan segment for the third quarter and first nine months of 2024 are attributable to macroeconomic issues, which are resulting in less purchasing power for our consumers. In addition, we experienced some transformational pressures with new technology in Taiwan.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decline in segment contribution was primarily driven by the decline in revenue, partially offset by savings recognized in general and administrative expenses from our previous restructuring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Our Manufacturing segment revenue increased 4.1% and 17.2% for the third quarter and first nine months of 2024, respectively, primarily driven by our Wasatch Manufacturing entity.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segment contribution for the third quarter and first nine months of 2024 is primarily from the revenue mix amongst our manufacturing entities as well as product mix, which resulted in less profitability for the periods presented.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Rhyz Other.</w:t>
      </w:r>
      <w:r>
        <w:rPr>
          <w:rFonts w:ascii="Times New Roman" w:cs="Times New Roman" w:eastAsia="Times New Roman" w:hAnsi="Times New Roman"/>
          <w:sz w:val="18"/>
          <w:szCs w:val="18"/>
          <w:color w:val="auto"/>
        </w:rPr>
        <w:t xml:space="preserve"> The increase in revenue of our Rhyz other segment is primarily driven by 214.4% and 154.9% growth at our Mavely entity, for the third quarter and first nine months of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segment contribution for the third quarter of 2024 is primarily from increased profitability at our Mavely entity as it continues to grow. The decline in segment contribution for the first nine months of 2024 is primarily from the companies we acquired in the second quarter of 2023, which we are continuing to invest in to enable future growth, as well as the impacts of purchase accounting, which resulted in $2.3 million of incremental amortization of intangible assets for the first nine months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three-month period ended September 30, 2024 decreased 14% to $430.1 million, compared to $498.8 million in the prior-year period. Revenue for the nine-month period ended September 30, 2024 decreased 13% to $1.3 billion compared to $1.5 billion. Our reported revenue was negatively impacted 3.4% and 3.8% from foreign-currency fluctuations for the three- and nine-month periods ended September 30, 2024, respectively. For a discussion and analysis of these decreases in revenue, see “Overview” and “Segment Results,”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as a percentage of revenue was 70.1% for the third quarter of 2024, compared to 58.6% for the prior-year period, and 70.2% for the first nine months of 2024, compared to 67.9% for the prior-year period. Gross profit as a percentage of revenue for core Nu Skin increased 14.7 percentage points to 76.5% for the third quarter of 2024 and increased 4.7 percentage points to 76.6% for the first nine months of 2024. The third quarter of 2024 and first nine months of 2024 increase in our core Nu Skin gross margin is primarily attributable to a third quarter of 2023 $65.7 million inventory write-off charge, associated with a re-balancing and narrowing of our portfolio. Our consolidated gross margin for the three- and nine-month periods ended September 30, 2024, was also impacted by the gross margin of our owned manufacturing entities, which as previously disclosed, is significantly lower than the gross margin of our core Nu Skin 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expenses as a percentage of revenue increased to 39.0% for the third quarter of 2024, compared to 37.6% for the prior year period, and decreased to 37.8% for the first nine months of 2024, compared to 37.9% for the prior-year period. Core Nu Skin selling expenses as a percentage of revenue increased 1.8 percentage points to 43.5% for the third quarter of 2024 and increased 1.3 percentage points to 42.5% for the first nine months of 2024.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In the third quarter of 2024, we held our global Nu Skin L!VE event with an east L!VE in South Korea and a west L!VE in the United States. As a result of these events, we incurred approximately $10.2 million of incremental expenditures, which contributed to our elevated selling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to $115.6 million in the third quarter of 2024, compared to $130.9 million in the prior-year period and decreased to $358.1 million in the first nine months of 2024, compared to $401.8 million in the prior-year period. The $15.3 million decrease for the third quarter of 2024 and $43.7 million decrease for the first nine months of 2024 was primarily from contraction in labor expense and occupancy related expenses, both attributable to our ongoing restructuring efforts in which we reduced our physical footprint and reduced our headcount. General and administrative expenses as a percentage of revenue increased to 26.9% for the third quarter of 2024, from 26.2% for the prior-year period, and increased to 27.8% for the first nine months of 2024, from 27.1% for the prior-year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impairment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of 2022, we adopted a strategic plan to focus resources on our strategic priorities and optimize future growth and profitability. The global program included workforce reductions and footprint optimization. Total charges incurred under the program were approximately $53.3 million, with $40.8 million in cash charges of severance and lease termination cost and approximately $12.5 million of non-cash charges of impairment of fixed assets, acceleration of depreciation and impairment of other intangibles related to our footprint optimization. During the fourth quarter of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the first quarter of 2023, we incurred charges to be settled in cash of $4.0 million in severance charges, $1.9 million in lease termination cost, and $2.2 million in other associated cost, and non-cash charges of $1.7 million in accelerated depreciation.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fourth quarter of 2023, we adopted another strategic plan to focus resources on our global priorities and optimize future growth and profitability. The global program includes workforce reductions. We estimate total charges under the program will approximate $30–35 million in cash charges of severance, approximately $2.2 million in other cash charges and approximately $8.2 million in non-cash charges, including approximately $6.4 million in fixed asset impairments. We expect to substantially complete the program during the second half of 2024. The program may expand as we continue to evaluate our business, including our product portfolio, global processes and organization, and operational footprint. During the fourth quarter of 2023, we incurred charges to be settled in cash of $10.0 million in severance charges. During the first quarter of 2024, we incurred charges to be settled in cash of $4.1 million in severance charges and $2.0 million in other associated cost, and non-cash charges of $1.0 million in write-down of assets. During the second quarter of 2024, we incurred charges to be settled in cash of $1.0 million in severance charges and $0.1 million on other cash charges, and non-cash charges of $7.2 million in write-down of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we determined that the continued decline in our stock price and corresponding market capitalization as well as declines in some of our reporting units’ forecasts were triggering events that required us to perform a quantitative impairment analysis. When we performed an impairment test during the second quarter of 2024, we concluded that the estimated fair value of Americas, Mainland China, Southeast Asia/Pacific, Japan, South Korea, Europe &amp; Africa, Hong Kong/Taiwan and our BeautyBio reporting units were less than their carrying value of equity as June 30, 2024. As a result, we recorded a non-cash goodwill impairment charge of $130.9 million in the second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the three months ended June 30, 2024, we determined that the current operating losses and decline in forecasted losses associated with our BeautyBio retail asset group were an interim triggering event that required us to perform an interim impairment analysis on our BeautyBio retail asset group. We assessed the recoverability of the related asset group comparing the carrying value of the asset group to the undiscounted cash flows expected to be generated. The recoverability test indicated the retail asset group was impaired. We concluded the carrying value of the retail asset group exceeded the estimated fair value which resulted in an impairment charge of $10.1 million in our Rhyz other segment during the three months ended June 30, 2024.</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decreased to $6.5 million in the third quarter of 2024, compared to $7.5 million in the prior-year period. The third quarter decrease in interest expense is primarily attributable to decreases in borrowings on our revolving credit facility. Interest expense for the first nine months of 2024 increased to $20.5 million compared to $18.2 million for the prior-year period. The increase in interest expense were primarily due to increased in borrowings on our revolving credit facility in the first half of 2024 compared to 2023, associated with our June 2023 acquisition of BeautyBio.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$1.6 million for the third quarter of 2024 compared to $(0.6) million for the prior-year period and $1.8 million for the first nine months of 2024 compared to $3.2 million for the prior-year period. The decrease in other income for the nine-month period ended September 30, 2024 expense is primarily from the impact of foreign currency fluctuations on the valuation of our intercompany receivables and payables.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(benefit)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(benefit) for income taxes for the three- and nine-month periods ended September 30, 2024 was $5.0 million and $(6.8) million, respectively, compared to $2.5 million and $15.9 million for the prior-year periods. The effective tax rates for the three- and nine-month periods ended September 30, 2024 were 37.6% and 5.8% of pre-tax income, respectively, compared to (7.3)% and 92.4% in the prior-year periods. Our tax rate for the nine-month period ended September 30, 2024 was impacted by our second quarter of 2024 goodwill impairment and restructuring charges. Our 2023 effective tax rates were impacted by our third quarter of 2023 inventory write-off charge and associated restructuring charges.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(loss)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 result of the foregoing factors, net income for the third quarter of 2024 was $8.3 million, compared to $(37.0) million in the prior-year period. Net income for the first nine months of 2024 was $(110.5) million, compared to $1.3 million for the first nine months of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nine months of 2024, we generated $86.0 million in cash from operations, compared to $64.5 million during the prior-year period. The increase in cash flow from operations primarily reflects less inventory purchases compared to the first nine months of 2023, as we work to right size our balance sheet following the decline in revenue, and an increase in accrued expenses primarily relating to increased deferred revenue associated with timing of sales, partially offset by an increase in cash expenditures associated with prepaid assets. Cash and cash equivalents, including current investments, as of September 30, 2024 and December 31, 2023 were $237.8 million and $267.8 million, respectively, with the decrease being driven by our quarterly debt payments, $50.0 million paid on our revolving credit facility and capital expenditures, as discussed below, partially offset by $86.0 million in cash from operations.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As of September 30, 2024, working capital was $314.0 million, compared to $373.0 million as of December 31, 2023. Our decline in working capital is primarily attributable to the decline in cash as discussed above, a lower inventory balance and higher current portion of long-term debt as we intend to pay off a higher portion of our revolving credit facility in the next twelve months partially offset by an increase in prepaid expenses primarily associated with corporate income tax payments.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Capital expenditures for the nine months ended September 30, 2024 were $29.0 million. We expect that our capital expenditures in 2024 will be primarily related to:</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Rhyz plant expansion to increase capacity and capabilities;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expenditures for computer systems and equipment, software, and application development;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upgrade of facilities in our various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capital expenditures for the uses listed above will total approximately $35–55 million for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September 30, 2024 and December 31, 2023, we had $70.0 million and $120.0 million of outstanding borrowings under our revolving credit facility, and $365.0 million and $385.0 million on our term loan facility. The carrying value of the debt also reflects debt issuance costs of $1.5 million and $2.0 million as of September 30, 2024 and December 31, 2023, respectively, related to the Credit Agreement. The Credit Agreement requires us to maintain a consolidated leverage ratio not exceeding 2.75 to 1.00 and a consolidated interest coverage ratio of no less than 3.00 to 1.00. As of September 30, 2024, we were in compliance with all debt covenants under the Credit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As of September 30, 2024,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repurchase plan</w:t>
      </w:r>
      <w:r>
        <w:rPr>
          <w:rFonts w:ascii="Times New Roman" w:cs="Times New Roman" w:eastAsia="Times New Roman" w:hAnsi="Times New Roman"/>
          <w:sz w:val="18"/>
          <w:szCs w:val="18"/>
          <w:color w:val="auto"/>
        </w:rPr>
        <w:t>. In 2018, our board of directors approved a stock repurchase plan authorizing us to repurchase up to $500.0 million of our outstanding shares of Class A common stock on the open market or in private transactions. During the third quarter of 2024, we repurchased no shares of our Class A common stock under the plan. As of September 30, 2024, $162.4 million was available for repurchases under the plan. Our stock repurchases are used primarily to offset dilution from our equity incentive plans and for strategic initiatives.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In February, May and August 2024, our board of directors declared quarterly cash dividends of $0.06 per share. The quarterly cash dividends of $3.0 million were paid on March 6, 2024, June 12, 2024 and September 11, 2024 to stockholders of record on February 26, 2024, May 31, 2024 and August 30, 2024. In November 2024, our board of directors declared a quarterly cash dividend of $0.06 per share to be paid on December 11, 2024 to stockholders of record on November 29, 2024.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Cash from foreign subsidiaries</w:t>
      </w:r>
      <w:r>
        <w:rPr>
          <w:rFonts w:ascii="Times New Roman" w:cs="Times New Roman" w:eastAsia="Times New Roman" w:hAnsi="Times New Roman"/>
          <w:sz w:val="18"/>
          <w:szCs w:val="18"/>
          <w:color w:val="auto"/>
        </w:rPr>
        <w:t>. As of September 30, 2024 and December 31, 2023, we held $237.8 million and $267.8 million, respectively, in cash and cash equivalents, including current investments. These amounts include $179.1 million and $213.7 million as of September 30, 2024 and December 31, 2023,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September 30, 2024, we had $32.1 million in cash denominated in Chinese RMB. We also have experienced delays in repatriating cash from Argentina. As of September 30, 2024 and December 31, 2023, we had $19.5 million and $17.7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11 to the consolidated financial statements contained in this Quarterly Report for information regarding our contingent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critical accounting policies and estimates should be read in conjunction with our audited consolidated financial statements and related notes thereto included in our Annual Report on Form 10-K for the 2023 fiscal year.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Acquired intangible assets may represent indefinite-lived assets, determinable-lived intangibles or goodwill. Of these, only the costs of determinable-lived intangibles are amortized to expense over their estimated life. The value of indefinite-lived intangible assets and residual goodwill is not amortized, but is tested at least annually for impairment. Our impairment testing for goodwill is performed separately from our impairment testing of indefinite-lived intangibles. We test goodwill for impairment, at least annually, by reviewing the book value compared to the fair value at the reportable unit level.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We elected to perform the quantitative assessment for fiscal year 2022 and we used the qualitative assessment for fiscal years 2023 and 2021.</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Considerable management judgment and assumptions are used in our goodwill impairment assessment, including with respect to the estimated future cash flows, the earnings multiples used in the market approach, the discount rate used to discount such estimated future cash flows to their net present value and the reasonableness of the implied control premium relative to our market capitalization. These factors could materially increase or decrease the fair value of our reporting units and, accordingly, could result in a related impairment charge. Declines in our market capitalization or in our business performance could also result in a material impairment charge in a future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determined that the recent decline in our stock price and corresponding market capitalization was a triggering event that required us to perform a quantitative impairment analysis. Based on the analysis, we concluded the fair value of all reporting units were in excess of their carrying amounts and no impairment charge was required. For goodwill, the estimated fair value of the reporting units exceeded the carrying value by approximately 1% - 7%.</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we determined that the continued decline in our stock price and corresponding decrease in market capitalization as well as declines in some of our reporting units’ forecasts were triggering events that required us to perform a quantitative impairment analysis. Based on the analysis, we concluded that the estimated fair value of Americas, Mainland China, Southeast Asia/Pacific, Japan, South Korea, Europe &amp; Africa, Hong Kong/Taiwan and our BeautyBio reporting units were less than their carrying value of equity as June 30, 2024. As a result, we recorded a non-cash goodwill impairment charge of $130.9 million in the second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we determined that the recent decline in our stock price and corresponding market capitalization was a triggering event that required the us to perform a quantitative impairment analysis for the Manufacturing and Rhyz other reporting units. Based on the analysis, we concluded the fair value of the Manufacturing and Rhyz other reporting units were in excess of their carrying amounts and no impairment charge was required. For goodwill, the estimated fair value of Manufacturing and Rhyz other reporting units exceeded the carrying value by approximately 2% - 8%; therefore, the reporting units are considered to be at risk of future impairment.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and profitability forecasts used in the goodwill impairment assessments considered recent and historical performance, strategic initiatives, industry trends and macroeconomic factors. Assumptions used in the valuations were similar to those that would be used by market participants performing independent valuations of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assumptions developed by management and used in the quantitative analyses: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and future cash flows, including a base year that considered recent actual results lower than previous internal forecasts, with revenue growth and profitability improvement throughout the forecast period that reflects the long-term strategy for the business, and terminal growth rates based on the expected long-term growth rate of the business;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discount rates.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BeautyBio reporting unit within our Rhyz other segment remains sensitive to future increases in discount rates, and changes in our forecast. We performed a sensitivity analysis on the impairment model used to test the manufacturing and Rhyz other reporting units’ goodwill. In doing so, we determined that individual changes of a 5% reduction in our annual earnings before interest and tax, or a 40 basis point increase in the discount rate used in the discounted cash flow models did not cause the estimated fair values of the reporting units to decline below their carrying value. We made our estimates based on information available as of the date of our assessment, using assumptions we believe market participants would use in performing an independent valuation of the business. Although we believe the estimates and assumptions used in the impairment testing are reasonable and appropriate, it is possible that the assumptions and conclusions regarding impairment or recoverability of our reporting units’ goodwill could change in future periods. There can be no assurance the estimates and assumptions, particularly our long-term financial projections, used in our goodwill impairment testing will prove to be accurate predictions of the future, if, for example, (i) the business does not perform as projected, (ii) overall economic conditions in the remainder of Fiscal 2024 or future years vary from current assumptions (including changes in discount rates and foreign currency exchange rates), (iii) business conditions or strategies change from current assumptions, (iv) investors require higher rates of return on equity investments in the marketplace, or (v) enterprise values of comparable publicly traded companies, or actual sales transactions of comparable companies, were to decline, resulting in lower multiples of revenues and profitability. A future impairment charge to our reporting units’ goodwill could have a material effect on the consolidated financial position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 and Exchange 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September 30, 2024, our subsidiary in Argentina had a small net peso monetary position. Net sales of our subsidiary in Argentina were less than 2% of our consolidated net sales for the three- and nine-month periods ended September 30, 2024 and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September 30, 2024 and 2023, we did not hold material non-designated mark-to-market forward derivative contracts to hedge foreign denominated intercompany positions or third party foreign debt. As of September 30, 2024, and 2023 we did not hold any material forward contracts designated as foreign currency cash flow hedges. We continue to evaluate our foreign currency hedging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 see Note 9 to the consolidated financial statements contained in this Quarterly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made no changes in our internal control over financial reporting (as defined in Rule 13a-15(f) under the Exchange Act) during the fiscal quarter ended September 30, 2024 that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2023 fiscal year.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194"/>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100" w:type="dxa"/>
            <w:vAlign w:val="bottom"/>
          </w:tcPr>
          <w:p>
            <w:pPr>
              <w:spacing w:after="0"/>
              <w:rPr>
                <w:sz w:val="16"/>
                <w:szCs w:val="16"/>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51"/>
        </w:trPr>
        <w:tc>
          <w:tcPr>
            <w:tcW w:w="502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17"/>
                <w:szCs w:val="17"/>
                <w:color w:val="auto"/>
                <w:w w:val="99"/>
              </w:rPr>
              <w:t>(in millions)</w:t>
            </w:r>
            <w:r>
              <w:rPr>
                <w:rFonts w:ascii="Times New Roman" w:cs="Times New Roman" w:eastAsia="Times New Roman" w:hAnsi="Times New Roman"/>
                <w:sz w:val="28"/>
                <w:szCs w:val="28"/>
                <w:color w:val="auto"/>
                <w:w w:val="99"/>
                <w:vertAlign w:val="superscript"/>
              </w:rPr>
              <w:t>(1)</w:t>
            </w:r>
          </w:p>
        </w:tc>
      </w:tr>
      <w:tr>
        <w:trPr>
          <w:trHeight w:val="216"/>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31, 2024</w:t>
            </w: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 31, 2024</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30, 2024</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7"/>
        </w:trPr>
        <w:tc>
          <w:tcPr>
            <w:tcW w:w="4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0" w:type="dxa"/>
            <w:vAlign w:val="bottom"/>
          </w:tcPr>
          <w:p>
            <w:pPr>
              <w:spacing w:after="0"/>
              <w:rPr>
                <w:sz w:val="13"/>
                <w:szCs w:val="13"/>
                <w:color w:val="auto"/>
              </w:rPr>
            </w:pPr>
          </w:p>
        </w:tc>
      </w:tr>
      <w:tr>
        <w:trPr>
          <w:trHeight w:val="34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43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Exhibits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216"/>
        </w:trPr>
        <w:tc>
          <w:tcPr>
            <w:tcW w:w="13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Regulation S-K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tcPr>
          <w:p>
            <w:pPr>
              <w:spacing w:after="0"/>
              <w:rPr>
                <w:sz w:val="18"/>
                <w:szCs w:val="18"/>
                <w:color w:val="auto"/>
              </w:rPr>
            </w:pPr>
          </w:p>
        </w:tc>
      </w:tr>
      <w:tr>
        <w:trPr>
          <w:trHeight w:val="245"/>
        </w:trPr>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320" w:type="dxa"/>
            <w:vAlign w:val="bottom"/>
            <w:tcBorders>
              <w:top w:val="single" w:sz="8" w:color="auto"/>
            </w:tcBorders>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54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Sixth Amended and Restated Bylaws of Nu Skin Enterprises, Inc. (incorporated by reference to Exhibit 3.1 to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Report on Form 8-K filed November 1, 2024).</w:t>
            </w:r>
          </w:p>
        </w:tc>
      </w:tr>
      <w:tr>
        <w:trPr>
          <w:trHeight w:val="175"/>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8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Rule 13a-14(a) of the Securities Exchange Act of 1934, as</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76"/>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80" w:type="dxa"/>
            <w:vAlign w:val="bottom"/>
            <w:gridSpan w:val="3"/>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Certification by James D. Thomas, Chief Financial Officer, pursuant to Rule 13a-14(a) of the Securities Exchange Act of 1934, as</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76"/>
        </w:trPr>
        <w:tc>
          <w:tcPr>
            <w:tcW w:w="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8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Certification by Ryan S. Napierski, Chief Executive Officer, pursuant to Section 1350, Chapter 63 of Title 18, United States Code,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tc>
      </w:tr>
      <w:tr>
        <w:trPr>
          <w:trHeight w:val="175"/>
        </w:trPr>
        <w:tc>
          <w:tcPr>
            <w:tcW w:w="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80" w:type="dxa"/>
            <w:vAlign w:val="bottom"/>
            <w:gridSpan w:val="3"/>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w w:val="99"/>
              </w:rPr>
              <w:t>Certification by James D. Thomas, Chief Financial Officer, pursuant to Section 1350, Chapter 63 of Title 18, United States Code, as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r>
        <w:trPr>
          <w:trHeight w:val="198"/>
        </w:trPr>
        <w:tc>
          <w:tcPr>
            <w:tcW w:w="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5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gridSpan w:val="3"/>
          </w:tcPr>
          <w:p>
            <w:pPr>
              <w:ind w:left="4200"/>
              <w:spacing w:after="0"/>
              <w:rPr>
                <w:sz w:val="20"/>
                <w:szCs w:val="20"/>
                <w:color w:val="auto"/>
              </w:rPr>
            </w:pPr>
            <w:r>
              <w:rPr>
                <w:rFonts w:ascii="Times New Roman" w:cs="Times New Roman" w:eastAsia="Times New Roman" w:hAnsi="Times New Roman"/>
                <w:sz w:val="14"/>
                <w:szCs w:val="14"/>
                <w:color w:val="auto"/>
              </w:rPr>
              <w:t>32</w:t>
            </w:r>
          </w:p>
        </w:tc>
      </w:tr>
      <w:tr>
        <w:trPr>
          <w:trHeight w:val="44"/>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19202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 Thomas,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19202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September 30, 2024 (the “Report”), I, Ryan S. Napierski, Chief Executive Officer of the Company, certify, pursuant to 18 U.S.C.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19202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FINANCIAL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Nu Skin Enterprises, Inc. (the “Company”) on Form 10-Q for the period ended September 30, 2024 (the “Report”), I, James D. Thomas, Chief Financial Officer of the Company, certify, pursuant to 18 U.S.C. §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19202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39" Type="http://schemas.openxmlformats.org/officeDocument/2006/relationships/hyperlink" Target="https://www.sec.gov/Archives/edgar/data/1021561/000114036124045001/ef2003780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2024-11-08T05:27:44Z</dcterms:created>
  <dcterms:modified xsi:type="dcterms:W3CDTF">2024-11-08T05:27:44Z</dcterms:modified>
</cp:coreProperties>
</file>